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24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Pr>
        <w:pStyle w:val="Heading2"/>
      </w:pPr>
      <w:r>
        <w:rPr>
          <w:rFonts w:ascii="Calibri" w:hAnsi="Calibri" w:cs="Calibri"/>
          <w:b/>
          <w:i w:val="0"/>
          <w:color w:val="3D2A5C"/>
          <w:sz w:val="32"/>
        </w:rPr>
        <w:t>Completar una instrucción</w:t>
      </w:r>
    </w:p>
    <w:p>
      <w:r>
        <w:rPr>
          <w:rFonts w:ascii="Calibri" w:hAnsi="Calibri" w:cs="Calibri"/>
          <w:b w:val="0"/>
          <w:i w:val="0"/>
          <w:color w:val="1E293B"/>
          <w:sz w:val="24"/>
        </w:rPr>
        <w:t>Al escribir el comienzo de una instrucción, el editor muestra su estructura. Enter o Tab la insertan. La palabra reservada queda escrita y el hueco queda marcado: el nombre, la expresión, la condición o el cuerpo. Tab salta al hueco siguiente y Mayús+Tab vuelve al anterior. Si en Configuración el punto y coma es opcional, la plantilla no lo pone. Escribir la palabra en inglés, a partir de la segunda letra, abre la misma plantilla en español. En el repaso del docente no aparece, porque ese editor no se puede modificar.</w:t>
      </w:r>
    </w:p>
    <w:p>
      <w:pPr>
        <w:jc w:val="center"/>
      </w:pPr>
      <w:r>
        <w:drawing>
          <wp:inline xmlns:a="http://schemas.openxmlformats.org/drawingml/2006/main" xmlns:pic="http://schemas.openxmlformats.org/drawingml/2006/picture">
            <wp:extent cx="5852160" cy="4403799"/>
            <wp:docPr id="21" name="Picture 21"/>
            <wp:cNvGraphicFramePr>
              <a:graphicFrameLocks noChangeAspect="1"/>
            </wp:cNvGraphicFramePr>
            <a:graphic>
              <a:graphicData uri="http://schemas.openxmlformats.org/drawingml/2006/picture">
                <pic:pic>
                  <pic:nvPicPr>
                    <pic:cNvPr id="0" name="23-completar.png"/>
                    <pic:cNvPicPr/>
                  </pic:nvPicPr>
                  <pic:blipFill>
                    <a:blip r:embed="rId2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21. Al escribir Esc, el editor ofrece las dos formas de Escribir.</w:t>
      </w:r>
    </w:p>
    <w:p>
      <w:r>
        <w:rPr>
          <w:rFonts w:ascii="Calibri" w:hAnsi="Calibri" w:cs="Calibri"/>
          <w:b w:val="0"/>
          <w:i w:val="0"/>
          <w:color w:val="1E293B"/>
          <w:sz w:val="24"/>
        </w:rPr>
        <w:t>Ejemplo. En el algoritmo Completar ya hay un Escribir. En la línea siguiente se escribe Esc. La lista ofrece Escribir expresion y Escribir expresion Sin Saltar. Enter deja Escribir expresion; y el cursor queda en expresion para cambiarla por el texto que se quiere mostrar.</w:t>
      </w:r>
    </w:p>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18-operadore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del más fuerte al más débil.</w:t>
      </w:r>
    </w:p>
    <w:p>
      <w:pPr/>
      <w:r>
        <w:rPr>
          <w:rFonts w:ascii="Calibri" w:hAnsi="Calibri" w:cs="Calibri"/>
          <w:b w:val="0"/>
          <w:i w:val="0"/>
          <w:color w:val="1E293B"/>
          <w:sz w:val="24"/>
        </w:rPr>
        <w:t>En una expresión, ^ liga más fuerte, luego * / DIV MOD, luego + y -, luego las comparaciones, y al final NO, Y y O. &lt;- asigna y no va dentro de una expresión. = compara y no asigna.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r>
        <w:rPr>
          <w:rFonts w:ascii="Calibri" w:hAnsi="Calibri" w:cs="Calibri"/>
          <w:b w:val="0"/>
          <w:i w:val="0"/>
          <w:color w:val="1E293B"/>
          <w:sz w:val="24"/>
        </w:rPr>
        <w:t xml:space="preserve"> Si el reto tiene casos, después pide el código de un lenguaje. Ese código también tiene que pasar todos los casos. Si falta uno, el reto no termina.</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p>
      <w:pPr>
        <w:pStyle w:val="Heading1"/>
      </w:pPr>
      <w:r>
        <w:rPr>
          <w:rFonts w:ascii="Calibri" w:hAnsi="Calibri" w:cs="Calibri"/>
          <w:b/>
          <w:i w:val="0"/>
          <w:color w:val="3D2A5C"/>
          <w:sz w:val="44"/>
        </w:rPr>
        <w:t>18. Lenguajes</w:t>
      </w:r>
    </w:p>
    <w:p>
      <w:pPr/>
      <w:r>
        <w:rPr>
          <w:rFonts w:ascii="Calibri" w:hAnsi="Calibri" w:cs="Calibri"/>
          <w:b w:val="0"/>
          <w:i w:val="0"/>
          <w:color w:val="1E293B"/>
          <w:sz w:val="24"/>
        </w:rPr>
        <w:t>Lenguajes está entre Actualizar y Laboratorio. No es Traducir. Traducir convierte el pseudocódigo. Esta ventana escribe y ejecuta Python, JavaScript, TypeScript, Java, C, C++ o C#, cada uno con sus palabras en inglés. El borrador no se guarda en la cuenta. Copiar, Guardar y Abrir mueven el archivo. Ejecutar corre el programa en esta máquina. Si el compilador no está, se descarga. Una lectura detiene el programa hasta que se envía el dato. Pasar a un reto deja el código en un reto de construir que esté abierto. Si no pasa todos los casos, el reto no avanza. Si el docente bloqueó pegar, esta ventana también lo rechaza. El pie de la pantalla reserva los derechos a R&amp;J Integra Soluciones Tecnológicas.</w:t>
      </w:r>
    </w:p>
    <w:p>
      <w:pPr>
        <w:jc w:val="center"/>
      </w:pPr>
      <w:r>
        <w:drawing>
          <wp:inline xmlns:a="http://schemas.openxmlformats.org/drawingml/2006/main" xmlns:pic="http://schemas.openxmlformats.org/drawingml/2006/picture">
            <wp:extent cx="5852160" cy="4403799"/>
            <wp:docPr id="22" name="Picture 22"/>
            <wp:cNvGraphicFramePr>
              <a:graphicFrameLocks noChangeAspect="1"/>
            </wp:cNvGraphicFramePr>
            <a:graphic>
              <a:graphicData uri="http://schemas.openxmlformats.org/drawingml/2006/picture">
                <pic:pic>
                  <pic:nvPicPr>
                    <pic:cNvPr id="0" name="24-lenguajes-boton.png"/>
                    <pic:cNvPicPr/>
                  </pic:nvPicPr>
                  <pic:blipFill>
                    <a:blip r:embed="rId3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22. Lenguajes queda entre Actualizar y Laboratorio.</w:t>
      </w:r>
    </w:p>
    <w:p>
      <w:pPr>
        <w:jc w:val="center"/>
      </w:pPr>
      <w:r>
        <w:drawing>
          <wp:inline xmlns:a="http://schemas.openxmlformats.org/drawingml/2006/main" xmlns:pic="http://schemas.openxmlformats.org/drawingml/2006/picture">
            <wp:extent cx="5852160" cy="4403799"/>
            <wp:docPr id="23" name="Picture 23"/>
            <wp:cNvGraphicFramePr>
              <a:graphicFrameLocks noChangeAspect="1"/>
            </wp:cNvGraphicFramePr>
            <a:graphic>
              <a:graphicData uri="http://schemas.openxmlformats.org/drawingml/2006/picture">
                <pic:pic>
                  <pic:nvPicPr>
                    <pic:cNvPr id="0" name="25-lenguajes.png"/>
                    <pic:cNvPicPr/>
                  </pic:nvPicPr>
                  <pic:blipFill>
                    <a:blip r:embed="rId3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23. Python escribió hola. El programa ya estaba en la máquina.</w:t>
      </w:r>
    </w:p>
    <w:p>
      <w:pPr/>
      <w:r>
        <w:rPr>
          <w:rFonts w:ascii="Calibri" w:hAnsi="Calibri" w:cs="Calibri"/>
          <w:b w:val="0"/>
          <w:i w:val="0"/>
          <w:color w:val="1E293B"/>
          <w:sz w:val="24"/>
        </w:rPr>
        <w:t>Ejemplo. Ana abre Lenguajes, deja Python y el texto print("hola"). Pulsa Ejecutar. La salida muestra hola. Si ese código resuelve un reto de construir, pulsa Pasar a un reto, elige la ruta y el reto, y lo envía. El reto sigue abierto hasta que todos los casos coincidan.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