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Aulivana-FCDdesign</w:t>
      </w:r>
    </w:p>
    <w:p>
      <w:pPr>
        <w:jc w:val="center"/>
      </w:pPr>
      <w:r>
        <w:rPr>
          <w:color w:val="4338CA"/>
          <w:sz w:val="32"/>
        </w:rPr>
        <w:t>Documento de arquitectura</w:t>
      </w:r>
    </w:p>
    <w:p>
      <w:pPr>
        <w:jc w:val="center"/>
      </w:pPr>
      <w:r>
        <w:rPr>
          <w:rFonts w:ascii="Calibri" w:hAnsi="Calibri"/>
          <w:b w:val="0"/>
          <w:color w:val="475569"/>
          <w:sz w:val="24"/>
        </w:rPr>
        <w:t>Desarrollo en contenedores. 24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Aulivana-FCDdesign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Aulivana-FCDdesign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http://18.118.112.206:18080.</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X-Aulivana-FCDdesign-Client: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Aulivana-FCDdesign.command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p>
      <w:pPr>
        <w:pStyle w:val="Heading1"/>
      </w:pPr>
      <w:r>
        <w:rPr>
          <w:rFonts w:ascii="Calibri" w:hAnsi="Calibri" w:cs="Calibri"/>
          <w:b/>
          <w:i w:val="0"/>
          <w:color w:val="3D2A5C"/>
          <w:sz w:val="44"/>
        </w:rPr>
        <w:t>19. Altas, retos y el panel del diagrama</w:t>
      </w:r>
    </w:p>
    <w:p>
      <w:r>
        <w:rPr>
          <w:rFonts w:ascii="Calibri" w:hAnsi="Calibri" w:cs="Calibri"/>
          <w:b w:val="0"/>
          <w:i w:val="0"/>
          <w:color w:val="1E293B"/>
          <w:sz w:val="24"/>
        </w:rPr>
        <w:t>El administrador define, en una sola fila, si se pueden crear cuentas de alumno, de docente o de las dos. El formulario esconde el tipo apagado y el alta lo rechaza. Los dos nacen encendidos.</w:t>
      </w:r>
    </w:p>
    <w:p>
      <w:r>
        <w:rPr>
          <w:rFonts w:ascii="Calibri" w:hAnsi="Calibri" w:cs="Calibri"/>
          <w:b w:val="0"/>
          <w:i w:val="0"/>
          <w:color w:val="1E293B"/>
          <w:sz w:val="24"/>
        </w:rPr>
        <w:t>Un reto de construir no se cierra hasta que la salida coincide con todos sus casos. Al cerrarlo, el alumno ve cómo lo armó. El docente ve esa respuesta en el avance aunque el intento siga abierto.</w:t>
      </w:r>
    </w:p>
    <w:p>
      <w:r>
        <w:rPr>
          <w:rFonts w:ascii="Calibri" w:hAnsi="Calibri" w:cs="Calibri"/>
          <w:b w:val="0"/>
          <w:i w:val="0"/>
          <w:color w:val="1E293B"/>
          <w:sz w:val="24"/>
        </w:rPr>
        <w:t>En Armar diagrama, el panel de la figura queda arriba de la caja de figuras. Ahí se escriben los valores, los destinos de Leer y el tiempo de Esperar.</w:t>
      </w:r>
    </w:p>
    <w:p>
      <w:r>
        <w:rPr>
          <w:rFonts w:ascii="Calibri" w:hAnsi="Calibri" w:cs="Calibri"/>
          <w:b w:val="0"/>
          <w:i w:val="0"/>
          <w:color w:val="1E293B"/>
          <w:sz w:val="24"/>
        </w:rPr>
        <w:t>compose.servidor.yaml es el arreglo del servidor sin Mailpit. La confirmación sale por SMTP a Gmail, con las claves del archivo de entorno. Sigue en la configuración de desarrollo, porque con HTTP las cookies de producción no se guardarían.</w:t>
      </w:r>
    </w:p>
    <w:p>
      <w:pPr>
        <w:pStyle w:val="Heading1"/>
      </w:pPr>
      <w:r>
        <w:rPr>
          <w:rFonts w:ascii="Calibri" w:hAnsi="Calibri" w:cs="Calibri"/>
          <w:b/>
          <w:i w:val="0"/>
          <w:color w:val="3D2A5C"/>
          <w:sz w:val="44"/>
        </w:rPr>
        <w:t>20. Completar instrucciones y filtrar retos</w:t>
      </w:r>
    </w:p>
    <w:p>
      <w:r>
        <w:rPr>
          <w:rFonts w:ascii="Calibri" w:hAnsi="Calibri" w:cs="Calibri"/>
          <w:b w:val="0"/>
          <w:i w:val="0"/>
          <w:color w:val="1E293B"/>
          <w:sz w:val="24"/>
        </w:rPr>
        <w:t>Al escribir en el editor, la lista ofrece la estructura de la instrucción. Enter o Tab la insertan y Tab recorre los huecos. La grafía del otro idioma abre la misma plantilla. En solo lectura no hay lista.</w:t>
      </w:r>
    </w:p>
    <w:p>
      <w:r>
        <w:rPr>
          <w:rFonts w:ascii="Calibri" w:hAnsi="Calibri" w:cs="Calibri"/>
          <w:b w:val="0"/>
          <w:i w:val="0"/>
          <w:color w:val="1E293B"/>
          <w:sz w:val="24"/>
        </w:rPr>
        <w:t>Al agregar un reto a una ruta, el docente filtra por tipo. La lista queda en Tus retos y Del catálogo, solo con Clasificar, Ordenar, Construir o Predecir. Todos muestra los dos grupos sin ese corte.</w:t>
      </w:r>
    </w:p>
    <w:p>
      <w:pPr>
        <w:pStyle w:val="Heading1"/>
      </w:pPr>
      <w:r>
        <w:rPr>
          <w:rFonts w:ascii="Calibri" w:hAnsi="Calibri" w:cs="Calibri"/>
          <w:b/>
          <w:i w:val="0"/>
          <w:color w:val="3D2A5C"/>
          <w:sz w:val="44"/>
        </w:rPr>
        <w:t>21. Lenguajes, nota parcial y ponderación</w:t>
      </w:r>
    </w:p>
    <w:p>
      <w:pPr/>
      <w:r>
        <w:rPr>
          <w:rFonts w:ascii="Calibri" w:hAnsi="Calibri" w:cs="Calibri"/>
          <w:b w:val="0"/>
          <w:i w:val="0"/>
          <w:color w:val="1E293B"/>
          <w:sz w:val="24"/>
        </w:rPr>
        <w:t>Lenguajes, entre Actualizar y Laboratorio, abre Python, JavaScript, TypeScript, Java, C, C++ y C#. Las palabras quedan en inglés. Ejecutar corre en la máquina. Si el compilador no está, se descarga el que publica /runtimes/manifest.json. C y C++ usan el compilador local. Una lectura espera el dato. El borrador no se guarda. Desde esa ventana el código se pasa a un reto de construir abierto. En la aplicación el botón depende de la función languages del nivel, que la semilla deja apagada. En el navegador de desarrollo, en localhost, el anfitrión es 127.0.0.1:8766. Pegar sigue el bloqueo del docente.</w:t>
      </w:r>
    </w:p>
    <w:p>
      <w:pPr/>
      <w:r>
        <w:rPr>
          <w:rFonts w:ascii="Calibri" w:hAnsi="Calibri" w:cs="Calibri"/>
          <w:b w:val="0"/>
          <w:i w:val="0"/>
          <w:color w:val="1E293B"/>
          <w:sz w:val="24"/>
        </w:rPr>
        <w:t>Un construir con casos pide ese código después del pseudocódigo y no se cierra si falta un caso. La salida de un lenguaje no tiene que repetir el dato leído.</w:t>
      </w:r>
    </w:p>
    <w:p>
      <w:pPr/>
      <w:r>
        <w:rPr>
          <w:rFonts w:ascii="Calibri" w:hAnsi="Calibri" w:cs="Calibri"/>
          <w:b w:val="0"/>
          <w:i w:val="0"/>
          <w:color w:val="1E293B"/>
          <w:sz w:val="24"/>
        </w:rPr>
        <w:t>En cada reto de una ruta, Ponderación de la calificación reparte 100 puntos. La suma tiene que ser 100 y no cambia el reto original. Si no se define, un construir con casos usa 15, 20, 20, 20, 15 y 10. El resto usa 20, 25, 30, 0, 15 y 10. El intento guarda la nota al avanzar. El docente la ve aunque no esté cerrado. Si el alumno sigue en el mismo intento, la nota se vuelve a calcular. Una cuenta nueva nace con acceso al navegador. El pie reserva los derechos a R&amp;J Integra Soluciones Tecnológicas.</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Aulivana-FCDdesign</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