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FC9" w:rsidRDefault="00334DFE">
      <w:pPr>
        <w:rPr>
          <w:b/>
        </w:rPr>
      </w:pPr>
      <w:r w:rsidRPr="00823265">
        <w:rPr>
          <w:b/>
        </w:rPr>
        <w:t xml:space="preserve">Customer Segment </w:t>
      </w:r>
      <w:r w:rsidR="0054391C">
        <w:rPr>
          <w:b/>
        </w:rPr>
        <w:t xml:space="preserve">Report </w:t>
      </w:r>
      <w:r w:rsidR="00823265">
        <w:rPr>
          <w:b/>
        </w:rPr>
        <w:t>–</w:t>
      </w:r>
      <w:r w:rsidRPr="00823265">
        <w:rPr>
          <w:b/>
        </w:rPr>
        <w:t xml:space="preserve"> Suburban</w:t>
      </w:r>
    </w:p>
    <w:p w:rsidR="0054391C" w:rsidRPr="0054391C" w:rsidRDefault="0054391C">
      <w:r>
        <w:rPr>
          <w:b/>
        </w:rPr>
        <w:t xml:space="preserve">Prepared by: </w:t>
      </w:r>
      <w:r w:rsidRPr="0054391C">
        <w:t>Jay Robert Orr</w:t>
      </w:r>
    </w:p>
    <w:p w:rsidR="0054391C" w:rsidRDefault="0054391C">
      <w:r>
        <w:rPr>
          <w:b/>
        </w:rPr>
        <w:t xml:space="preserve">Date: </w:t>
      </w:r>
      <w:r w:rsidRPr="0054391C">
        <w:t>March 9, 2019</w:t>
      </w:r>
    </w:p>
    <w:p w:rsidR="00E765F2" w:rsidRDefault="00E765F2">
      <w:pPr>
        <w:rPr>
          <w:b/>
        </w:rPr>
      </w:pPr>
    </w:p>
    <w:p w:rsidR="00823265" w:rsidRDefault="00823265">
      <w:pPr>
        <w:rPr>
          <w:b/>
        </w:rPr>
      </w:pPr>
      <w:r w:rsidRPr="00823265">
        <w:rPr>
          <w:b/>
        </w:rPr>
        <w:t>Summary:</w:t>
      </w:r>
    </w:p>
    <w:p w:rsidR="00823265" w:rsidRDefault="0054391C">
      <w:r>
        <w:t xml:space="preserve">Overall, the Suburban customer segment has much in common with the Rural customer segment.  Assuming the Urban customer segment has the </w:t>
      </w:r>
      <w:r w:rsidR="00C54BB2">
        <w:t>better customer experience, then efforts to make the Suburban customer segment look like the Urban segment should be pursued. Efforts to increase the</w:t>
      </w:r>
      <w:r w:rsidR="007C1C62">
        <w:t xml:space="preserve"> visibility of</w:t>
      </w:r>
      <w:r w:rsidR="00C54BB2">
        <w:t xml:space="preserve"> </w:t>
      </w:r>
      <w:r w:rsidR="007C1C62">
        <w:t>payments in</w:t>
      </w:r>
      <w:r w:rsidR="00C54BB2">
        <w:t xml:space="preserve"> cash or the convenience of ACH and an annual </w:t>
      </w:r>
      <w:r w:rsidR="007C4FE0">
        <w:t xml:space="preserve">property </w:t>
      </w:r>
      <w:r w:rsidR="00C54BB2">
        <w:t xml:space="preserve">payment method to customers.  This should nudge </w:t>
      </w:r>
      <w:r w:rsidR="00B4428E">
        <w:t xml:space="preserve">Suburban </w:t>
      </w:r>
      <w:r w:rsidR="00C54BB2">
        <w:t>customers</w:t>
      </w:r>
      <w:r w:rsidR="00B4428E">
        <w:t xml:space="preserve"> to being more like the Urban customers</w:t>
      </w:r>
      <w:r w:rsidR="007C1C62">
        <w:t xml:space="preserve"> and hopefully drive a better overall experience</w:t>
      </w:r>
      <w:r w:rsidR="00B4428E">
        <w:t xml:space="preserve">. </w:t>
      </w:r>
    </w:p>
    <w:p w:rsidR="00B4428E" w:rsidRDefault="00B4428E"/>
    <w:p w:rsidR="00334DFE" w:rsidRPr="00823265" w:rsidRDefault="00334DFE">
      <w:pPr>
        <w:rPr>
          <w:b/>
        </w:rPr>
      </w:pPr>
      <w:r w:rsidRPr="00823265">
        <w:rPr>
          <w:b/>
        </w:rPr>
        <w:t>Dashboard: Cust Segment by Activity Status</w:t>
      </w:r>
    </w:p>
    <w:p w:rsidR="00334DFE" w:rsidRDefault="00334DFE" w:rsidP="00334DFE">
      <w:pPr>
        <w:pStyle w:val="ListParagraph"/>
        <w:numPr>
          <w:ilvl w:val="0"/>
          <w:numId w:val="1"/>
        </w:numPr>
      </w:pPr>
      <w:r>
        <w:t xml:space="preserve">The Suburban segment looks very similar to the Rural segment in volume of premium and number of records.  </w:t>
      </w:r>
    </w:p>
    <w:p w:rsidR="00334DFE" w:rsidRDefault="00823265" w:rsidP="00334DFE">
      <w:pPr>
        <w:pStyle w:val="ListParagraph"/>
        <w:numPr>
          <w:ilvl w:val="0"/>
          <w:numId w:val="1"/>
        </w:numPr>
      </w:pPr>
      <w:r>
        <w:t>The ability to differentiate between active and inactive s</w:t>
      </w:r>
      <w:r w:rsidR="00334DFE">
        <w:t>ta</w:t>
      </w:r>
      <w:r>
        <w:t>tus shows premium and number of records between the three customer segments.</w:t>
      </w:r>
    </w:p>
    <w:p w:rsidR="00FC1FC8" w:rsidRDefault="00FC1FC8" w:rsidP="00FC1FC8">
      <w:pPr>
        <w:rPr>
          <w:b/>
        </w:rPr>
      </w:pPr>
    </w:p>
    <w:p w:rsidR="00FC1FC8" w:rsidRPr="00823265" w:rsidRDefault="00FC1FC8" w:rsidP="00FC1FC8">
      <w:pPr>
        <w:rPr>
          <w:b/>
        </w:rPr>
      </w:pPr>
      <w:r>
        <w:rPr>
          <w:b/>
        </w:rPr>
        <w:t>Dashboard: Payment Type</w:t>
      </w:r>
      <w:r w:rsidRPr="00823265">
        <w:rPr>
          <w:b/>
        </w:rPr>
        <w:t xml:space="preserve"> by Activity Status</w:t>
      </w:r>
    </w:p>
    <w:p w:rsidR="00FC1FC8" w:rsidRDefault="00FC1FC8" w:rsidP="00FC1FC8">
      <w:pPr>
        <w:pStyle w:val="ListParagraph"/>
        <w:numPr>
          <w:ilvl w:val="0"/>
          <w:numId w:val="1"/>
        </w:numPr>
      </w:pPr>
      <w:r>
        <w:t>The Subu</w:t>
      </w:r>
      <w:r>
        <w:t>rban segment has a much lower percentage of cash or ACH payments of 28.53% compared to the Urban segment at 67.65%.</w:t>
      </w:r>
    </w:p>
    <w:p w:rsidR="00334DFE" w:rsidRDefault="00FC1FC8" w:rsidP="00FC1FC8">
      <w:pPr>
        <w:pStyle w:val="ListParagraph"/>
        <w:numPr>
          <w:ilvl w:val="0"/>
          <w:numId w:val="1"/>
        </w:numPr>
      </w:pPr>
      <w:r>
        <w:t xml:space="preserve">The </w:t>
      </w:r>
      <w:r>
        <w:t>inactive sta</w:t>
      </w:r>
      <w:r>
        <w:t xml:space="preserve">tus shows payment distribution </w:t>
      </w:r>
      <w:r w:rsidR="006A5149">
        <w:t>percentage</w:t>
      </w:r>
      <w:r w:rsidR="00B4612B">
        <w:t>s</w:t>
      </w:r>
      <w:r w:rsidR="006A5149">
        <w:t xml:space="preserve"> </w:t>
      </w:r>
      <w:r w:rsidR="00B4612B">
        <w:t xml:space="preserve">are </w:t>
      </w:r>
      <w:r>
        <w:t xml:space="preserve">almost equal to the active status. </w:t>
      </w:r>
    </w:p>
    <w:p w:rsidR="006A5149" w:rsidRDefault="006A5149" w:rsidP="006A5149">
      <w:pPr>
        <w:rPr>
          <w:b/>
        </w:rPr>
      </w:pPr>
    </w:p>
    <w:p w:rsidR="006A5149" w:rsidRPr="00823265" w:rsidRDefault="006A5149" w:rsidP="006A5149">
      <w:pPr>
        <w:rPr>
          <w:b/>
        </w:rPr>
      </w:pPr>
      <w:r>
        <w:rPr>
          <w:b/>
        </w:rPr>
        <w:t>Dashboard: Credit Card Type</w:t>
      </w:r>
      <w:r w:rsidRPr="00823265">
        <w:rPr>
          <w:b/>
        </w:rPr>
        <w:t xml:space="preserve"> by Activity Status</w:t>
      </w:r>
    </w:p>
    <w:p w:rsidR="006A5149" w:rsidRDefault="00B4612B" w:rsidP="006A5149">
      <w:pPr>
        <w:pStyle w:val="ListParagraph"/>
        <w:numPr>
          <w:ilvl w:val="0"/>
          <w:numId w:val="1"/>
        </w:numPr>
      </w:pPr>
      <w:r>
        <w:t>The three customer</w:t>
      </w:r>
      <w:r w:rsidR="006A5149">
        <w:t xml:space="preserve"> segment</w:t>
      </w:r>
      <w:r>
        <w:t>s have</w:t>
      </w:r>
      <w:r w:rsidR="006A5149">
        <w:t xml:space="preserve"> a </w:t>
      </w:r>
      <w:r w:rsidR="006A5149">
        <w:t>very similar distribution percentage of credit card payment typ</w:t>
      </w:r>
      <w:r>
        <w:t>es (approximately 45% Visa, 44% Mastercard and 11% Other)</w:t>
      </w:r>
      <w:r w:rsidR="006A5149">
        <w:t>.</w:t>
      </w:r>
    </w:p>
    <w:p w:rsidR="006A5149" w:rsidRDefault="006A5149" w:rsidP="006A5149">
      <w:pPr>
        <w:pStyle w:val="ListParagraph"/>
        <w:numPr>
          <w:ilvl w:val="0"/>
          <w:numId w:val="1"/>
        </w:numPr>
      </w:pPr>
      <w:r>
        <w:t>The inactive sta</w:t>
      </w:r>
      <w:r w:rsidR="00B4612B">
        <w:t>tus shows credit card</w:t>
      </w:r>
      <w:r>
        <w:t xml:space="preserve"> distribution percentage</w:t>
      </w:r>
      <w:r w:rsidR="00B4612B">
        <w:t>s</w:t>
      </w:r>
      <w:r>
        <w:t xml:space="preserve"> </w:t>
      </w:r>
      <w:r w:rsidR="00B4612B">
        <w:t xml:space="preserve">are </w:t>
      </w:r>
      <w:r>
        <w:t xml:space="preserve">almost equal to the active status. </w:t>
      </w:r>
    </w:p>
    <w:p w:rsidR="00B4612B" w:rsidRDefault="00B4612B" w:rsidP="00B4612B">
      <w:pPr>
        <w:rPr>
          <w:b/>
        </w:rPr>
      </w:pPr>
    </w:p>
    <w:p w:rsidR="00B4612B" w:rsidRPr="00823265" w:rsidRDefault="00B4612B" w:rsidP="00B4612B">
      <w:pPr>
        <w:rPr>
          <w:b/>
        </w:rPr>
      </w:pPr>
      <w:r>
        <w:rPr>
          <w:b/>
        </w:rPr>
        <w:t>Dashboard: Payment Freq</w:t>
      </w:r>
      <w:r w:rsidRPr="00823265">
        <w:rPr>
          <w:b/>
        </w:rPr>
        <w:t xml:space="preserve"> by Activity Status</w:t>
      </w:r>
    </w:p>
    <w:p w:rsidR="00B4612B" w:rsidRDefault="00B4612B" w:rsidP="00B4612B">
      <w:pPr>
        <w:pStyle w:val="ListParagraph"/>
        <w:numPr>
          <w:ilvl w:val="0"/>
          <w:numId w:val="1"/>
        </w:numPr>
      </w:pPr>
      <w:r>
        <w:t>The Suburban segment has a much lower</w:t>
      </w:r>
      <w:r>
        <w:t xml:space="preserve"> percentage of annual</w:t>
      </w:r>
      <w:r>
        <w:t xml:space="preserve"> </w:t>
      </w:r>
      <w:r>
        <w:t>payment frequency</w:t>
      </w:r>
      <w:r>
        <w:t xml:space="preserve"> of </w:t>
      </w:r>
      <w:r>
        <w:t>34.80</w:t>
      </w:r>
      <w:r>
        <w:t>% compar</w:t>
      </w:r>
      <w:r>
        <w:t>ed to the Urban segment at 70.64</w:t>
      </w:r>
      <w:r>
        <w:t>%.</w:t>
      </w:r>
    </w:p>
    <w:p w:rsidR="00B4428E" w:rsidRPr="00E765F2" w:rsidRDefault="00B4612B" w:rsidP="006A52D5">
      <w:pPr>
        <w:pStyle w:val="ListParagraph"/>
        <w:numPr>
          <w:ilvl w:val="0"/>
          <w:numId w:val="1"/>
        </w:numPr>
      </w:pPr>
      <w:r>
        <w:t>The inactive sta</w:t>
      </w:r>
      <w:r w:rsidR="006A52D5">
        <w:t>tus shows payment frequency</w:t>
      </w:r>
      <w:r>
        <w:t xml:space="preserve"> distribution percentages </w:t>
      </w:r>
      <w:r w:rsidR="006A52D5">
        <w:t xml:space="preserve">are </w:t>
      </w:r>
      <w:r>
        <w:t xml:space="preserve">almost equal to the active status. </w:t>
      </w:r>
      <w:bookmarkStart w:id="0" w:name="_GoBack"/>
      <w:bookmarkEnd w:id="0"/>
    </w:p>
    <w:p w:rsidR="006A52D5" w:rsidRPr="00823265" w:rsidRDefault="0054391C" w:rsidP="006A52D5">
      <w:pPr>
        <w:rPr>
          <w:b/>
        </w:rPr>
      </w:pPr>
      <w:r>
        <w:rPr>
          <w:b/>
        </w:rPr>
        <w:lastRenderedPageBreak/>
        <w:t>Dashboard: LOB</w:t>
      </w:r>
      <w:r w:rsidR="006A52D5" w:rsidRPr="00823265">
        <w:rPr>
          <w:b/>
        </w:rPr>
        <w:t xml:space="preserve"> by Activity Status</w:t>
      </w:r>
    </w:p>
    <w:p w:rsidR="006A52D5" w:rsidRDefault="006A52D5" w:rsidP="006A52D5">
      <w:pPr>
        <w:pStyle w:val="ListParagraph"/>
        <w:numPr>
          <w:ilvl w:val="0"/>
          <w:numId w:val="1"/>
        </w:numPr>
      </w:pPr>
      <w:r>
        <w:t>The Suburban segment has a much lower</w:t>
      </w:r>
      <w:r w:rsidR="0054391C">
        <w:t xml:space="preserve"> percentage of property</w:t>
      </w:r>
      <w:r>
        <w:t xml:space="preserve"> frequency of </w:t>
      </w:r>
      <w:r w:rsidR="0054391C">
        <w:t>63.42</w:t>
      </w:r>
      <w:r>
        <w:t>% compared to the Ur</w:t>
      </w:r>
      <w:r w:rsidR="0054391C">
        <w:t>ban segment at 85.12</w:t>
      </w:r>
      <w:r>
        <w:t>%.</w:t>
      </w:r>
    </w:p>
    <w:p w:rsidR="006A52D5" w:rsidRDefault="006A52D5" w:rsidP="006A52D5">
      <w:pPr>
        <w:pStyle w:val="ListParagraph"/>
        <w:numPr>
          <w:ilvl w:val="0"/>
          <w:numId w:val="1"/>
        </w:numPr>
      </w:pPr>
      <w:r>
        <w:t>The inactive sta</w:t>
      </w:r>
      <w:r w:rsidR="0054391C">
        <w:t>tus shows the line of business</w:t>
      </w:r>
      <w:r>
        <w:t xml:space="preserve"> frequency distribution percentages are almost equal to the active status. </w:t>
      </w:r>
    </w:p>
    <w:p w:rsidR="00334DFE" w:rsidRDefault="00334DFE"/>
    <w:p w:rsidR="007C1C62" w:rsidRPr="00823265" w:rsidRDefault="007C1C62" w:rsidP="007C1C62">
      <w:pPr>
        <w:rPr>
          <w:b/>
        </w:rPr>
      </w:pPr>
      <w:r>
        <w:rPr>
          <w:b/>
        </w:rPr>
        <w:t>Dashboard: LOB</w:t>
      </w:r>
      <w:r w:rsidR="007C4FE0">
        <w:rPr>
          <w:b/>
        </w:rPr>
        <w:t xml:space="preserve"> by Payment Frequency</w:t>
      </w:r>
    </w:p>
    <w:p w:rsidR="007C1C62" w:rsidRDefault="007C1C62" w:rsidP="007C1C62">
      <w:pPr>
        <w:pStyle w:val="ListParagraph"/>
        <w:numPr>
          <w:ilvl w:val="0"/>
          <w:numId w:val="1"/>
        </w:numPr>
      </w:pPr>
      <w:r>
        <w:t xml:space="preserve">The Suburban segment has a much lower percentage of </w:t>
      </w:r>
      <w:r w:rsidR="007C4FE0">
        <w:t xml:space="preserve">annual </w:t>
      </w:r>
      <w:r>
        <w:t xml:space="preserve">property frequency of </w:t>
      </w:r>
      <w:r w:rsidR="007C4FE0">
        <w:t>63.47</w:t>
      </w:r>
      <w:r>
        <w:t>% compared to the Ur</w:t>
      </w:r>
      <w:r w:rsidR="007C4FE0">
        <w:t>ban segment at 92.69</w:t>
      </w:r>
      <w:r>
        <w:t>%.</w:t>
      </w:r>
    </w:p>
    <w:p w:rsidR="007C1C62" w:rsidRDefault="007C1C62" w:rsidP="007C4FE0">
      <w:pPr>
        <w:pStyle w:val="ListParagraph"/>
      </w:pPr>
    </w:p>
    <w:p w:rsidR="007C1C62" w:rsidRDefault="007C1C62"/>
    <w:sectPr w:rsidR="007C1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20790"/>
    <w:multiLevelType w:val="hybridMultilevel"/>
    <w:tmpl w:val="90741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FE"/>
    <w:rsid w:val="00334DFE"/>
    <w:rsid w:val="0054391C"/>
    <w:rsid w:val="00564DCA"/>
    <w:rsid w:val="006A5149"/>
    <w:rsid w:val="006A52D5"/>
    <w:rsid w:val="007C1C62"/>
    <w:rsid w:val="007C4FE0"/>
    <w:rsid w:val="00823265"/>
    <w:rsid w:val="00B4428E"/>
    <w:rsid w:val="00B4612B"/>
    <w:rsid w:val="00B72FC9"/>
    <w:rsid w:val="00C54BB2"/>
    <w:rsid w:val="00E765F2"/>
    <w:rsid w:val="00FC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7B761-9ACA-4DCF-91CC-09AB929F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5C2E3-8CD9-45A7-B0C5-0659F1111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Orr</dc:creator>
  <cp:keywords/>
  <dc:description/>
  <cp:lastModifiedBy>Robert Orr</cp:lastModifiedBy>
  <cp:revision>2</cp:revision>
  <dcterms:created xsi:type="dcterms:W3CDTF">2019-03-09T20:51:00Z</dcterms:created>
  <dcterms:modified xsi:type="dcterms:W3CDTF">2019-03-09T20:51:00Z</dcterms:modified>
</cp:coreProperties>
</file>