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49D5" w14:textId="647B7CD5" w:rsidR="00E92D97" w:rsidRPr="00E051ED" w:rsidRDefault="00B47088">
      <w:pPr>
        <w:rPr>
          <w:rFonts w:ascii="Times New Roman" w:hAnsi="Times New Roman" w:cs="Times New Roman"/>
        </w:rPr>
      </w:pPr>
      <w:r w:rsidRPr="00B4708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0B9B11" wp14:editId="7EEAEECD">
                <wp:simplePos x="0" y="0"/>
                <wp:positionH relativeFrom="column">
                  <wp:posOffset>4434576</wp:posOffset>
                </wp:positionH>
                <wp:positionV relativeFrom="page">
                  <wp:posOffset>1580379</wp:posOffset>
                </wp:positionV>
                <wp:extent cx="194945" cy="24828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F6CE7" w14:textId="66614BA7" w:rsidR="00B47088" w:rsidRPr="002971E9" w:rsidRDefault="002971E9" w:rsidP="00B4708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B9B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2pt;margin-top:124.45pt;width:15.35pt;height:19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" filled="f" stroked="f">
                <v:textbox>
                  <w:txbxContent>
                    <w:p w14:paraId="451F6CE7" w14:textId="66614BA7" w:rsidR="00B47088" w:rsidRPr="002971E9" w:rsidRDefault="002971E9" w:rsidP="00B4708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4708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5C3D1D" wp14:editId="0D248AAF">
                <wp:simplePos x="0" y="0"/>
                <wp:positionH relativeFrom="column">
                  <wp:posOffset>2938765</wp:posOffset>
                </wp:positionH>
                <wp:positionV relativeFrom="page">
                  <wp:posOffset>1580379</wp:posOffset>
                </wp:positionV>
                <wp:extent cx="194945" cy="24828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AFD2C" w14:textId="44834EA0" w:rsidR="00B47088" w:rsidRPr="00B47088" w:rsidRDefault="00B4708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7088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C3D1D" id="_x0000_s1027" type="#_x0000_t202" style="position:absolute;margin-left:231.4pt;margin-top:124.45pt;width:15.3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" stroked="f">
                <v:textbox>
                  <w:txbxContent>
                    <w:p w14:paraId="532AFD2C" w14:textId="44834EA0" w:rsidR="00B47088" w:rsidRPr="00B47088" w:rsidRDefault="00B4708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47088">
                        <w:rPr>
                          <w:rFonts w:ascii="Times New Roman" w:hAnsi="Times New Roman" w:cs="Times New Roman"/>
                        </w:rPr>
                        <w:t>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051ED" w:rsidRPr="00E051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280E470" wp14:editId="154E6498">
                <wp:simplePos x="0" y="0"/>
                <wp:positionH relativeFrom="margin">
                  <wp:posOffset>14605</wp:posOffset>
                </wp:positionH>
                <wp:positionV relativeFrom="paragraph">
                  <wp:posOffset>570</wp:posOffset>
                </wp:positionV>
                <wp:extent cx="5716905" cy="1001395"/>
                <wp:effectExtent l="0" t="0" r="0" b="0"/>
                <wp:wrapTight wrapText="bothSides">
                  <wp:wrapPolygon edited="0">
                    <wp:start x="216" y="0"/>
                    <wp:lineTo x="216" y="20956"/>
                    <wp:lineTo x="21377" y="20956"/>
                    <wp:lineTo x="21377" y="0"/>
                    <wp:lineTo x="216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1001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A3702" w14:textId="535F500B" w:rsidR="00E051ED" w:rsidRPr="00517AAF" w:rsidRDefault="00E051ED" w:rsidP="0026679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7AA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266792" w:rsidRPr="00517AA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NALYSIS OF SPATIAL VARIATION IN CHEMICAL CHARACTERISTICS OF A SWAMP PEATLAND, ANGLESEA, AUSTRALIA.</w:t>
                            </w:r>
                            <w:r w:rsidRPr="00517A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7AAF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="00266792" w:rsidRPr="00517AAF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517AAF">
                              <w:rPr>
                                <w:rFonts w:ascii="Times New Roman" w:hAnsi="Times New Roman" w:cs="Times New Roman"/>
                              </w:rPr>
                              <w:t xml:space="preserve"> Ferguson</w:t>
                            </w:r>
                            <w:r w:rsidR="00266792" w:rsidRPr="00517AAF">
                              <w:rPr>
                                <w:rFonts w:ascii="Times New Roman" w:hAnsi="Times New Roman" w:cs="Times New Roman"/>
                              </w:rPr>
                              <w:t>, V. Wong, School of Earth, Atmosphere and Environment, Monash University, Clayton, Australia (rfer0017@student.monash.edu).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0E470" id="_x0000_s1028" type="#_x0000_t202" style="position:absolute;margin-left:1.15pt;margin-top:.05pt;width:450.15pt;height:78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" filled="f" stroked="f">
                <v:textbox>
                  <w:txbxContent>
                    <w:p w14:paraId="5A6A3702" w14:textId="535F500B" w:rsidR="00E051ED" w:rsidRPr="00517AAF" w:rsidRDefault="00E051ED" w:rsidP="0026679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17AA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="00266792" w:rsidRPr="00517AA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NALYSIS OF SPATIAL VARIATION IN CHEMICAL CHARACTERISTICS OF A SWAMP PEATLAND, ANGLESEA, AUSTRALIA.</w:t>
                      </w:r>
                      <w:r w:rsidRPr="00517A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17AAF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="00266792" w:rsidRPr="00517AAF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517AAF">
                        <w:rPr>
                          <w:rFonts w:ascii="Times New Roman" w:hAnsi="Times New Roman" w:cs="Times New Roman"/>
                        </w:rPr>
                        <w:t xml:space="preserve"> Ferguson</w:t>
                      </w:r>
                      <w:r w:rsidR="00266792" w:rsidRPr="00517AAF">
                        <w:rPr>
                          <w:rFonts w:ascii="Times New Roman" w:hAnsi="Times New Roman" w:cs="Times New Roman"/>
                        </w:rPr>
                        <w:t>, V. Wong, School of Earth, Atmosphere and Environment, Monash University, Clayton, Australia (rfer0017@student.monash.edu).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D65E1D5" w14:textId="52CE065A" w:rsidR="00BD2F9F" w:rsidRPr="00BD2F9F" w:rsidRDefault="002971E9" w:rsidP="00557A3F">
      <w:pPr>
        <w:jc w:val="both"/>
        <w:rPr>
          <w:rFonts w:ascii="Times New Roman" w:hAnsi="Times New Roman" w:cs="Times New Roman"/>
        </w:rPr>
      </w:pPr>
      <w:r w:rsidRPr="00B4708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D6941F" wp14:editId="1E3EFA28">
                <wp:simplePos x="0" y="0"/>
                <wp:positionH relativeFrom="column">
                  <wp:posOffset>4429290</wp:posOffset>
                </wp:positionH>
                <wp:positionV relativeFrom="page">
                  <wp:posOffset>2737914</wp:posOffset>
                </wp:positionV>
                <wp:extent cx="213995" cy="24828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F084B" w14:textId="1B1F8EDE" w:rsidR="002971E9" w:rsidRPr="002971E9" w:rsidRDefault="002971E9" w:rsidP="002971E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Pr="002971E9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941F" id="_x0000_s1029" type="#_x0000_t202" style="position:absolute;left:0;text-align:left;margin-left:348.75pt;margin-top:215.6pt;width:16.85pt;height:19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" filled="f" stroked="f">
                <v:textbox>
                  <w:txbxContent>
                    <w:p w14:paraId="425F084B" w14:textId="1B1F8EDE" w:rsidR="002971E9" w:rsidRPr="002971E9" w:rsidRDefault="002971E9" w:rsidP="002971E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Pr="002971E9">
                        <w:rPr>
                          <w:rFonts w:ascii="Times New Roman" w:hAnsi="Times New Roman" w:cs="Times New Roman"/>
                        </w:rPr>
                        <w:t>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4708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B2EAD4" wp14:editId="5198805B">
                <wp:simplePos x="0" y="0"/>
                <wp:positionH relativeFrom="column">
                  <wp:posOffset>2954622</wp:posOffset>
                </wp:positionH>
                <wp:positionV relativeFrom="page">
                  <wp:posOffset>2695630</wp:posOffset>
                </wp:positionV>
                <wp:extent cx="194945" cy="24828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6869" w14:textId="77777777" w:rsidR="002971E9" w:rsidRPr="002971E9" w:rsidRDefault="002971E9" w:rsidP="002971E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71E9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2EAD4" id="_x0000_s1030" type="#_x0000_t202" style="position:absolute;left:0;text-align:left;margin-left:232.65pt;margin-top:212.25pt;width:15.35pt;height:19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" filled="f" stroked="f">
                <v:textbox>
                  <w:txbxContent>
                    <w:p w14:paraId="48E76869" w14:textId="77777777" w:rsidR="002971E9" w:rsidRPr="002971E9" w:rsidRDefault="002971E9" w:rsidP="002971E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71E9">
                        <w:rPr>
                          <w:rFonts w:ascii="Times New Roman" w:hAnsi="Times New Roman" w:cs="Times New Roman"/>
                        </w:rPr>
                        <w:t>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04D8" w:rsidRPr="008204D8">
        <w:rPr>
          <w:rFonts w:ascii="Times New Roman" w:hAnsi="Times New Roman" w:cs="Times New Roman"/>
          <w:b/>
          <w:bCs/>
          <w:sz w:val="24"/>
          <w:szCs w:val="24"/>
        </w:rPr>
        <w:t>Introduction:</w:t>
      </w:r>
      <w:r w:rsidR="008204D8">
        <w:rPr>
          <w:rFonts w:ascii="Times New Roman" w:hAnsi="Times New Roman" w:cs="Times New Roman"/>
        </w:rPr>
        <w:t xml:space="preserve"> </w:t>
      </w:r>
      <w:r w:rsidR="00BD2F9F" w:rsidRPr="00BD2F9F">
        <w:rPr>
          <w:rFonts w:ascii="Times New Roman" w:hAnsi="Times New Roman" w:cs="Times New Roman"/>
        </w:rPr>
        <w:t xml:space="preserve">Peatlands are increasingly becoming recognised as crucial stores of carbon in natural systems. Much of the peatland cover worldwide occurs in high-latitude and high-altitude areas, </w:t>
      </w:r>
      <w:r w:rsidR="00BE49F7">
        <w:rPr>
          <w:rFonts w:ascii="Times New Roman" w:hAnsi="Times New Roman" w:cs="Times New Roman"/>
        </w:rPr>
        <w:t xml:space="preserve">where the combination of </w:t>
      </w:r>
      <w:r w:rsidR="00C47B8C">
        <w:rPr>
          <w:rFonts w:ascii="Times New Roman" w:hAnsi="Times New Roman" w:cs="Times New Roman"/>
        </w:rPr>
        <w:t>cold, waterlogged conditions</w:t>
      </w:r>
      <w:r w:rsidR="00CF4F86">
        <w:rPr>
          <w:rFonts w:ascii="Times New Roman" w:hAnsi="Times New Roman" w:cs="Times New Roman"/>
        </w:rPr>
        <w:t xml:space="preserve"> reduces the decomposition rate of plant material. </w:t>
      </w:r>
      <w:r w:rsidR="00D83CF5">
        <w:rPr>
          <w:rFonts w:ascii="Times New Roman" w:hAnsi="Times New Roman" w:cs="Times New Roman"/>
        </w:rPr>
        <w:t>B</w:t>
      </w:r>
      <w:r w:rsidR="00BD2F9F" w:rsidRPr="00BD2F9F">
        <w:rPr>
          <w:rFonts w:ascii="Times New Roman" w:hAnsi="Times New Roman" w:cs="Times New Roman"/>
        </w:rPr>
        <w:t xml:space="preserve">oreal peatlands </w:t>
      </w:r>
      <w:r w:rsidR="002554B8">
        <w:rPr>
          <w:rFonts w:ascii="Times New Roman" w:hAnsi="Times New Roman" w:cs="Times New Roman"/>
        </w:rPr>
        <w:t>in</w:t>
      </w:r>
      <w:r w:rsidR="00BD2F9F" w:rsidRPr="00BD2F9F">
        <w:rPr>
          <w:rFonts w:ascii="Times New Roman" w:hAnsi="Times New Roman" w:cs="Times New Roman"/>
        </w:rPr>
        <w:t xml:space="preserve"> the northern hemisphere </w:t>
      </w:r>
      <w:r w:rsidR="002554B8">
        <w:rPr>
          <w:rFonts w:ascii="Times New Roman" w:hAnsi="Times New Roman" w:cs="Times New Roman"/>
        </w:rPr>
        <w:t xml:space="preserve">are known to have </w:t>
      </w:r>
      <w:r w:rsidR="00245265">
        <w:rPr>
          <w:rFonts w:ascii="Times New Roman" w:hAnsi="Times New Roman" w:cs="Times New Roman"/>
        </w:rPr>
        <w:t>a particularly high carbon store;</w:t>
      </w:r>
      <w:r w:rsidR="00BD2F9F" w:rsidRPr="00BD2F9F">
        <w:rPr>
          <w:rFonts w:ascii="Times New Roman" w:hAnsi="Times New Roman" w:cs="Times New Roman"/>
        </w:rPr>
        <w:t xml:space="preserve"> it is predicted that approximately 455 to 621 petagrams of soil carbon is stored</w:t>
      </w:r>
      <w:r w:rsidR="00E01A2D">
        <w:rPr>
          <w:rFonts w:ascii="Times New Roman" w:hAnsi="Times New Roman" w:cs="Times New Roman"/>
        </w:rPr>
        <w:t xml:space="preserve"> in these regions</w:t>
      </w:r>
      <w:r w:rsidR="00E01A2D">
        <w:rPr>
          <w:rFonts w:ascii="Times New Roman" w:hAnsi="Times New Roman" w:cs="Times New Roman"/>
          <w:vertAlign w:val="superscript"/>
        </w:rPr>
        <w:t>1</w:t>
      </w:r>
      <w:r w:rsidR="001D251D">
        <w:rPr>
          <w:rFonts w:ascii="Times New Roman" w:hAnsi="Times New Roman" w:cs="Times New Roman"/>
        </w:rPr>
        <w:t>.</w:t>
      </w:r>
      <w:r w:rsidR="00BD2F9F" w:rsidRPr="00BD2F9F">
        <w:rPr>
          <w:rFonts w:ascii="Times New Roman" w:hAnsi="Times New Roman" w:cs="Times New Roman"/>
        </w:rPr>
        <w:t xml:space="preserve"> </w:t>
      </w:r>
      <w:r w:rsidR="00646B3A">
        <w:rPr>
          <w:rFonts w:ascii="Times New Roman" w:hAnsi="Times New Roman" w:cs="Times New Roman"/>
        </w:rPr>
        <w:t xml:space="preserve">In a global context, this estimate is </w:t>
      </w:r>
      <w:r w:rsidR="00BD2F9F" w:rsidRPr="00BD2F9F">
        <w:rPr>
          <w:rFonts w:ascii="Times New Roman" w:hAnsi="Times New Roman" w:cs="Times New Roman"/>
        </w:rPr>
        <w:t>equal to around one-third of the global pool of soil carbon</w:t>
      </w:r>
      <w:r w:rsidR="00646B3A">
        <w:rPr>
          <w:rFonts w:ascii="Times New Roman" w:hAnsi="Times New Roman" w:cs="Times New Roman"/>
          <w:vertAlign w:val="superscript"/>
        </w:rPr>
        <w:t>1,2</w:t>
      </w:r>
      <w:r w:rsidR="00BD2F9F" w:rsidRPr="00BD2F9F">
        <w:rPr>
          <w:rFonts w:ascii="Times New Roman" w:hAnsi="Times New Roman" w:cs="Times New Roman"/>
        </w:rPr>
        <w:t xml:space="preserve">. </w:t>
      </w:r>
      <w:r w:rsidR="00627F48">
        <w:rPr>
          <w:rFonts w:ascii="Times New Roman" w:hAnsi="Times New Roman" w:cs="Times New Roman"/>
        </w:rPr>
        <w:t>P</w:t>
      </w:r>
      <w:r w:rsidR="00BD2F9F" w:rsidRPr="00BD2F9F">
        <w:rPr>
          <w:rFonts w:ascii="Times New Roman" w:hAnsi="Times New Roman" w:cs="Times New Roman"/>
        </w:rPr>
        <w:t xml:space="preserve">eatlands also </w:t>
      </w:r>
      <w:r w:rsidR="00627F48">
        <w:rPr>
          <w:rFonts w:ascii="Times New Roman" w:hAnsi="Times New Roman" w:cs="Times New Roman"/>
        </w:rPr>
        <w:t xml:space="preserve">largely </w:t>
      </w:r>
      <w:r w:rsidR="00BD2F9F" w:rsidRPr="00BD2F9F">
        <w:rPr>
          <w:rFonts w:ascii="Times New Roman" w:hAnsi="Times New Roman" w:cs="Times New Roman"/>
        </w:rPr>
        <w:t>occur in areas of high rainfall</w:t>
      </w:r>
      <w:r w:rsidR="00E52156">
        <w:rPr>
          <w:rFonts w:ascii="Times New Roman" w:hAnsi="Times New Roman" w:cs="Times New Roman"/>
        </w:rPr>
        <w:t xml:space="preserve"> and/or poor drainage</w:t>
      </w:r>
      <w:r w:rsidR="00BD2F9F" w:rsidRPr="00BD2F9F">
        <w:rPr>
          <w:rFonts w:ascii="Times New Roman" w:hAnsi="Times New Roman" w:cs="Times New Roman"/>
        </w:rPr>
        <w:t>,</w:t>
      </w:r>
      <w:r w:rsidR="00E52156">
        <w:rPr>
          <w:rFonts w:ascii="Times New Roman" w:hAnsi="Times New Roman" w:cs="Times New Roman"/>
        </w:rPr>
        <w:t xml:space="preserve"> such as rainforests and</w:t>
      </w:r>
      <w:r w:rsidR="00BD2F9F" w:rsidRPr="00BD2F9F">
        <w:rPr>
          <w:rFonts w:ascii="Times New Roman" w:hAnsi="Times New Roman" w:cs="Times New Roman"/>
        </w:rPr>
        <w:t xml:space="preserve"> </w:t>
      </w:r>
      <w:r w:rsidR="00E52156" w:rsidRPr="00BD2F9F">
        <w:rPr>
          <w:rFonts w:ascii="Times New Roman" w:hAnsi="Times New Roman" w:cs="Times New Roman"/>
        </w:rPr>
        <w:t>estuaries</w:t>
      </w:r>
      <w:r w:rsidR="00A07C0F">
        <w:rPr>
          <w:rFonts w:ascii="Times New Roman" w:hAnsi="Times New Roman" w:cs="Times New Roman"/>
        </w:rPr>
        <w:t>.</w:t>
      </w:r>
    </w:p>
    <w:p w14:paraId="3BEB123B" w14:textId="06D58657" w:rsidR="00E051ED" w:rsidRDefault="00BD2F9F" w:rsidP="00BD2F9F">
      <w:pPr>
        <w:jc w:val="both"/>
        <w:rPr>
          <w:rFonts w:ascii="Times New Roman" w:hAnsi="Times New Roman" w:cs="Times New Roman"/>
        </w:rPr>
      </w:pPr>
      <w:r w:rsidRPr="00BD2F9F">
        <w:rPr>
          <w:rFonts w:ascii="Times New Roman" w:hAnsi="Times New Roman" w:cs="Times New Roman"/>
        </w:rPr>
        <w:t>Studies examining peatlands in Australia tend to focus on higher elevation sites such as the Australian Alps, primarily due to their unique and somewhat rare characteristics in Australia</w:t>
      </w:r>
      <w:r w:rsidR="009D0BE1">
        <w:rPr>
          <w:rFonts w:ascii="Times New Roman" w:hAnsi="Times New Roman" w:cs="Times New Roman"/>
        </w:rPr>
        <w:t xml:space="preserve"> [3]</w:t>
      </w:r>
      <w:r w:rsidRPr="00BD2F9F">
        <w:rPr>
          <w:rFonts w:ascii="Times New Roman" w:hAnsi="Times New Roman" w:cs="Times New Roman"/>
        </w:rPr>
        <w:t>. However, comparatively few studies examine other types of peats, for example peat swamps in estuarine regions</w:t>
      </w:r>
      <w:r w:rsidR="009D0BE1">
        <w:rPr>
          <w:rFonts w:ascii="Times New Roman" w:hAnsi="Times New Roman" w:cs="Times New Roman"/>
        </w:rPr>
        <w:t>; this knowledge gap is addressed in the current study.</w:t>
      </w:r>
    </w:p>
    <w:p w14:paraId="358F6C0D" w14:textId="58AD6DDD" w:rsidR="001B637A" w:rsidRDefault="00776C3B" w:rsidP="00BD2F9F">
      <w:pPr>
        <w:jc w:val="both"/>
        <w:rPr>
          <w:rFonts w:ascii="Times New Roman" w:hAnsi="Times New Roman" w:cs="Times New Roman"/>
        </w:rPr>
      </w:pPr>
      <w:r w:rsidRPr="00776C3B">
        <w:rPr>
          <w:rFonts w:ascii="Times New Roman" w:hAnsi="Times New Roman" w:cs="Times New Roman"/>
          <w:noProof/>
          <w:color w:val="404040" w:themeColor="text1" w:themeTint="BF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6CA3F8" wp14:editId="5A41BE57">
                <wp:simplePos x="0" y="0"/>
                <wp:positionH relativeFrom="column">
                  <wp:posOffset>-99695</wp:posOffset>
                </wp:positionH>
                <wp:positionV relativeFrom="paragraph">
                  <wp:posOffset>2926243</wp:posOffset>
                </wp:positionV>
                <wp:extent cx="2996565" cy="262255"/>
                <wp:effectExtent l="0" t="0" r="0" b="444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656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17E06" w14:textId="1AEEAA24" w:rsidR="00776C3B" w:rsidRDefault="00776C3B">
                            <w:r>
                              <w:rPr>
                                <w:rFonts w:ascii="Times New Roman" w:hAnsi="Times New Roman" w:cs="Times New Roman"/>
                              </w:rPr>
                              <w:t>sulphur concentrations (</w:t>
                            </w:r>
                            <w:r w:rsidRPr="00BD7CD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Figure 1b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, Figure 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CA3F8" id="_x0000_s1031" type="#_x0000_t202" style="position:absolute;left:0;text-align:left;margin-left:-7.85pt;margin-top:230.4pt;width:235.95pt;height:2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" filled="f" stroked="f">
                <v:textbox>
                  <w:txbxContent>
                    <w:p w14:paraId="50617E06" w14:textId="1AEEAA24" w:rsidR="00776C3B" w:rsidRDefault="00776C3B">
                      <w:r>
                        <w:rPr>
                          <w:rFonts w:ascii="Times New Roman" w:hAnsi="Times New Roman" w:cs="Times New Roman"/>
                        </w:rPr>
                        <w:t>sulphur concentrations (</w:t>
                      </w:r>
                      <w:r w:rsidRPr="00BD7CD8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Figure 1b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, Figure 2</w:t>
                      </w:r>
                      <w:r>
                        <w:rPr>
                          <w:rFonts w:ascii="Times New Roman" w:hAnsi="Times New Roman" w:cs="Times New Roman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="008204D8" w:rsidRPr="008204D8">
        <w:rPr>
          <w:rFonts w:ascii="Times New Roman" w:hAnsi="Times New Roman" w:cs="Times New Roman"/>
          <w:b/>
          <w:bCs/>
          <w:sz w:val="24"/>
          <w:szCs w:val="24"/>
        </w:rPr>
        <w:t>Methods:</w:t>
      </w:r>
      <w:r w:rsidR="008204D8">
        <w:rPr>
          <w:rFonts w:ascii="Times New Roman" w:hAnsi="Times New Roman" w:cs="Times New Roman"/>
        </w:rPr>
        <w:t xml:space="preserve"> </w:t>
      </w:r>
      <w:r w:rsidR="00273857" w:rsidRPr="00273857">
        <w:rPr>
          <w:rFonts w:ascii="Times New Roman" w:hAnsi="Times New Roman" w:cs="Times New Roman"/>
        </w:rPr>
        <w:t xml:space="preserve">This study was </w:t>
      </w:r>
      <w:r w:rsidR="00A8023B">
        <w:rPr>
          <w:rFonts w:ascii="Times New Roman" w:hAnsi="Times New Roman" w:cs="Times New Roman"/>
        </w:rPr>
        <w:t>located</w:t>
      </w:r>
      <w:r w:rsidR="00273857" w:rsidRPr="00273857">
        <w:rPr>
          <w:rFonts w:ascii="Times New Roman" w:hAnsi="Times New Roman" w:cs="Times New Roman"/>
        </w:rPr>
        <w:t xml:space="preserve"> in the estuarine peat swamps of Anglesea, a </w:t>
      </w:r>
      <w:r w:rsidR="009D0BE1" w:rsidRPr="00273857">
        <w:rPr>
          <w:rFonts w:ascii="Times New Roman" w:hAnsi="Times New Roman" w:cs="Times New Roman"/>
        </w:rPr>
        <w:t xml:space="preserve">coastal </w:t>
      </w:r>
      <w:r w:rsidR="009D0BE1">
        <w:rPr>
          <w:rFonts w:ascii="Times New Roman" w:hAnsi="Times New Roman" w:cs="Times New Roman"/>
        </w:rPr>
        <w:t>town</w:t>
      </w:r>
      <w:r w:rsidR="00273857" w:rsidRPr="00273857">
        <w:rPr>
          <w:rFonts w:ascii="Times New Roman" w:hAnsi="Times New Roman" w:cs="Times New Roman"/>
        </w:rPr>
        <w:t xml:space="preserve"> in south-eastern Australia. Mean annual rainfall is 780mm, but tidal factors allow a regular supply of water in which peatlands can form.</w:t>
      </w:r>
      <w:r w:rsidR="000C3D7D">
        <w:rPr>
          <w:rFonts w:ascii="Times New Roman" w:hAnsi="Times New Roman" w:cs="Times New Roman"/>
        </w:rPr>
        <w:t xml:space="preserve"> </w:t>
      </w:r>
      <w:r w:rsidR="001765D2">
        <w:rPr>
          <w:rFonts w:ascii="Times New Roman" w:hAnsi="Times New Roman" w:cs="Times New Roman"/>
        </w:rPr>
        <w:t>A total of 28</w:t>
      </w:r>
      <w:r w:rsidR="00F41AF0">
        <w:rPr>
          <w:rFonts w:ascii="Times New Roman" w:hAnsi="Times New Roman" w:cs="Times New Roman"/>
        </w:rPr>
        <w:t xml:space="preserve"> sites were </w:t>
      </w:r>
      <w:r w:rsidR="00927FF6">
        <w:rPr>
          <w:rFonts w:ascii="Times New Roman" w:hAnsi="Times New Roman" w:cs="Times New Roman"/>
        </w:rPr>
        <w:t>sampled</w:t>
      </w:r>
      <w:r w:rsidR="00F41AF0">
        <w:rPr>
          <w:rFonts w:ascii="Times New Roman" w:hAnsi="Times New Roman" w:cs="Times New Roman"/>
        </w:rPr>
        <w:t xml:space="preserve"> along </w:t>
      </w:r>
      <w:r w:rsidR="005E1B66">
        <w:rPr>
          <w:rFonts w:ascii="Times New Roman" w:hAnsi="Times New Roman" w:cs="Times New Roman"/>
        </w:rPr>
        <w:t xml:space="preserve">a transect </w:t>
      </w:r>
      <w:r w:rsidR="008A1F44">
        <w:rPr>
          <w:rFonts w:ascii="Times New Roman" w:hAnsi="Times New Roman" w:cs="Times New Roman"/>
        </w:rPr>
        <w:t xml:space="preserve">in 1 km </w:t>
      </w:r>
      <w:r w:rsidR="005E1B66">
        <w:rPr>
          <w:rFonts w:ascii="Times New Roman" w:hAnsi="Times New Roman" w:cs="Times New Roman"/>
        </w:rPr>
        <w:t xml:space="preserve">iterations, representing </w:t>
      </w:r>
      <w:r w:rsidR="00A9732F">
        <w:rPr>
          <w:rFonts w:ascii="Times New Roman" w:hAnsi="Times New Roman" w:cs="Times New Roman"/>
        </w:rPr>
        <w:t>distance from the estuary mouth.</w:t>
      </w:r>
      <w:r w:rsidR="00DC264F">
        <w:rPr>
          <w:rFonts w:ascii="Times New Roman" w:hAnsi="Times New Roman" w:cs="Times New Roman"/>
        </w:rPr>
        <w:t xml:space="preserve"> </w:t>
      </w:r>
      <w:r w:rsidR="00287E09">
        <w:rPr>
          <w:rFonts w:ascii="Times New Roman" w:hAnsi="Times New Roman" w:cs="Times New Roman"/>
        </w:rPr>
        <w:t>Between 3–6  soil cores were taken at each site</w:t>
      </w:r>
      <w:r w:rsidR="00271EF5">
        <w:rPr>
          <w:rFonts w:ascii="Times New Roman" w:hAnsi="Times New Roman" w:cs="Times New Roman"/>
        </w:rPr>
        <w:t>;</w:t>
      </w:r>
      <w:r w:rsidR="00A06D03">
        <w:rPr>
          <w:rFonts w:ascii="Times New Roman" w:hAnsi="Times New Roman" w:cs="Times New Roman"/>
        </w:rPr>
        <w:t xml:space="preserve"> the depth range</w:t>
      </w:r>
      <w:r w:rsidR="00271EF5">
        <w:rPr>
          <w:rFonts w:ascii="Times New Roman" w:hAnsi="Times New Roman" w:cs="Times New Roman"/>
        </w:rPr>
        <w:t xml:space="preserve"> </w:t>
      </w:r>
      <w:r w:rsidR="00F57EED">
        <w:rPr>
          <w:rFonts w:ascii="Times New Roman" w:hAnsi="Times New Roman" w:cs="Times New Roman"/>
        </w:rPr>
        <w:t xml:space="preserve">from which cores were taken </w:t>
      </w:r>
      <w:r w:rsidR="00271EF5">
        <w:rPr>
          <w:rFonts w:ascii="Times New Roman" w:hAnsi="Times New Roman" w:cs="Times New Roman"/>
        </w:rPr>
        <w:t>were recorded.</w:t>
      </w:r>
      <w:r w:rsidR="00906E13">
        <w:rPr>
          <w:rFonts w:ascii="Times New Roman" w:hAnsi="Times New Roman" w:cs="Times New Roman"/>
        </w:rPr>
        <w:t xml:space="preserve"> </w:t>
      </w:r>
      <w:r w:rsidR="00271EF5">
        <w:rPr>
          <w:rFonts w:ascii="Times New Roman" w:hAnsi="Times New Roman" w:cs="Times New Roman"/>
        </w:rPr>
        <w:t>C</w:t>
      </w:r>
      <w:r w:rsidR="00906E13">
        <w:rPr>
          <w:rFonts w:ascii="Times New Roman" w:hAnsi="Times New Roman" w:cs="Times New Roman"/>
        </w:rPr>
        <w:t>ores were analysed for</w:t>
      </w:r>
      <w:r w:rsidR="00271EF5">
        <w:rPr>
          <w:rFonts w:ascii="Times New Roman" w:hAnsi="Times New Roman" w:cs="Times New Roman"/>
        </w:rPr>
        <w:t xml:space="preserve"> a variety of soil</w:t>
      </w:r>
      <w:r w:rsidR="00BD6408">
        <w:rPr>
          <w:rFonts w:ascii="Times New Roman" w:hAnsi="Times New Roman" w:cs="Times New Roman"/>
        </w:rPr>
        <w:t xml:space="preserve"> chemical properties</w:t>
      </w:r>
      <w:r w:rsidR="00906E13">
        <w:rPr>
          <w:rFonts w:ascii="Times New Roman" w:hAnsi="Times New Roman" w:cs="Times New Roman"/>
        </w:rPr>
        <w:t xml:space="preserve"> </w:t>
      </w:r>
      <w:r w:rsidR="00BD6408">
        <w:rPr>
          <w:rFonts w:ascii="Times New Roman" w:hAnsi="Times New Roman" w:cs="Times New Roman"/>
        </w:rPr>
        <w:t xml:space="preserve">including </w:t>
      </w:r>
      <w:r w:rsidR="00354CE9">
        <w:rPr>
          <w:rFonts w:ascii="Times New Roman" w:hAnsi="Times New Roman" w:cs="Times New Roman"/>
        </w:rPr>
        <w:t xml:space="preserve">Soil </w:t>
      </w:r>
      <w:r w:rsidR="00906E13">
        <w:rPr>
          <w:rFonts w:ascii="Times New Roman" w:hAnsi="Times New Roman" w:cs="Times New Roman"/>
        </w:rPr>
        <w:t xml:space="preserve">Organic Carbon </w:t>
      </w:r>
      <w:r w:rsidR="00354CE9">
        <w:rPr>
          <w:rFonts w:ascii="Times New Roman" w:hAnsi="Times New Roman" w:cs="Times New Roman"/>
        </w:rPr>
        <w:t>(SOC</w:t>
      </w:r>
      <w:r w:rsidR="00E10B00">
        <w:rPr>
          <w:rFonts w:ascii="Times New Roman" w:hAnsi="Times New Roman" w:cs="Times New Roman"/>
        </w:rPr>
        <w:t xml:space="preserve">, </w:t>
      </w:r>
      <w:r w:rsidR="00354CE9">
        <w:rPr>
          <w:rFonts w:ascii="Times New Roman" w:hAnsi="Times New Roman" w:cs="Times New Roman"/>
        </w:rPr>
        <w:t>%),</w:t>
      </w:r>
      <w:r w:rsidR="00B3764D">
        <w:rPr>
          <w:rFonts w:ascii="Times New Roman" w:hAnsi="Times New Roman" w:cs="Times New Roman"/>
        </w:rPr>
        <w:t xml:space="preserve"> </w:t>
      </w:r>
      <w:r w:rsidR="00BD7CD8">
        <w:rPr>
          <w:rFonts w:ascii="Times New Roman" w:hAnsi="Times New Roman" w:cs="Times New Roman"/>
        </w:rPr>
        <w:t>s</w:t>
      </w:r>
      <w:r w:rsidR="00B3764D">
        <w:rPr>
          <w:rFonts w:ascii="Times New Roman" w:hAnsi="Times New Roman" w:cs="Times New Roman"/>
        </w:rPr>
        <w:t>odium concentration</w:t>
      </w:r>
      <w:r w:rsidR="00260A07">
        <w:rPr>
          <w:rFonts w:ascii="Times New Roman" w:hAnsi="Times New Roman" w:cs="Times New Roman"/>
        </w:rPr>
        <w:t xml:space="preserve"> </w:t>
      </w:r>
      <w:r w:rsidR="00B3764D">
        <w:rPr>
          <w:rFonts w:ascii="Times New Roman" w:hAnsi="Times New Roman" w:cs="Times New Roman"/>
        </w:rPr>
        <w:t>(mg/kg)</w:t>
      </w:r>
      <w:r w:rsidR="00B3764D">
        <w:rPr>
          <w:rFonts w:ascii="Times New Roman" w:hAnsi="Times New Roman" w:cs="Times New Roman"/>
        </w:rPr>
        <w:t xml:space="preserve"> and </w:t>
      </w:r>
      <w:r w:rsidR="00BD7CD8">
        <w:rPr>
          <w:rFonts w:ascii="Times New Roman" w:hAnsi="Times New Roman" w:cs="Times New Roman"/>
        </w:rPr>
        <w:t>s</w:t>
      </w:r>
      <w:r w:rsidR="00B3764D">
        <w:rPr>
          <w:rFonts w:ascii="Times New Roman" w:hAnsi="Times New Roman" w:cs="Times New Roman"/>
        </w:rPr>
        <w:t>ulphur concentration (mg/kg).</w:t>
      </w:r>
      <w:r w:rsidR="00AF486E">
        <w:rPr>
          <w:rFonts w:ascii="Times New Roman" w:hAnsi="Times New Roman" w:cs="Times New Roman"/>
        </w:rPr>
        <w:t xml:space="preserve"> Due to the large number of data points (</w:t>
      </w:r>
      <w:r w:rsidR="00AF486E" w:rsidRPr="00AF486E">
        <w:rPr>
          <w:rFonts w:ascii="Times New Roman" w:hAnsi="Times New Roman" w:cs="Times New Roman"/>
          <w:b/>
          <w:bCs/>
        </w:rPr>
        <w:t>Figure 1a</w:t>
      </w:r>
      <w:r w:rsidR="00AF486E">
        <w:rPr>
          <w:rFonts w:ascii="Times New Roman" w:hAnsi="Times New Roman" w:cs="Times New Roman"/>
        </w:rPr>
        <w:t>)</w:t>
      </w:r>
      <w:r w:rsidR="00866E0A">
        <w:rPr>
          <w:rFonts w:ascii="Times New Roman" w:hAnsi="Times New Roman" w:cs="Times New Roman"/>
        </w:rPr>
        <w:t xml:space="preserve"> data were grouped by average</w:t>
      </w:r>
      <w:r w:rsidR="00882471">
        <w:rPr>
          <w:rFonts w:ascii="Times New Roman" w:hAnsi="Times New Roman" w:cs="Times New Roman"/>
        </w:rPr>
        <w:t xml:space="preserve"> depth value</w:t>
      </w:r>
      <w:r w:rsidR="004B2BE8">
        <w:rPr>
          <w:rFonts w:ascii="Times New Roman" w:hAnsi="Times New Roman" w:cs="Times New Roman"/>
        </w:rPr>
        <w:t>, creating mean</w:t>
      </w:r>
      <w:r w:rsidR="00354CE9">
        <w:rPr>
          <w:rFonts w:ascii="Times New Roman" w:hAnsi="Times New Roman" w:cs="Times New Roman"/>
        </w:rPr>
        <w:t xml:space="preserve"> values of SOC</w:t>
      </w:r>
      <w:r w:rsidR="00BD7CD8">
        <w:rPr>
          <w:rFonts w:ascii="Times New Roman" w:hAnsi="Times New Roman" w:cs="Times New Roman"/>
        </w:rPr>
        <w:t xml:space="preserve">, sodium and </w:t>
      </w:r>
      <w:r w:rsidR="00BD7CD8" w:rsidRPr="00167CF8">
        <w:rPr>
          <w:rFonts w:ascii="Times New Roman" w:hAnsi="Times New Roman" w:cs="Times New Roman"/>
          <w:color w:val="FFFFFF" w:themeColor="background1"/>
        </w:rPr>
        <w:t>sulphur concentrations (</w:t>
      </w:r>
      <w:r w:rsidR="00BD7CD8" w:rsidRPr="00167CF8">
        <w:rPr>
          <w:rFonts w:ascii="Times New Roman" w:hAnsi="Times New Roman" w:cs="Times New Roman"/>
          <w:b/>
          <w:bCs/>
          <w:color w:val="FFFFFF" w:themeColor="background1"/>
        </w:rPr>
        <w:t>Figure 1b,</w:t>
      </w:r>
      <w:r w:rsidR="00D44C84" w:rsidRPr="00167CF8">
        <w:rPr>
          <w:rFonts w:ascii="Times New Roman" w:hAnsi="Times New Roman" w:cs="Times New Roman"/>
          <w:b/>
          <w:bCs/>
          <w:color w:val="FFFFFF" w:themeColor="background1"/>
        </w:rPr>
        <w:t xml:space="preserve"> Figure 2</w:t>
      </w:r>
      <w:r w:rsidR="00BD7CD8" w:rsidRPr="00167CF8">
        <w:rPr>
          <w:rFonts w:ascii="Times New Roman" w:hAnsi="Times New Roman" w:cs="Times New Roman"/>
          <w:color w:val="FFFFFF" w:themeColor="background1"/>
        </w:rPr>
        <w:t>).</w:t>
      </w:r>
      <w:r w:rsidR="00B95410">
        <w:rPr>
          <w:noProof/>
        </w:rPr>
        <w:drawing>
          <wp:inline distT="0" distB="0" distL="0" distR="0" wp14:anchorId="6C216AE3" wp14:editId="4E766BD8">
            <wp:extent cx="2819304" cy="2216552"/>
            <wp:effectExtent l="0" t="0" r="635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113" cy="223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BF1D" w14:textId="437AED98" w:rsidR="003A6D8D" w:rsidRPr="004B3FD4" w:rsidRDefault="003A6D8D" w:rsidP="00BD2F9F">
      <w:pPr>
        <w:jc w:val="both"/>
        <w:rPr>
          <w:rFonts w:ascii="Times New Roman" w:hAnsi="Times New Roman" w:cs="Times New Roman"/>
          <w:color w:val="404040" w:themeColor="text1" w:themeTint="BF"/>
          <w:sz w:val="18"/>
          <w:szCs w:val="18"/>
        </w:rPr>
      </w:pPr>
      <w:r w:rsidRPr="004B3FD4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Figure 1.</w:t>
      </w:r>
      <w:r w:rsidRPr="004B3FD4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</w:t>
      </w:r>
      <w:r w:rsidR="00960A67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Four iterations of the same data</w:t>
      </w:r>
      <w:r w:rsidR="003B5405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; </w:t>
      </w:r>
      <w:r w:rsidR="00F711A1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Organic Carbon (%)</w:t>
      </w:r>
      <w:r w:rsidR="005611D2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over depth</w:t>
      </w:r>
      <w:r w:rsidR="00960A67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. </w:t>
      </w:r>
      <w:r w:rsidR="000E273E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a: ungrouped data</w:t>
      </w:r>
      <w:r w:rsidR="005611D2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; b:</w:t>
      </w:r>
      <w:r w:rsidR="001D5B50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data grouped by average depth; c</w:t>
      </w:r>
      <w:r w:rsidR="00D73623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,d: figure b separated</w:t>
      </w:r>
      <w:r w:rsidR="00F11223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into 0–0.</w:t>
      </w:r>
      <w:r w:rsidR="00805EBB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4</w:t>
      </w:r>
      <w:r w:rsidR="00F11223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m</w:t>
      </w:r>
      <w:r w:rsidR="00960A67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</w:t>
      </w:r>
      <w:r w:rsidR="00F13B80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(c) and </w:t>
      </w:r>
      <w:r w:rsidR="00805EBB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0.4</w:t>
      </w:r>
      <w:r w:rsidR="00F26DAD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–1.</w:t>
      </w:r>
      <w:r w:rsidR="008F3C8B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1m</w:t>
      </w:r>
      <w:r w:rsidR="000A131D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(d)</w:t>
      </w:r>
      <w:r w:rsidR="008F3C8B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. </w:t>
      </w:r>
      <w:r w:rsidR="004B3FD4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Note that the y-axis has been inverted to more clearly visualise depth; therefore equations remain correct.</w:t>
      </w:r>
    </w:p>
    <w:p w14:paraId="2E0E95A4" w14:textId="146006FA" w:rsidR="00E051ED" w:rsidRDefault="00F44C2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D34AA5" wp14:editId="48F9FB03">
            <wp:extent cx="2818765" cy="4051597"/>
            <wp:effectExtent l="0" t="0" r="635" b="635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591" cy="411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2F43" w14:textId="213289FC" w:rsidR="00517AAF" w:rsidRDefault="00CF6A5F" w:rsidP="00BD2F9F">
      <w:pPr>
        <w:jc w:val="both"/>
        <w:rPr>
          <w:rFonts w:ascii="Times New Roman" w:hAnsi="Times New Roman" w:cs="Times New Roman"/>
          <w:color w:val="404040" w:themeColor="text1" w:themeTint="BF"/>
          <w:sz w:val="18"/>
          <w:szCs w:val="18"/>
        </w:rPr>
      </w:pPr>
      <w:r w:rsidRPr="00FF209E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Figure 2:</w:t>
      </w:r>
      <w:r w:rsidR="00AE5AB5" w:rsidRPr="00FF209E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Comparison of </w:t>
      </w:r>
      <w:r w:rsidR="008E7DD3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log-transformed </w:t>
      </w:r>
      <w:r w:rsidR="00AE5AB5" w:rsidRPr="00FF209E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average sodium</w:t>
      </w:r>
      <w:r w:rsidR="00FF209E" w:rsidRPr="00FF209E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(</w:t>
      </w:r>
      <w:r w:rsidR="009B5DF5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top</w:t>
      </w:r>
      <w:r w:rsidR="00FF209E" w:rsidRPr="00FF209E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)</w:t>
      </w:r>
      <w:r w:rsidR="00AE5AB5" w:rsidRPr="00FF209E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and average sulphur </w:t>
      </w:r>
      <w:r w:rsidR="00FF209E" w:rsidRPr="00FF209E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(</w:t>
      </w:r>
      <w:r w:rsidR="009B5DF5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bottom</w:t>
      </w:r>
      <w:r w:rsidR="00FF209E" w:rsidRPr="00FF209E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) </w:t>
      </w:r>
      <w:r w:rsidR="00AE5AB5" w:rsidRPr="00FF209E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concentration</w:t>
      </w:r>
      <w:r w:rsidR="004B3FD4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s</w:t>
      </w:r>
      <w:r w:rsidR="003A06AB" w:rsidRPr="00FF209E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over depth at each of the </w:t>
      </w:r>
      <w:r w:rsidR="00FF209E" w:rsidRPr="00FF209E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28 </w:t>
      </w:r>
      <w:r w:rsidR="003A06AB" w:rsidRPr="00FF209E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sites</w:t>
      </w:r>
      <w:r w:rsidR="00FF209E" w:rsidRPr="00FF209E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sampled in the study</w:t>
      </w:r>
      <w:r w:rsidR="004B3FD4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. Note that the y-axis has been inverted to more clearly visualise depth; therefore equations remain correct.</w:t>
      </w:r>
    </w:p>
    <w:p w14:paraId="2E09B669" w14:textId="2051713F" w:rsidR="00B269A9" w:rsidRDefault="00293DAA" w:rsidP="00BD2F9F">
      <w:pPr>
        <w:jc w:val="both"/>
        <w:rPr>
          <w:rFonts w:ascii="Times New Roman" w:hAnsi="Times New Roman" w:cs="Times New Roman"/>
          <w:color w:val="404040" w:themeColor="text1" w:themeTint="BF"/>
          <w:sz w:val="18"/>
          <w:szCs w:val="18"/>
        </w:rPr>
      </w:pPr>
      <w:r>
        <w:rPr>
          <w:noProof/>
          <w:color w:val="404040" w:themeColor="text1" w:themeTint="BF"/>
          <w:sz w:val="18"/>
          <w:szCs w:val="18"/>
        </w:rPr>
        <w:lastRenderedPageBreak/>
        <w:drawing>
          <wp:inline distT="0" distB="0" distL="0" distR="0" wp14:anchorId="0CD2ECEB" wp14:editId="6C07C683">
            <wp:extent cx="2743200" cy="3756317"/>
            <wp:effectExtent l="0" t="0" r="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17" cy="379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CE44" w14:textId="302FF07C" w:rsidR="00B95410" w:rsidRPr="00EE7FF6" w:rsidRDefault="00293DAA" w:rsidP="0090139C">
      <w:pPr>
        <w:jc w:val="both"/>
        <w:rPr>
          <w:rFonts w:ascii="Times New Roman" w:hAnsi="Times New Roman" w:cs="Times New Roman"/>
          <w:color w:val="404040" w:themeColor="text1" w:themeTint="BF"/>
          <w:sz w:val="18"/>
          <w:szCs w:val="18"/>
        </w:rPr>
      </w:pPr>
      <w:r w:rsidRPr="00FF209E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Figure </w:t>
      </w:r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3</w:t>
      </w:r>
      <w:r w:rsidRPr="00FF209E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:</w:t>
      </w:r>
      <w:r w:rsidRPr="00FF209E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</w:t>
      </w:r>
      <w:r w:rsidR="007F095A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Log-transformed sodium</w:t>
      </w:r>
      <w:r w:rsidR="009B5DF5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(top)</w:t>
      </w:r>
      <w:r w:rsidR="007F095A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and sulphur </w:t>
      </w:r>
      <w:r w:rsidR="009B5DF5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(bottom) </w:t>
      </w:r>
      <w:r w:rsidR="007F095A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concentrations</w:t>
      </w:r>
      <w:r w:rsidR="005618D6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 </w:t>
      </w:r>
      <w:r w:rsidR="005F4303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of samples </w:t>
      </w:r>
      <w:r w:rsidR="005618D6">
        <w:rPr>
          <w:rFonts w:ascii="Times New Roman" w:hAnsi="Times New Roman" w:cs="Times New Roman"/>
          <w:color w:val="404040" w:themeColor="text1" w:themeTint="BF"/>
          <w:sz w:val="18"/>
          <w:szCs w:val="18"/>
        </w:rPr>
        <w:t xml:space="preserve">over distance from </w:t>
      </w:r>
      <w:r w:rsidR="005F4303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the estuary mouth</w:t>
      </w:r>
      <w:r w:rsidR="00DB6F25">
        <w:rPr>
          <w:rFonts w:ascii="Times New Roman" w:hAnsi="Times New Roman" w:cs="Times New Roman"/>
          <w:color w:val="404040" w:themeColor="text1" w:themeTint="BF"/>
          <w:sz w:val="18"/>
          <w:szCs w:val="18"/>
        </w:rPr>
        <w:t>.</w:t>
      </w:r>
    </w:p>
    <w:p w14:paraId="125E6EE9" w14:textId="04EA49E0" w:rsidR="00292C20" w:rsidRDefault="00FC397C" w:rsidP="009013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="00B95410" w:rsidRPr="008204D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95410">
        <w:rPr>
          <w:rFonts w:ascii="Times New Roman" w:hAnsi="Times New Roman" w:cs="Times New Roman"/>
        </w:rPr>
        <w:t xml:space="preserve"> </w:t>
      </w:r>
      <w:r w:rsidR="00A74CF0">
        <w:rPr>
          <w:rFonts w:ascii="Times New Roman" w:hAnsi="Times New Roman" w:cs="Times New Roman"/>
        </w:rPr>
        <w:t>Although the ungrouped data showed little to no trend, grouped</w:t>
      </w:r>
      <w:r w:rsidR="00B400BA">
        <w:rPr>
          <w:rFonts w:ascii="Times New Roman" w:hAnsi="Times New Roman" w:cs="Times New Roman"/>
        </w:rPr>
        <w:t xml:space="preserve"> data showed that </w:t>
      </w:r>
      <w:r w:rsidR="00F918D5">
        <w:rPr>
          <w:rFonts w:ascii="Times New Roman" w:hAnsi="Times New Roman" w:cs="Times New Roman"/>
        </w:rPr>
        <w:t>SOC generally increased over increasing depth</w:t>
      </w:r>
      <w:r w:rsidR="002879AE">
        <w:rPr>
          <w:rFonts w:ascii="Times New Roman" w:hAnsi="Times New Roman" w:cs="Times New Roman"/>
        </w:rPr>
        <w:t xml:space="preserve">, with a </w:t>
      </w:r>
      <w:r w:rsidR="00EE7FF6">
        <w:rPr>
          <w:rFonts w:ascii="Times New Roman" w:hAnsi="Times New Roman" w:cs="Times New Roman"/>
        </w:rPr>
        <w:t xml:space="preserve">significant result observed (p = 0.0039, </w:t>
      </w:r>
      <w:r w:rsidR="00EE7FF6" w:rsidRPr="00EE7FF6">
        <w:rPr>
          <w:rFonts w:ascii="Times New Roman" w:hAnsi="Times New Roman" w:cs="Times New Roman"/>
          <w:b/>
          <w:bCs/>
        </w:rPr>
        <w:t>Figure 1b</w:t>
      </w:r>
      <w:r w:rsidR="00EE7FF6">
        <w:rPr>
          <w:rFonts w:ascii="Times New Roman" w:hAnsi="Times New Roman" w:cs="Times New Roman"/>
        </w:rPr>
        <w:t>).</w:t>
      </w:r>
      <w:r w:rsidR="00F85FC9">
        <w:rPr>
          <w:rFonts w:ascii="Times New Roman" w:hAnsi="Times New Roman" w:cs="Times New Roman"/>
        </w:rPr>
        <w:t xml:space="preserve"> </w:t>
      </w:r>
      <w:r w:rsidR="00E70A03">
        <w:rPr>
          <w:rFonts w:ascii="Times New Roman" w:hAnsi="Times New Roman" w:cs="Times New Roman"/>
        </w:rPr>
        <w:t>The rate of</w:t>
      </w:r>
      <w:r w:rsidR="00A2379D">
        <w:rPr>
          <w:rFonts w:ascii="Times New Roman" w:hAnsi="Times New Roman" w:cs="Times New Roman"/>
        </w:rPr>
        <w:t xml:space="preserve"> SOC</w:t>
      </w:r>
      <w:r w:rsidR="00E65022">
        <w:rPr>
          <w:rFonts w:ascii="Times New Roman" w:hAnsi="Times New Roman" w:cs="Times New Roman"/>
        </w:rPr>
        <w:t xml:space="preserve"> </w:t>
      </w:r>
      <w:r w:rsidR="00E45762">
        <w:rPr>
          <w:rFonts w:ascii="Times New Roman" w:hAnsi="Times New Roman" w:cs="Times New Roman"/>
        </w:rPr>
        <w:t>change appeared to be greatest at the lower depths</w:t>
      </w:r>
      <w:r w:rsidR="00617F6D">
        <w:rPr>
          <w:rFonts w:ascii="Times New Roman" w:hAnsi="Times New Roman" w:cs="Times New Roman"/>
        </w:rPr>
        <w:t xml:space="preserve"> (</w:t>
      </w:r>
      <w:r w:rsidR="00617F6D">
        <w:rPr>
          <w:rFonts w:ascii="Times New Roman" w:hAnsi="Times New Roman" w:cs="Times New Roman"/>
        </w:rPr>
        <w:t>0.4</w:t>
      </w:r>
      <w:r w:rsidR="00617F6D">
        <w:rPr>
          <w:rFonts w:ascii="Times New Roman" w:hAnsi="Times New Roman" w:cs="Times New Roman"/>
        </w:rPr>
        <w:t>–1</w:t>
      </w:r>
      <w:r w:rsidR="00617F6D">
        <w:rPr>
          <w:rFonts w:ascii="Times New Roman" w:hAnsi="Times New Roman" w:cs="Times New Roman"/>
        </w:rPr>
        <w:t>.1m</w:t>
      </w:r>
      <w:r w:rsidR="00617F6D">
        <w:rPr>
          <w:rFonts w:ascii="Times New Roman" w:hAnsi="Times New Roman" w:cs="Times New Roman"/>
        </w:rPr>
        <w:t xml:space="preserve">) compared to </w:t>
      </w:r>
      <w:r w:rsidR="00B84CE8">
        <w:rPr>
          <w:rFonts w:ascii="Times New Roman" w:hAnsi="Times New Roman" w:cs="Times New Roman"/>
        </w:rPr>
        <w:t>the shallower depths (</w:t>
      </w:r>
      <w:r w:rsidR="00B84CE8" w:rsidRPr="00B84CE8">
        <w:rPr>
          <w:rFonts w:ascii="Times New Roman" w:hAnsi="Times New Roman" w:cs="Times New Roman"/>
          <w:b/>
          <w:bCs/>
        </w:rPr>
        <w:t>Figure 1c, d</w:t>
      </w:r>
      <w:r w:rsidR="00B84CE8">
        <w:rPr>
          <w:rFonts w:ascii="Times New Roman" w:hAnsi="Times New Roman" w:cs="Times New Roman"/>
        </w:rPr>
        <w:t>)</w:t>
      </w:r>
      <w:r w:rsidR="009B7819">
        <w:rPr>
          <w:rFonts w:ascii="Times New Roman" w:hAnsi="Times New Roman" w:cs="Times New Roman"/>
        </w:rPr>
        <w:t>.</w:t>
      </w:r>
      <w:r w:rsidR="001247F0">
        <w:rPr>
          <w:rFonts w:ascii="Times New Roman" w:hAnsi="Times New Roman" w:cs="Times New Roman"/>
        </w:rPr>
        <w:t xml:space="preserve"> </w:t>
      </w:r>
      <w:r w:rsidR="00292C20">
        <w:rPr>
          <w:rFonts w:ascii="Times New Roman" w:hAnsi="Times New Roman" w:cs="Times New Roman"/>
        </w:rPr>
        <w:t>However, no trend was observed w</w:t>
      </w:r>
      <w:r w:rsidR="00794CF9">
        <w:rPr>
          <w:rFonts w:ascii="Times New Roman" w:hAnsi="Times New Roman" w:cs="Times New Roman"/>
        </w:rPr>
        <w:t>hen examining</w:t>
      </w:r>
      <w:r w:rsidR="000C4435">
        <w:rPr>
          <w:rFonts w:ascii="Times New Roman" w:hAnsi="Times New Roman" w:cs="Times New Roman"/>
        </w:rPr>
        <w:t xml:space="preserve"> this trend over distance</w:t>
      </w:r>
      <w:r w:rsidR="00A028D8">
        <w:rPr>
          <w:rFonts w:ascii="Times New Roman" w:hAnsi="Times New Roman" w:cs="Times New Roman"/>
        </w:rPr>
        <w:t xml:space="preserve"> from estuary mouth (i.e. colour-bars).</w:t>
      </w:r>
    </w:p>
    <w:p w14:paraId="486F23FB" w14:textId="2A689E69" w:rsidR="001B59E2" w:rsidRDefault="009D3BA2" w:rsidP="009013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sodium and sulphur concentrations were l</w:t>
      </w:r>
      <w:r w:rsidR="001247F0">
        <w:rPr>
          <w:rFonts w:ascii="Times New Roman" w:hAnsi="Times New Roman" w:cs="Times New Roman"/>
        </w:rPr>
        <w:t>og-transformed</w:t>
      </w:r>
      <w:r w:rsidR="00F40023">
        <w:rPr>
          <w:rFonts w:ascii="Times New Roman" w:hAnsi="Times New Roman" w:cs="Times New Roman"/>
        </w:rPr>
        <w:t xml:space="preserve">, </w:t>
      </w:r>
      <w:r w:rsidR="007B2822">
        <w:rPr>
          <w:rFonts w:ascii="Times New Roman" w:hAnsi="Times New Roman" w:cs="Times New Roman"/>
        </w:rPr>
        <w:t xml:space="preserve">a </w:t>
      </w:r>
      <w:r w:rsidR="004A3F32">
        <w:rPr>
          <w:rFonts w:ascii="Times New Roman" w:hAnsi="Times New Roman" w:cs="Times New Roman"/>
        </w:rPr>
        <w:t>relatively</w:t>
      </w:r>
      <w:r w:rsidR="007B2822">
        <w:rPr>
          <w:rFonts w:ascii="Times New Roman" w:hAnsi="Times New Roman" w:cs="Times New Roman"/>
        </w:rPr>
        <w:t xml:space="preserve"> strong correlation</w:t>
      </w:r>
      <w:r w:rsidR="00FF5FEC">
        <w:rPr>
          <w:rFonts w:ascii="Times New Roman" w:hAnsi="Times New Roman" w:cs="Times New Roman"/>
        </w:rPr>
        <w:t xml:space="preserve"> (r</w:t>
      </w:r>
      <w:r w:rsidR="00FF5FEC" w:rsidRPr="00FF5FEC">
        <w:rPr>
          <w:rFonts w:ascii="Times New Roman" w:hAnsi="Times New Roman" w:cs="Times New Roman"/>
          <w:vertAlign w:val="superscript"/>
        </w:rPr>
        <w:t>2</w:t>
      </w:r>
      <w:r w:rsidR="00FF5FEC">
        <w:rPr>
          <w:rFonts w:ascii="Times New Roman" w:hAnsi="Times New Roman" w:cs="Times New Roman"/>
        </w:rPr>
        <w:t xml:space="preserve"> = 0.60, 0.57 respectively)</w:t>
      </w:r>
      <w:r w:rsidR="007B2822">
        <w:rPr>
          <w:rFonts w:ascii="Times New Roman" w:hAnsi="Times New Roman" w:cs="Times New Roman"/>
        </w:rPr>
        <w:t xml:space="preserve"> was observed</w:t>
      </w:r>
      <w:r w:rsidR="004A3F32">
        <w:rPr>
          <w:rFonts w:ascii="Times New Roman" w:hAnsi="Times New Roman" w:cs="Times New Roman"/>
        </w:rPr>
        <w:t xml:space="preserve"> for both variables</w:t>
      </w:r>
      <w:r w:rsidR="007A482A">
        <w:rPr>
          <w:rFonts w:ascii="Times New Roman" w:hAnsi="Times New Roman" w:cs="Times New Roman"/>
        </w:rPr>
        <w:t xml:space="preserve">, with </w:t>
      </w:r>
      <w:r w:rsidR="00BF6696">
        <w:rPr>
          <w:rFonts w:ascii="Times New Roman" w:hAnsi="Times New Roman" w:cs="Times New Roman"/>
        </w:rPr>
        <w:t>significant</w:t>
      </w:r>
      <w:r w:rsidR="007A482A">
        <w:rPr>
          <w:rFonts w:ascii="Times New Roman" w:hAnsi="Times New Roman" w:cs="Times New Roman"/>
        </w:rPr>
        <w:t xml:space="preserve"> results obtained for</w:t>
      </w:r>
      <w:r w:rsidR="00BF6696">
        <w:rPr>
          <w:rFonts w:ascii="Times New Roman" w:hAnsi="Times New Roman" w:cs="Times New Roman"/>
        </w:rPr>
        <w:t xml:space="preserve"> sodium (</w:t>
      </w:r>
      <w:r w:rsidR="00E15F44">
        <w:rPr>
          <w:rFonts w:ascii="Times New Roman" w:hAnsi="Times New Roman" w:cs="Times New Roman"/>
        </w:rPr>
        <w:t xml:space="preserve">p = </w:t>
      </w:r>
      <w:r w:rsidR="00A3325B" w:rsidRPr="00A3325B">
        <w:rPr>
          <w:rFonts w:ascii="Times New Roman" w:hAnsi="Times New Roman" w:cs="Times New Roman"/>
        </w:rPr>
        <w:t>0.000</w:t>
      </w:r>
      <w:r w:rsidR="00E15F44">
        <w:rPr>
          <w:rFonts w:ascii="Times New Roman" w:hAnsi="Times New Roman" w:cs="Times New Roman"/>
        </w:rPr>
        <w:t>8</w:t>
      </w:r>
      <w:r w:rsidR="00BF6696">
        <w:rPr>
          <w:rFonts w:ascii="Times New Roman" w:hAnsi="Times New Roman" w:cs="Times New Roman"/>
        </w:rPr>
        <w:t>) and sulphur (</w:t>
      </w:r>
      <w:r w:rsidR="00783208">
        <w:rPr>
          <w:rFonts w:ascii="Times New Roman" w:hAnsi="Times New Roman" w:cs="Times New Roman"/>
        </w:rPr>
        <w:t xml:space="preserve">p = </w:t>
      </w:r>
      <w:r w:rsidR="00783208" w:rsidRPr="00783208">
        <w:rPr>
          <w:rFonts w:ascii="Times New Roman" w:hAnsi="Times New Roman" w:cs="Times New Roman"/>
        </w:rPr>
        <w:t>0.001</w:t>
      </w:r>
      <w:r w:rsidR="00FA3E0A">
        <w:rPr>
          <w:rFonts w:ascii="Times New Roman" w:hAnsi="Times New Roman" w:cs="Times New Roman"/>
        </w:rPr>
        <w:t>4</w:t>
      </w:r>
      <w:r w:rsidR="00BF6696">
        <w:rPr>
          <w:rFonts w:ascii="Times New Roman" w:hAnsi="Times New Roman" w:cs="Times New Roman"/>
        </w:rPr>
        <w:t>)</w:t>
      </w:r>
      <w:r w:rsidR="004F4BE0">
        <w:rPr>
          <w:rFonts w:ascii="Times New Roman" w:hAnsi="Times New Roman" w:cs="Times New Roman"/>
        </w:rPr>
        <w:t xml:space="preserve"> (</w:t>
      </w:r>
      <w:r w:rsidR="004F4BE0" w:rsidRPr="004F4BE0">
        <w:rPr>
          <w:rFonts w:ascii="Times New Roman" w:hAnsi="Times New Roman" w:cs="Times New Roman"/>
          <w:b/>
          <w:bCs/>
        </w:rPr>
        <w:t>Figure 2</w:t>
      </w:r>
      <w:r w:rsidR="004F4BE0">
        <w:rPr>
          <w:rFonts w:ascii="Times New Roman" w:hAnsi="Times New Roman" w:cs="Times New Roman"/>
        </w:rPr>
        <w:t xml:space="preserve">). </w:t>
      </w:r>
      <w:r w:rsidR="00CB4A9D">
        <w:rPr>
          <w:rFonts w:ascii="Times New Roman" w:hAnsi="Times New Roman" w:cs="Times New Roman"/>
        </w:rPr>
        <w:t>Like</w:t>
      </w:r>
      <w:r w:rsidR="00D83ED5">
        <w:rPr>
          <w:rFonts w:ascii="Times New Roman" w:hAnsi="Times New Roman" w:cs="Times New Roman"/>
        </w:rPr>
        <w:t xml:space="preserve"> SOC,</w:t>
      </w:r>
      <w:r w:rsidR="00F52C0B">
        <w:rPr>
          <w:rFonts w:ascii="Times New Roman" w:hAnsi="Times New Roman" w:cs="Times New Roman"/>
        </w:rPr>
        <w:t xml:space="preserve"> both sodium and </w:t>
      </w:r>
      <w:r w:rsidR="00592CEA">
        <w:rPr>
          <w:rFonts w:ascii="Times New Roman" w:hAnsi="Times New Roman" w:cs="Times New Roman"/>
        </w:rPr>
        <w:t>sulphur</w:t>
      </w:r>
      <w:r w:rsidR="00CB4A9D">
        <w:rPr>
          <w:rFonts w:ascii="Times New Roman" w:hAnsi="Times New Roman" w:cs="Times New Roman"/>
        </w:rPr>
        <w:t xml:space="preserve"> concentrations</w:t>
      </w:r>
      <w:r w:rsidR="007A482A">
        <w:rPr>
          <w:rFonts w:ascii="Times New Roman" w:hAnsi="Times New Roman" w:cs="Times New Roman"/>
        </w:rPr>
        <w:t xml:space="preserve"> increased over increasing depth</w:t>
      </w:r>
      <w:r w:rsidR="00DE338C">
        <w:rPr>
          <w:rFonts w:ascii="Times New Roman" w:hAnsi="Times New Roman" w:cs="Times New Roman"/>
        </w:rPr>
        <w:t>.</w:t>
      </w:r>
      <w:r w:rsidR="005417DA">
        <w:rPr>
          <w:rFonts w:ascii="Times New Roman" w:hAnsi="Times New Roman" w:cs="Times New Roman"/>
        </w:rPr>
        <w:t xml:space="preserve"> </w:t>
      </w:r>
      <w:r w:rsidR="00B0129E">
        <w:rPr>
          <w:rFonts w:ascii="Times New Roman" w:hAnsi="Times New Roman" w:cs="Times New Roman"/>
        </w:rPr>
        <w:t>Despite this, n</w:t>
      </w:r>
      <w:r w:rsidR="001B59E2">
        <w:rPr>
          <w:rFonts w:ascii="Times New Roman" w:hAnsi="Times New Roman" w:cs="Times New Roman"/>
        </w:rPr>
        <w:t>o trend</w:t>
      </w:r>
      <w:r w:rsidR="005417DA">
        <w:rPr>
          <w:rFonts w:ascii="Times New Roman" w:hAnsi="Times New Roman" w:cs="Times New Roman"/>
        </w:rPr>
        <w:t>s</w:t>
      </w:r>
      <w:r w:rsidR="002362CD">
        <w:rPr>
          <w:rFonts w:ascii="Times New Roman" w:hAnsi="Times New Roman" w:cs="Times New Roman"/>
        </w:rPr>
        <w:t xml:space="preserve"> </w:t>
      </w:r>
      <w:r w:rsidR="005417DA">
        <w:rPr>
          <w:rFonts w:ascii="Times New Roman" w:hAnsi="Times New Roman" w:cs="Times New Roman"/>
        </w:rPr>
        <w:t>were</w:t>
      </w:r>
      <w:r w:rsidR="002362CD">
        <w:rPr>
          <w:rFonts w:ascii="Times New Roman" w:hAnsi="Times New Roman" w:cs="Times New Roman"/>
        </w:rPr>
        <w:t xml:space="preserve"> observed again when examining the </w:t>
      </w:r>
      <w:r w:rsidR="00990613">
        <w:rPr>
          <w:rFonts w:ascii="Times New Roman" w:hAnsi="Times New Roman" w:cs="Times New Roman"/>
        </w:rPr>
        <w:t>colour bars</w:t>
      </w:r>
      <w:r w:rsidR="004009B9">
        <w:rPr>
          <w:rFonts w:ascii="Times New Roman" w:hAnsi="Times New Roman" w:cs="Times New Roman"/>
        </w:rPr>
        <w:t xml:space="preserve"> (</w:t>
      </w:r>
      <w:r w:rsidR="002362CD">
        <w:rPr>
          <w:rFonts w:ascii="Times New Roman" w:hAnsi="Times New Roman" w:cs="Times New Roman"/>
        </w:rPr>
        <w:t xml:space="preserve">distance from </w:t>
      </w:r>
      <w:r w:rsidR="00B0129E">
        <w:rPr>
          <w:rFonts w:ascii="Times New Roman" w:hAnsi="Times New Roman" w:cs="Times New Roman"/>
        </w:rPr>
        <w:t>estuary mouth</w:t>
      </w:r>
      <w:r w:rsidR="004009B9">
        <w:rPr>
          <w:rFonts w:ascii="Times New Roman" w:hAnsi="Times New Roman" w:cs="Times New Roman"/>
        </w:rPr>
        <w:t>)</w:t>
      </w:r>
      <w:r w:rsidR="00B0129E">
        <w:rPr>
          <w:rFonts w:ascii="Times New Roman" w:hAnsi="Times New Roman" w:cs="Times New Roman"/>
        </w:rPr>
        <w:t>.</w:t>
      </w:r>
    </w:p>
    <w:p w14:paraId="721059B0" w14:textId="364EAE0F" w:rsidR="008E487B" w:rsidRPr="008E487B" w:rsidRDefault="00191386" w:rsidP="008E48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Sodium and sulphate concentrations appeared to increase </w:t>
      </w:r>
      <w:r w:rsidR="00034073">
        <w:rPr>
          <w:rFonts w:ascii="Times New Roman" w:hAnsi="Times New Roman" w:cs="Times New Roman"/>
        </w:rPr>
        <w:t xml:space="preserve">as sampling sites became further from the estuary </w:t>
      </w:r>
      <w:r w:rsidR="005C0813">
        <w:rPr>
          <w:rFonts w:ascii="Times New Roman" w:hAnsi="Times New Roman" w:cs="Times New Roman"/>
        </w:rPr>
        <w:t>mouth</w:t>
      </w:r>
      <w:r w:rsidR="007A130E">
        <w:rPr>
          <w:rFonts w:ascii="Times New Roman" w:hAnsi="Times New Roman" w:cs="Times New Roman"/>
        </w:rPr>
        <w:t xml:space="preserve"> (</w:t>
      </w:r>
      <w:r w:rsidR="007A130E" w:rsidRPr="007A130E">
        <w:rPr>
          <w:rFonts w:ascii="Times New Roman" w:hAnsi="Times New Roman" w:cs="Times New Roman"/>
          <w:b/>
          <w:bCs/>
        </w:rPr>
        <w:t>Figure 3</w:t>
      </w:r>
      <w:r w:rsidR="007A130E">
        <w:rPr>
          <w:rFonts w:ascii="Times New Roman" w:hAnsi="Times New Roman" w:cs="Times New Roman"/>
        </w:rPr>
        <w:t>)</w:t>
      </w:r>
      <w:r w:rsidR="007D4661">
        <w:rPr>
          <w:rFonts w:ascii="Times New Roman" w:hAnsi="Times New Roman" w:cs="Times New Roman"/>
        </w:rPr>
        <w:t>. D</w:t>
      </w:r>
      <w:r w:rsidR="00D9642F">
        <w:rPr>
          <w:rFonts w:ascii="Times New Roman" w:hAnsi="Times New Roman" w:cs="Times New Roman"/>
        </w:rPr>
        <w:t>espite the weaker correlation (r</w:t>
      </w:r>
      <w:r w:rsidR="007B50BE">
        <w:rPr>
          <w:rFonts w:ascii="Times New Roman" w:hAnsi="Times New Roman" w:cs="Times New Roman"/>
          <w:vertAlign w:val="superscript"/>
        </w:rPr>
        <w:t>2</w:t>
      </w:r>
      <w:r w:rsidR="007B50BE">
        <w:rPr>
          <w:rFonts w:ascii="Times New Roman" w:hAnsi="Times New Roman" w:cs="Times New Roman"/>
        </w:rPr>
        <w:t xml:space="preserve"> = 0.44, 0.47</w:t>
      </w:r>
      <w:r w:rsidR="00EF7DDD">
        <w:rPr>
          <w:rFonts w:ascii="Times New Roman" w:hAnsi="Times New Roman" w:cs="Times New Roman"/>
        </w:rPr>
        <w:t xml:space="preserve"> respectively)</w:t>
      </w:r>
      <w:r w:rsidR="00E16600">
        <w:rPr>
          <w:rFonts w:ascii="Times New Roman" w:hAnsi="Times New Roman" w:cs="Times New Roman"/>
        </w:rPr>
        <w:t xml:space="preserve">, </w:t>
      </w:r>
      <w:r w:rsidR="00153429">
        <w:rPr>
          <w:rFonts w:ascii="Times New Roman" w:hAnsi="Times New Roman" w:cs="Times New Roman"/>
        </w:rPr>
        <w:t>the linear regression fitted to the scatter plot was significant</w:t>
      </w:r>
      <w:r w:rsidR="0021101A">
        <w:rPr>
          <w:rFonts w:ascii="Times New Roman" w:hAnsi="Times New Roman" w:cs="Times New Roman"/>
        </w:rPr>
        <w:t xml:space="preserve"> for both</w:t>
      </w:r>
      <w:r w:rsidR="00B95378">
        <w:rPr>
          <w:rFonts w:ascii="Times New Roman" w:hAnsi="Times New Roman" w:cs="Times New Roman"/>
        </w:rPr>
        <w:t xml:space="preserve"> variables</w:t>
      </w:r>
      <w:r w:rsidR="002B139B">
        <w:rPr>
          <w:rFonts w:ascii="Times New Roman" w:hAnsi="Times New Roman" w:cs="Times New Roman"/>
        </w:rPr>
        <w:t xml:space="preserve"> (</w:t>
      </w:r>
      <w:r w:rsidR="00326AD1">
        <w:rPr>
          <w:rFonts w:ascii="Times New Roman" w:hAnsi="Times New Roman" w:cs="Times New Roman"/>
        </w:rPr>
        <w:t xml:space="preserve">p = </w:t>
      </w:r>
      <w:r w:rsidR="00326AD1" w:rsidRPr="00326AD1">
        <w:rPr>
          <w:rFonts w:ascii="Times New Roman" w:hAnsi="Times New Roman" w:cs="Times New Roman"/>
        </w:rPr>
        <w:t>0.01846</w:t>
      </w:r>
      <w:r w:rsidR="00326AD1">
        <w:rPr>
          <w:rFonts w:ascii="Times New Roman" w:hAnsi="Times New Roman" w:cs="Times New Roman"/>
        </w:rPr>
        <w:t xml:space="preserve">, </w:t>
      </w:r>
      <w:r w:rsidR="008E487B" w:rsidRPr="008E487B">
        <w:rPr>
          <w:rFonts w:ascii="Times New Roman" w:hAnsi="Times New Roman" w:cs="Times New Roman"/>
        </w:rPr>
        <w:t>0.01169</w:t>
      </w:r>
      <w:r w:rsidR="00B95378">
        <w:rPr>
          <w:rFonts w:ascii="Times New Roman" w:hAnsi="Times New Roman" w:cs="Times New Roman"/>
        </w:rPr>
        <w:t>)</w:t>
      </w:r>
      <w:r w:rsidR="00EC0532">
        <w:rPr>
          <w:rFonts w:ascii="Times New Roman" w:hAnsi="Times New Roman" w:cs="Times New Roman"/>
        </w:rPr>
        <w:t>.</w:t>
      </w:r>
    </w:p>
    <w:p w14:paraId="0C16C38D" w14:textId="3C5B4D07" w:rsidR="00D36D9C" w:rsidRDefault="00175298" w:rsidP="00CE51A7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Conclusions: </w:t>
      </w:r>
      <w:r w:rsidR="00B2658B">
        <w:rPr>
          <w:rFonts w:ascii="Times New Roman" w:hAnsi="Times New Roman" w:cs="Times New Roman"/>
          <w:sz w:val="21"/>
          <w:szCs w:val="21"/>
        </w:rPr>
        <w:t>T</w:t>
      </w:r>
      <w:r w:rsidR="00C75391">
        <w:rPr>
          <w:rFonts w:ascii="Times New Roman" w:hAnsi="Times New Roman" w:cs="Times New Roman"/>
          <w:sz w:val="21"/>
          <w:szCs w:val="21"/>
        </w:rPr>
        <w:t xml:space="preserve">he results of this study </w:t>
      </w:r>
      <w:r w:rsidR="009230C7">
        <w:rPr>
          <w:rFonts w:ascii="Times New Roman" w:hAnsi="Times New Roman" w:cs="Times New Roman"/>
          <w:sz w:val="21"/>
          <w:szCs w:val="21"/>
        </w:rPr>
        <w:t xml:space="preserve">highlight characteristic attributes of peat </w:t>
      </w:r>
      <w:r w:rsidR="006E2C30">
        <w:rPr>
          <w:rFonts w:ascii="Times New Roman" w:hAnsi="Times New Roman" w:cs="Times New Roman"/>
          <w:sz w:val="21"/>
          <w:szCs w:val="21"/>
        </w:rPr>
        <w:t>formation, particularly in terms of carbon storage</w:t>
      </w:r>
      <w:r w:rsidR="00FF04E8">
        <w:rPr>
          <w:rFonts w:ascii="Times New Roman" w:hAnsi="Times New Roman" w:cs="Times New Roman"/>
          <w:sz w:val="21"/>
          <w:szCs w:val="21"/>
        </w:rPr>
        <w:t xml:space="preserve">. </w:t>
      </w:r>
      <w:r w:rsidR="009377EF">
        <w:rPr>
          <w:rFonts w:ascii="Times New Roman" w:hAnsi="Times New Roman" w:cs="Times New Roman"/>
          <w:sz w:val="21"/>
          <w:szCs w:val="21"/>
        </w:rPr>
        <w:t xml:space="preserve">SOC increased in concentration </w:t>
      </w:r>
      <w:r w:rsidR="002B53B1">
        <w:rPr>
          <w:rFonts w:ascii="Times New Roman" w:hAnsi="Times New Roman" w:cs="Times New Roman"/>
          <w:sz w:val="21"/>
          <w:szCs w:val="21"/>
        </w:rPr>
        <w:t xml:space="preserve">over depth, which is </w:t>
      </w:r>
      <w:r w:rsidR="00D36D9C">
        <w:rPr>
          <w:rFonts w:ascii="Times New Roman" w:hAnsi="Times New Roman" w:cs="Times New Roman"/>
          <w:sz w:val="21"/>
          <w:szCs w:val="21"/>
        </w:rPr>
        <w:t>a rare result when considering most Australian soil types</w:t>
      </w:r>
      <w:r w:rsidR="00011B43">
        <w:rPr>
          <w:rFonts w:ascii="Times New Roman" w:hAnsi="Times New Roman" w:cs="Times New Roman"/>
          <w:sz w:val="21"/>
          <w:szCs w:val="21"/>
        </w:rPr>
        <w:t xml:space="preserve"> [4].</w:t>
      </w:r>
      <w:r w:rsidR="00006422">
        <w:rPr>
          <w:rFonts w:ascii="Times New Roman" w:hAnsi="Times New Roman" w:cs="Times New Roman"/>
          <w:sz w:val="21"/>
          <w:szCs w:val="21"/>
        </w:rPr>
        <w:t xml:space="preserve"> However</w:t>
      </w:r>
      <w:r w:rsidR="00B260E3">
        <w:rPr>
          <w:rFonts w:ascii="Times New Roman" w:hAnsi="Times New Roman" w:cs="Times New Roman"/>
          <w:sz w:val="21"/>
          <w:szCs w:val="21"/>
        </w:rPr>
        <w:t>, due to the slow decomposition rates of peat ecosystems</w:t>
      </w:r>
      <w:r w:rsidR="009055C2">
        <w:rPr>
          <w:rFonts w:ascii="Times New Roman" w:hAnsi="Times New Roman" w:cs="Times New Roman"/>
          <w:sz w:val="21"/>
          <w:szCs w:val="21"/>
        </w:rPr>
        <w:t>, SOC is allowed to accumulate over time</w:t>
      </w:r>
      <w:r w:rsidR="00A96DB2">
        <w:rPr>
          <w:rFonts w:ascii="Times New Roman" w:hAnsi="Times New Roman" w:cs="Times New Roman"/>
          <w:sz w:val="21"/>
          <w:szCs w:val="21"/>
        </w:rPr>
        <w:t xml:space="preserve"> resulting in</w:t>
      </w:r>
      <w:r w:rsidR="00276C75">
        <w:rPr>
          <w:rFonts w:ascii="Times New Roman" w:hAnsi="Times New Roman" w:cs="Times New Roman"/>
          <w:sz w:val="21"/>
          <w:szCs w:val="21"/>
        </w:rPr>
        <w:t xml:space="preserve"> carbon stores somewhat similar to ‘blue carbon’ reservoirs</w:t>
      </w:r>
      <w:r w:rsidR="009055C2">
        <w:rPr>
          <w:rFonts w:ascii="Times New Roman" w:hAnsi="Times New Roman" w:cs="Times New Roman"/>
          <w:sz w:val="21"/>
          <w:szCs w:val="21"/>
        </w:rPr>
        <w:t>.</w:t>
      </w:r>
    </w:p>
    <w:p w14:paraId="0041EC11" w14:textId="77EAA644" w:rsidR="00926B6F" w:rsidRDefault="002015BB" w:rsidP="00CE51A7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observed accumulation of sodium and sulphur concentrations</w:t>
      </w:r>
      <w:r w:rsidR="00F65281">
        <w:rPr>
          <w:rFonts w:ascii="Times New Roman" w:hAnsi="Times New Roman" w:cs="Times New Roman"/>
          <w:sz w:val="21"/>
          <w:szCs w:val="21"/>
        </w:rPr>
        <w:t xml:space="preserve"> over increasing depth</w:t>
      </w:r>
      <w:r w:rsidR="00B12EF3">
        <w:rPr>
          <w:rFonts w:ascii="Times New Roman" w:hAnsi="Times New Roman" w:cs="Times New Roman"/>
          <w:sz w:val="21"/>
          <w:szCs w:val="21"/>
        </w:rPr>
        <w:t xml:space="preserve"> </w:t>
      </w:r>
      <w:r w:rsidR="006575F6">
        <w:rPr>
          <w:rFonts w:ascii="Times New Roman" w:hAnsi="Times New Roman" w:cs="Times New Roman"/>
          <w:sz w:val="21"/>
          <w:szCs w:val="21"/>
        </w:rPr>
        <w:t>could</w:t>
      </w:r>
      <w:r w:rsidR="00781EB2">
        <w:rPr>
          <w:rFonts w:ascii="Times New Roman" w:hAnsi="Times New Roman" w:cs="Times New Roman"/>
          <w:sz w:val="21"/>
          <w:szCs w:val="21"/>
        </w:rPr>
        <w:t xml:space="preserve"> likely explained by</w:t>
      </w:r>
      <w:r w:rsidR="004469C6">
        <w:rPr>
          <w:rFonts w:ascii="Times New Roman" w:hAnsi="Times New Roman" w:cs="Times New Roman"/>
          <w:sz w:val="21"/>
          <w:szCs w:val="21"/>
        </w:rPr>
        <w:t xml:space="preserve"> down</w:t>
      </w:r>
      <w:r w:rsidR="008B1B3B">
        <w:rPr>
          <w:rFonts w:ascii="Times New Roman" w:hAnsi="Times New Roman" w:cs="Times New Roman"/>
          <w:sz w:val="21"/>
          <w:szCs w:val="21"/>
        </w:rPr>
        <w:t>ward leaching of nutrients</w:t>
      </w:r>
      <w:r w:rsidR="0023265E">
        <w:rPr>
          <w:rFonts w:ascii="Times New Roman" w:hAnsi="Times New Roman" w:cs="Times New Roman"/>
          <w:sz w:val="21"/>
          <w:szCs w:val="21"/>
        </w:rPr>
        <w:t xml:space="preserve">. </w:t>
      </w:r>
      <w:r w:rsidR="002A78F4">
        <w:rPr>
          <w:rFonts w:ascii="Times New Roman" w:hAnsi="Times New Roman" w:cs="Times New Roman"/>
          <w:sz w:val="21"/>
          <w:szCs w:val="21"/>
        </w:rPr>
        <w:t>Although e</w:t>
      </w:r>
      <w:r w:rsidR="008E325A">
        <w:rPr>
          <w:rFonts w:ascii="Times New Roman" w:hAnsi="Times New Roman" w:cs="Times New Roman"/>
          <w:sz w:val="21"/>
          <w:szCs w:val="21"/>
        </w:rPr>
        <w:t>levated</w:t>
      </w:r>
      <w:r w:rsidR="006575F6">
        <w:rPr>
          <w:rFonts w:ascii="Times New Roman" w:hAnsi="Times New Roman" w:cs="Times New Roman"/>
          <w:sz w:val="21"/>
          <w:szCs w:val="21"/>
        </w:rPr>
        <w:t xml:space="preserve"> </w:t>
      </w:r>
      <w:r w:rsidR="008E325A">
        <w:rPr>
          <w:rFonts w:ascii="Times New Roman" w:hAnsi="Times New Roman" w:cs="Times New Roman"/>
          <w:sz w:val="21"/>
          <w:szCs w:val="21"/>
        </w:rPr>
        <w:t>sodium and sulphur concentrations can be detrimental to</w:t>
      </w:r>
      <w:r w:rsidR="00AD4419">
        <w:rPr>
          <w:rFonts w:ascii="Times New Roman" w:hAnsi="Times New Roman" w:cs="Times New Roman"/>
          <w:sz w:val="21"/>
          <w:szCs w:val="21"/>
        </w:rPr>
        <w:t xml:space="preserve"> the growth of</w:t>
      </w:r>
      <w:r w:rsidR="008E325A">
        <w:rPr>
          <w:rFonts w:ascii="Times New Roman" w:hAnsi="Times New Roman" w:cs="Times New Roman"/>
          <w:sz w:val="21"/>
          <w:szCs w:val="21"/>
        </w:rPr>
        <w:t xml:space="preserve"> </w:t>
      </w:r>
      <w:r w:rsidR="00AD4419">
        <w:rPr>
          <w:rFonts w:ascii="Times New Roman" w:hAnsi="Times New Roman" w:cs="Times New Roman"/>
          <w:sz w:val="21"/>
          <w:szCs w:val="21"/>
        </w:rPr>
        <w:t xml:space="preserve">some </w:t>
      </w:r>
      <w:r w:rsidR="008E325A">
        <w:rPr>
          <w:rFonts w:ascii="Times New Roman" w:hAnsi="Times New Roman" w:cs="Times New Roman"/>
          <w:sz w:val="21"/>
          <w:szCs w:val="21"/>
        </w:rPr>
        <w:t>plant</w:t>
      </w:r>
      <w:r w:rsidR="00AD4419">
        <w:rPr>
          <w:rFonts w:ascii="Times New Roman" w:hAnsi="Times New Roman" w:cs="Times New Roman"/>
          <w:sz w:val="21"/>
          <w:szCs w:val="21"/>
        </w:rPr>
        <w:t>s</w:t>
      </w:r>
      <w:r w:rsidR="004E05C4">
        <w:rPr>
          <w:rFonts w:ascii="Times New Roman" w:hAnsi="Times New Roman" w:cs="Times New Roman"/>
          <w:sz w:val="21"/>
          <w:szCs w:val="21"/>
        </w:rPr>
        <w:t xml:space="preserve">, </w:t>
      </w:r>
      <w:r w:rsidR="009D7BFA">
        <w:rPr>
          <w:rFonts w:ascii="Times New Roman" w:hAnsi="Times New Roman" w:cs="Times New Roman"/>
          <w:sz w:val="21"/>
          <w:szCs w:val="21"/>
        </w:rPr>
        <w:t>in this situation</w:t>
      </w:r>
      <w:r w:rsidR="009524FC">
        <w:rPr>
          <w:rFonts w:ascii="Times New Roman" w:hAnsi="Times New Roman" w:cs="Times New Roman"/>
          <w:sz w:val="21"/>
          <w:szCs w:val="21"/>
        </w:rPr>
        <w:t xml:space="preserve"> </w:t>
      </w:r>
      <w:r w:rsidR="00AF24AC">
        <w:rPr>
          <w:rFonts w:ascii="Times New Roman" w:hAnsi="Times New Roman" w:cs="Times New Roman"/>
          <w:sz w:val="21"/>
          <w:szCs w:val="21"/>
        </w:rPr>
        <w:t xml:space="preserve">we can assume that </w:t>
      </w:r>
      <w:r w:rsidR="00583C38">
        <w:rPr>
          <w:rFonts w:ascii="Times New Roman" w:hAnsi="Times New Roman" w:cs="Times New Roman"/>
          <w:sz w:val="21"/>
          <w:szCs w:val="21"/>
        </w:rPr>
        <w:t xml:space="preserve">peatland species can tolerate </w:t>
      </w:r>
      <w:r w:rsidR="00777967">
        <w:rPr>
          <w:rFonts w:ascii="Times New Roman" w:hAnsi="Times New Roman" w:cs="Times New Roman"/>
          <w:sz w:val="21"/>
          <w:szCs w:val="21"/>
        </w:rPr>
        <w:t>estuarine conditions</w:t>
      </w:r>
      <w:r w:rsidR="0027316C">
        <w:rPr>
          <w:rFonts w:ascii="Times New Roman" w:hAnsi="Times New Roman" w:cs="Times New Roman"/>
          <w:sz w:val="21"/>
          <w:szCs w:val="21"/>
        </w:rPr>
        <w:t xml:space="preserve">. Nevertheless, future studies should determine the critical threshold </w:t>
      </w:r>
      <w:r w:rsidR="009D6149">
        <w:rPr>
          <w:rFonts w:ascii="Times New Roman" w:hAnsi="Times New Roman" w:cs="Times New Roman"/>
          <w:sz w:val="21"/>
          <w:szCs w:val="21"/>
        </w:rPr>
        <w:t xml:space="preserve">of </w:t>
      </w:r>
      <w:r w:rsidR="006502D8">
        <w:rPr>
          <w:rFonts w:ascii="Times New Roman" w:hAnsi="Times New Roman" w:cs="Times New Roman"/>
          <w:sz w:val="21"/>
          <w:szCs w:val="21"/>
        </w:rPr>
        <w:t xml:space="preserve">nutrients such as </w:t>
      </w:r>
      <w:r w:rsidR="009D6149">
        <w:rPr>
          <w:rFonts w:ascii="Times New Roman" w:hAnsi="Times New Roman" w:cs="Times New Roman"/>
          <w:sz w:val="21"/>
          <w:szCs w:val="21"/>
        </w:rPr>
        <w:t xml:space="preserve">sodium </w:t>
      </w:r>
      <w:r w:rsidR="006502D8">
        <w:rPr>
          <w:rFonts w:ascii="Times New Roman" w:hAnsi="Times New Roman" w:cs="Times New Roman"/>
          <w:sz w:val="21"/>
          <w:szCs w:val="21"/>
        </w:rPr>
        <w:t xml:space="preserve">and sulphur </w:t>
      </w:r>
      <w:r w:rsidR="0027316C">
        <w:rPr>
          <w:rFonts w:ascii="Times New Roman" w:hAnsi="Times New Roman" w:cs="Times New Roman"/>
          <w:sz w:val="21"/>
          <w:szCs w:val="21"/>
        </w:rPr>
        <w:t>for peatland species</w:t>
      </w:r>
      <w:r w:rsidR="006502D8">
        <w:rPr>
          <w:rFonts w:ascii="Times New Roman" w:hAnsi="Times New Roman" w:cs="Times New Roman"/>
          <w:sz w:val="21"/>
          <w:szCs w:val="21"/>
        </w:rPr>
        <w:t xml:space="preserve"> in these areas.</w:t>
      </w:r>
    </w:p>
    <w:p w14:paraId="7FF9680C" w14:textId="5710D8D5" w:rsidR="006502D8" w:rsidRPr="00B2658B" w:rsidRDefault="006502D8" w:rsidP="00CE51A7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Perplexingly, </w:t>
      </w:r>
      <w:r w:rsidR="00F70ABA">
        <w:rPr>
          <w:rFonts w:ascii="Times New Roman" w:hAnsi="Times New Roman" w:cs="Times New Roman"/>
          <w:sz w:val="21"/>
          <w:szCs w:val="21"/>
        </w:rPr>
        <w:t>sodium concentration</w:t>
      </w:r>
      <w:r w:rsidR="004925CB">
        <w:rPr>
          <w:rFonts w:ascii="Times New Roman" w:hAnsi="Times New Roman" w:cs="Times New Roman"/>
          <w:sz w:val="21"/>
          <w:szCs w:val="21"/>
        </w:rPr>
        <w:t xml:space="preserve"> was found to increase</w:t>
      </w:r>
      <w:r w:rsidR="003967F5">
        <w:rPr>
          <w:rFonts w:ascii="Times New Roman" w:hAnsi="Times New Roman" w:cs="Times New Roman"/>
          <w:sz w:val="21"/>
          <w:szCs w:val="21"/>
        </w:rPr>
        <w:t xml:space="preserve"> as distance from the estuary mouth increased</w:t>
      </w:r>
      <w:r w:rsidR="00FE29A9">
        <w:rPr>
          <w:rFonts w:ascii="Times New Roman" w:hAnsi="Times New Roman" w:cs="Times New Roman"/>
          <w:sz w:val="21"/>
          <w:szCs w:val="21"/>
        </w:rPr>
        <w:t xml:space="preserve">, contradicting the expected </w:t>
      </w:r>
      <w:r w:rsidR="00761275">
        <w:rPr>
          <w:rFonts w:ascii="Times New Roman" w:hAnsi="Times New Roman" w:cs="Times New Roman"/>
          <w:sz w:val="21"/>
          <w:szCs w:val="21"/>
        </w:rPr>
        <w:t>result</w:t>
      </w:r>
      <w:r w:rsidR="00FE29A9">
        <w:rPr>
          <w:rFonts w:ascii="Times New Roman" w:hAnsi="Times New Roman" w:cs="Times New Roman"/>
          <w:sz w:val="21"/>
          <w:szCs w:val="21"/>
        </w:rPr>
        <w:t>.</w:t>
      </w:r>
      <w:r w:rsidR="00A26C73">
        <w:rPr>
          <w:rFonts w:ascii="Times New Roman" w:hAnsi="Times New Roman" w:cs="Times New Roman"/>
          <w:sz w:val="21"/>
          <w:szCs w:val="21"/>
        </w:rPr>
        <w:t xml:space="preserve"> This could signify </w:t>
      </w:r>
      <w:r w:rsidR="00286232">
        <w:rPr>
          <w:rFonts w:ascii="Times New Roman" w:hAnsi="Times New Roman" w:cs="Times New Roman"/>
          <w:sz w:val="21"/>
          <w:szCs w:val="21"/>
        </w:rPr>
        <w:t xml:space="preserve">retention </w:t>
      </w:r>
      <w:r w:rsidR="00B06AE7">
        <w:rPr>
          <w:rFonts w:ascii="Times New Roman" w:hAnsi="Times New Roman" w:cs="Times New Roman"/>
          <w:sz w:val="21"/>
          <w:szCs w:val="21"/>
        </w:rPr>
        <w:t xml:space="preserve">processed </w:t>
      </w:r>
      <w:r w:rsidR="00286232">
        <w:rPr>
          <w:rFonts w:ascii="Times New Roman" w:hAnsi="Times New Roman" w:cs="Times New Roman"/>
          <w:sz w:val="21"/>
          <w:szCs w:val="21"/>
        </w:rPr>
        <w:t>of sodium</w:t>
      </w:r>
      <w:r w:rsidR="00BB2F89">
        <w:rPr>
          <w:rFonts w:ascii="Times New Roman" w:hAnsi="Times New Roman" w:cs="Times New Roman"/>
          <w:sz w:val="21"/>
          <w:szCs w:val="21"/>
        </w:rPr>
        <w:t xml:space="preserve">, but </w:t>
      </w:r>
      <w:r w:rsidR="00291183">
        <w:rPr>
          <w:rFonts w:ascii="Times New Roman" w:hAnsi="Times New Roman" w:cs="Times New Roman"/>
          <w:sz w:val="21"/>
          <w:szCs w:val="21"/>
        </w:rPr>
        <w:t>future studies</w:t>
      </w:r>
      <w:r w:rsidR="006C7C95">
        <w:rPr>
          <w:rFonts w:ascii="Times New Roman" w:hAnsi="Times New Roman" w:cs="Times New Roman"/>
          <w:sz w:val="21"/>
          <w:szCs w:val="21"/>
        </w:rPr>
        <w:t xml:space="preserve"> should examine this anomaly in more detail.</w:t>
      </w:r>
    </w:p>
    <w:p w14:paraId="5C15B756" w14:textId="772044EB" w:rsidR="00E051ED" w:rsidRPr="00E051ED" w:rsidRDefault="00DE07B6" w:rsidP="00CE51A7">
      <w:pPr>
        <w:jc w:val="both"/>
        <w:rPr>
          <w:rFonts w:ascii="Times New Roman" w:hAnsi="Times New Roman" w:cs="Times New Roman"/>
        </w:rPr>
      </w:pPr>
      <w:r w:rsidRPr="00DE07B6">
        <w:rPr>
          <w:rFonts w:ascii="Times New Roman" w:hAnsi="Times New Roman" w:cs="Times New Roman"/>
          <w:b/>
          <w:bCs/>
          <w:sz w:val="24"/>
          <w:szCs w:val="24"/>
        </w:rPr>
        <w:t>References:</w:t>
      </w:r>
      <w:r>
        <w:rPr>
          <w:rFonts w:ascii="Times New Roman" w:hAnsi="Times New Roman" w:cs="Times New Roman"/>
        </w:rPr>
        <w:t xml:space="preserve"> </w:t>
      </w:r>
      <w:r w:rsidR="00FE47FD">
        <w:rPr>
          <w:rFonts w:ascii="Times New Roman" w:hAnsi="Times New Roman" w:cs="Times New Roman"/>
        </w:rPr>
        <w:t xml:space="preserve">[1] </w:t>
      </w:r>
      <w:r w:rsidR="00FE5547">
        <w:rPr>
          <w:rFonts w:ascii="Times New Roman" w:hAnsi="Times New Roman" w:cs="Times New Roman"/>
        </w:rPr>
        <w:t>Gorham (1991)</w:t>
      </w:r>
      <w:r w:rsidR="001B6101">
        <w:rPr>
          <w:rFonts w:ascii="Times New Roman" w:hAnsi="Times New Roman" w:cs="Times New Roman"/>
        </w:rPr>
        <w:t xml:space="preserve"> Ecol. Appl.</w:t>
      </w:r>
      <w:r w:rsidR="008579EA">
        <w:rPr>
          <w:rFonts w:ascii="Times New Roman" w:hAnsi="Times New Roman" w:cs="Times New Roman"/>
        </w:rPr>
        <w:t xml:space="preserve"> </w:t>
      </w:r>
      <w:r w:rsidR="008579EA">
        <w:rPr>
          <w:rFonts w:ascii="Times New Roman" w:hAnsi="Times New Roman" w:cs="Times New Roman"/>
          <w:b/>
          <w:bCs/>
        </w:rPr>
        <w:t>1</w:t>
      </w:r>
      <w:r w:rsidR="008579EA">
        <w:rPr>
          <w:rFonts w:ascii="Times New Roman" w:hAnsi="Times New Roman" w:cs="Times New Roman"/>
        </w:rPr>
        <w:t xml:space="preserve">, </w:t>
      </w:r>
      <w:r w:rsidR="008579EA" w:rsidRPr="004D6F6B">
        <w:rPr>
          <w:rFonts w:ascii="Times New Roman" w:hAnsi="Times New Roman" w:cs="Times New Roman"/>
          <w:noProof/>
        </w:rPr>
        <w:t>182-195</w:t>
      </w:r>
      <w:r w:rsidR="00FE47FD">
        <w:rPr>
          <w:rFonts w:ascii="Times New Roman" w:hAnsi="Times New Roman" w:cs="Times New Roman"/>
          <w:noProof/>
        </w:rPr>
        <w:t xml:space="preserve">. </w:t>
      </w:r>
      <w:r w:rsidR="00FF209E">
        <w:rPr>
          <w:rFonts w:ascii="Times New Roman" w:hAnsi="Times New Roman" w:cs="Times New Roman"/>
          <w:noProof/>
        </w:rPr>
        <w:t>doi:</w:t>
      </w:r>
      <w:r w:rsidR="00FF209E" w:rsidRPr="00FF209E">
        <w:rPr>
          <w:rFonts w:ascii="Times New Roman" w:hAnsi="Times New Roman" w:cs="Times New Roman"/>
          <w:noProof/>
        </w:rPr>
        <w:t>10.2307/1941811</w:t>
      </w:r>
      <w:r w:rsidR="00FF209E" w:rsidRPr="00FF209E">
        <w:rPr>
          <w:rFonts w:ascii="Times New Roman" w:hAnsi="Times New Roman" w:cs="Times New Roman"/>
          <w:noProof/>
        </w:rPr>
        <w:t xml:space="preserve"> </w:t>
      </w:r>
      <w:r w:rsidR="00FE47FD">
        <w:rPr>
          <w:rFonts w:ascii="Times New Roman" w:hAnsi="Times New Roman" w:cs="Times New Roman"/>
        </w:rPr>
        <w:t>[2] Turunen et al. (2002)</w:t>
      </w:r>
      <w:r w:rsidR="00E15ABA">
        <w:rPr>
          <w:rFonts w:ascii="Times New Roman" w:hAnsi="Times New Roman" w:cs="Times New Roman"/>
        </w:rPr>
        <w:t xml:space="preserve"> The Holocene</w:t>
      </w:r>
      <w:r w:rsidR="000F712A">
        <w:rPr>
          <w:rFonts w:ascii="Times New Roman" w:hAnsi="Times New Roman" w:cs="Times New Roman"/>
        </w:rPr>
        <w:t xml:space="preserve"> </w:t>
      </w:r>
      <w:r w:rsidR="000F712A" w:rsidRPr="000F712A">
        <w:rPr>
          <w:rFonts w:ascii="Times New Roman" w:hAnsi="Times New Roman" w:cs="Times New Roman"/>
          <w:b/>
          <w:bCs/>
        </w:rPr>
        <w:t>12</w:t>
      </w:r>
      <w:r w:rsidR="000F712A">
        <w:rPr>
          <w:rFonts w:ascii="Times New Roman" w:hAnsi="Times New Roman" w:cs="Times New Roman"/>
        </w:rPr>
        <w:t>, 69-80.</w:t>
      </w:r>
      <w:r w:rsidR="009D0BE1">
        <w:rPr>
          <w:rFonts w:ascii="Times New Roman" w:hAnsi="Times New Roman" w:cs="Times New Roman"/>
        </w:rPr>
        <w:t xml:space="preserve"> </w:t>
      </w:r>
      <w:r w:rsidR="00FF209E">
        <w:rPr>
          <w:rFonts w:ascii="Times New Roman" w:hAnsi="Times New Roman" w:cs="Times New Roman"/>
        </w:rPr>
        <w:t>doi:</w:t>
      </w:r>
      <w:r w:rsidR="00FF209E" w:rsidRPr="00FF209E">
        <w:rPr>
          <w:rFonts w:ascii="Segoe UI" w:hAnsi="Segoe UI" w:cs="Segoe UI"/>
        </w:rPr>
        <w:t xml:space="preserve"> </w:t>
      </w:r>
      <w:r w:rsidR="00FF209E" w:rsidRPr="00FF209E">
        <w:rPr>
          <w:rFonts w:ascii="Times New Roman" w:hAnsi="Times New Roman" w:cs="Times New Roman"/>
        </w:rPr>
        <w:t>10.1191/0959683602hl522rp</w:t>
      </w:r>
      <w:r w:rsidR="00FF209E">
        <w:rPr>
          <w:rFonts w:ascii="Times New Roman" w:hAnsi="Times New Roman" w:cs="Times New Roman"/>
        </w:rPr>
        <w:t xml:space="preserve"> </w:t>
      </w:r>
      <w:r w:rsidR="009D0BE1">
        <w:rPr>
          <w:rFonts w:ascii="Times New Roman" w:hAnsi="Times New Roman" w:cs="Times New Roman"/>
        </w:rPr>
        <w:t xml:space="preserve">[3] </w:t>
      </w:r>
      <w:r w:rsidR="00FF209E">
        <w:rPr>
          <w:rFonts w:ascii="Times New Roman" w:hAnsi="Times New Roman" w:cs="Times New Roman"/>
        </w:rPr>
        <w:t>Wilson et al. (2021) Aust. Ecol. doi:</w:t>
      </w:r>
      <w:r w:rsidR="00FF209E" w:rsidRPr="00FF209E">
        <w:rPr>
          <w:rFonts w:ascii="Times New Roman" w:hAnsi="Times New Roman" w:cs="Times New Roman"/>
        </w:rPr>
        <w:t>10.1111/aec.13115</w:t>
      </w:r>
      <w:r w:rsidR="00744AA1">
        <w:rPr>
          <w:rFonts w:ascii="Times New Roman" w:hAnsi="Times New Roman" w:cs="Times New Roman"/>
        </w:rPr>
        <w:t xml:space="preserve"> [4] Isbell (2021)</w:t>
      </w:r>
      <w:r w:rsidR="00F722F5">
        <w:rPr>
          <w:rFonts w:ascii="Times New Roman" w:hAnsi="Times New Roman" w:cs="Times New Roman"/>
        </w:rPr>
        <w:t xml:space="preserve"> CSIRO</w:t>
      </w:r>
      <w:r w:rsidR="00B03778">
        <w:rPr>
          <w:rFonts w:ascii="Times New Roman" w:hAnsi="Times New Roman" w:cs="Times New Roman"/>
        </w:rPr>
        <w:t xml:space="preserve"> </w:t>
      </w:r>
      <w:hyperlink r:id="rId8" w:history="1">
        <w:r w:rsidR="00B03778" w:rsidRPr="00B03778">
          <w:rPr>
            <w:rStyle w:val="Hyperlink"/>
            <w:rFonts w:ascii="Times New Roman" w:hAnsi="Times New Roman" w:cs="Times New Roman"/>
          </w:rPr>
          <w:t>8016 (csiro.au)</w:t>
        </w:r>
      </w:hyperlink>
    </w:p>
    <w:sectPr w:rsidR="00E051ED" w:rsidRPr="00E051ED" w:rsidSect="00517AAF">
      <w:pgSz w:w="11906" w:h="16838"/>
      <w:pgMar w:top="964" w:right="1440" w:bottom="964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ED"/>
    <w:rsid w:val="00006422"/>
    <w:rsid w:val="00011B43"/>
    <w:rsid w:val="00034073"/>
    <w:rsid w:val="000A131D"/>
    <w:rsid w:val="000C2C0B"/>
    <w:rsid w:val="000C3D7D"/>
    <w:rsid w:val="000C4435"/>
    <w:rsid w:val="000E273E"/>
    <w:rsid w:val="000F712A"/>
    <w:rsid w:val="001247F0"/>
    <w:rsid w:val="00153429"/>
    <w:rsid w:val="00167CF8"/>
    <w:rsid w:val="00175298"/>
    <w:rsid w:val="001765D2"/>
    <w:rsid w:val="001769A1"/>
    <w:rsid w:val="00191386"/>
    <w:rsid w:val="001A1251"/>
    <w:rsid w:val="001B59E2"/>
    <w:rsid w:val="001B6101"/>
    <w:rsid w:val="001B637A"/>
    <w:rsid w:val="001C0F9A"/>
    <w:rsid w:val="001D251D"/>
    <w:rsid w:val="001D5B50"/>
    <w:rsid w:val="002015BB"/>
    <w:rsid w:val="0021101A"/>
    <w:rsid w:val="0023265E"/>
    <w:rsid w:val="002362CD"/>
    <w:rsid w:val="00245265"/>
    <w:rsid w:val="002554B8"/>
    <w:rsid w:val="00260A07"/>
    <w:rsid w:val="0026163D"/>
    <w:rsid w:val="00266792"/>
    <w:rsid w:val="00271EF5"/>
    <w:rsid w:val="0027316C"/>
    <w:rsid w:val="00273857"/>
    <w:rsid w:val="00276C75"/>
    <w:rsid w:val="00286232"/>
    <w:rsid w:val="002879AE"/>
    <w:rsid w:val="00287E09"/>
    <w:rsid w:val="00291183"/>
    <w:rsid w:val="00292C20"/>
    <w:rsid w:val="00292D1A"/>
    <w:rsid w:val="00293DAA"/>
    <w:rsid w:val="002971E9"/>
    <w:rsid w:val="002A78F4"/>
    <w:rsid w:val="002B139B"/>
    <w:rsid w:val="002B53B1"/>
    <w:rsid w:val="002B6B2C"/>
    <w:rsid w:val="002D7EF7"/>
    <w:rsid w:val="002E1D49"/>
    <w:rsid w:val="00326AD1"/>
    <w:rsid w:val="00354CE9"/>
    <w:rsid w:val="00355528"/>
    <w:rsid w:val="00374C6D"/>
    <w:rsid w:val="00375B28"/>
    <w:rsid w:val="003967F5"/>
    <w:rsid w:val="003A06AB"/>
    <w:rsid w:val="003A6D8D"/>
    <w:rsid w:val="003B5405"/>
    <w:rsid w:val="003D7156"/>
    <w:rsid w:val="004009B9"/>
    <w:rsid w:val="00400B12"/>
    <w:rsid w:val="00433C04"/>
    <w:rsid w:val="0044106F"/>
    <w:rsid w:val="004469C6"/>
    <w:rsid w:val="00456448"/>
    <w:rsid w:val="00472C32"/>
    <w:rsid w:val="004925CB"/>
    <w:rsid w:val="00497C02"/>
    <w:rsid w:val="004A3F32"/>
    <w:rsid w:val="004B2BE8"/>
    <w:rsid w:val="004B3FD4"/>
    <w:rsid w:val="004E05C4"/>
    <w:rsid w:val="004F4BE0"/>
    <w:rsid w:val="005064EF"/>
    <w:rsid w:val="00517AAF"/>
    <w:rsid w:val="00525EA2"/>
    <w:rsid w:val="005317C0"/>
    <w:rsid w:val="005417DA"/>
    <w:rsid w:val="00555EC5"/>
    <w:rsid w:val="00557A3F"/>
    <w:rsid w:val="005611D2"/>
    <w:rsid w:val="005618D6"/>
    <w:rsid w:val="00583C38"/>
    <w:rsid w:val="00586C4F"/>
    <w:rsid w:val="00592CEA"/>
    <w:rsid w:val="00596CB3"/>
    <w:rsid w:val="005B792C"/>
    <w:rsid w:val="005C0813"/>
    <w:rsid w:val="005E1B66"/>
    <w:rsid w:val="005F27A0"/>
    <w:rsid w:val="005F4303"/>
    <w:rsid w:val="00617F6D"/>
    <w:rsid w:val="00627F48"/>
    <w:rsid w:val="00646B3A"/>
    <w:rsid w:val="006502D8"/>
    <w:rsid w:val="006575F6"/>
    <w:rsid w:val="0066404D"/>
    <w:rsid w:val="006C70F3"/>
    <w:rsid w:val="006C7C95"/>
    <w:rsid w:val="006E2C30"/>
    <w:rsid w:val="006E72DB"/>
    <w:rsid w:val="00705A9A"/>
    <w:rsid w:val="00713F8D"/>
    <w:rsid w:val="007317C8"/>
    <w:rsid w:val="00744AA1"/>
    <w:rsid w:val="00761275"/>
    <w:rsid w:val="00772CA4"/>
    <w:rsid w:val="00776C3B"/>
    <w:rsid w:val="00777967"/>
    <w:rsid w:val="007816FD"/>
    <w:rsid w:val="00781EB2"/>
    <w:rsid w:val="00783208"/>
    <w:rsid w:val="00794CF9"/>
    <w:rsid w:val="007A130E"/>
    <w:rsid w:val="007A482A"/>
    <w:rsid w:val="007B2822"/>
    <w:rsid w:val="007B50BE"/>
    <w:rsid w:val="007D4661"/>
    <w:rsid w:val="007F095A"/>
    <w:rsid w:val="00805EBB"/>
    <w:rsid w:val="008204D8"/>
    <w:rsid w:val="0084546A"/>
    <w:rsid w:val="00853D14"/>
    <w:rsid w:val="008579EA"/>
    <w:rsid w:val="00866E0A"/>
    <w:rsid w:val="00882471"/>
    <w:rsid w:val="00892139"/>
    <w:rsid w:val="0089606A"/>
    <w:rsid w:val="008A1F44"/>
    <w:rsid w:val="008B1B3B"/>
    <w:rsid w:val="008E325A"/>
    <w:rsid w:val="008E487B"/>
    <w:rsid w:val="008E7DD3"/>
    <w:rsid w:val="008F3C8B"/>
    <w:rsid w:val="0090139C"/>
    <w:rsid w:val="009055C2"/>
    <w:rsid w:val="00906E13"/>
    <w:rsid w:val="009230C7"/>
    <w:rsid w:val="00926B6F"/>
    <w:rsid w:val="00927FF6"/>
    <w:rsid w:val="009377EF"/>
    <w:rsid w:val="009524FC"/>
    <w:rsid w:val="00960A67"/>
    <w:rsid w:val="00974AA4"/>
    <w:rsid w:val="00990613"/>
    <w:rsid w:val="009B1981"/>
    <w:rsid w:val="009B5DF5"/>
    <w:rsid w:val="009B7819"/>
    <w:rsid w:val="009D0BE1"/>
    <w:rsid w:val="009D3BA2"/>
    <w:rsid w:val="009D6149"/>
    <w:rsid w:val="009D7BFA"/>
    <w:rsid w:val="009E4B74"/>
    <w:rsid w:val="009E4ECF"/>
    <w:rsid w:val="009F0446"/>
    <w:rsid w:val="00A028D8"/>
    <w:rsid w:val="00A06D03"/>
    <w:rsid w:val="00A07C0F"/>
    <w:rsid w:val="00A2379D"/>
    <w:rsid w:val="00A26C73"/>
    <w:rsid w:val="00A3325B"/>
    <w:rsid w:val="00A74CF0"/>
    <w:rsid w:val="00A8023B"/>
    <w:rsid w:val="00A8371C"/>
    <w:rsid w:val="00A83F4C"/>
    <w:rsid w:val="00A96DB2"/>
    <w:rsid w:val="00A9732F"/>
    <w:rsid w:val="00AD4419"/>
    <w:rsid w:val="00AE5AB5"/>
    <w:rsid w:val="00AF24AC"/>
    <w:rsid w:val="00AF486E"/>
    <w:rsid w:val="00B0129E"/>
    <w:rsid w:val="00B03778"/>
    <w:rsid w:val="00B06AE7"/>
    <w:rsid w:val="00B12EF3"/>
    <w:rsid w:val="00B16C5D"/>
    <w:rsid w:val="00B260E3"/>
    <w:rsid w:val="00B2658B"/>
    <w:rsid w:val="00B269A9"/>
    <w:rsid w:val="00B37384"/>
    <w:rsid w:val="00B3764D"/>
    <w:rsid w:val="00B400BA"/>
    <w:rsid w:val="00B47088"/>
    <w:rsid w:val="00B57C26"/>
    <w:rsid w:val="00B83E27"/>
    <w:rsid w:val="00B84CE8"/>
    <w:rsid w:val="00B95378"/>
    <w:rsid w:val="00B95410"/>
    <w:rsid w:val="00BB2F89"/>
    <w:rsid w:val="00BC05AD"/>
    <w:rsid w:val="00BD2F9F"/>
    <w:rsid w:val="00BD557B"/>
    <w:rsid w:val="00BD6408"/>
    <w:rsid w:val="00BD7CD8"/>
    <w:rsid w:val="00BE49F7"/>
    <w:rsid w:val="00BF6696"/>
    <w:rsid w:val="00C01E77"/>
    <w:rsid w:val="00C25E89"/>
    <w:rsid w:val="00C30830"/>
    <w:rsid w:val="00C46084"/>
    <w:rsid w:val="00C47B8C"/>
    <w:rsid w:val="00C75391"/>
    <w:rsid w:val="00CB4A9D"/>
    <w:rsid w:val="00CE51A7"/>
    <w:rsid w:val="00CF4F86"/>
    <w:rsid w:val="00CF6A5F"/>
    <w:rsid w:val="00D36D9C"/>
    <w:rsid w:val="00D44C84"/>
    <w:rsid w:val="00D73623"/>
    <w:rsid w:val="00D83CF5"/>
    <w:rsid w:val="00D83ED5"/>
    <w:rsid w:val="00D9642F"/>
    <w:rsid w:val="00DB6F25"/>
    <w:rsid w:val="00DC264F"/>
    <w:rsid w:val="00DC2991"/>
    <w:rsid w:val="00DE07B6"/>
    <w:rsid w:val="00DE338C"/>
    <w:rsid w:val="00DE720B"/>
    <w:rsid w:val="00DF6995"/>
    <w:rsid w:val="00E01A2D"/>
    <w:rsid w:val="00E051ED"/>
    <w:rsid w:val="00E10B00"/>
    <w:rsid w:val="00E15ABA"/>
    <w:rsid w:val="00E15F44"/>
    <w:rsid w:val="00E16600"/>
    <w:rsid w:val="00E45762"/>
    <w:rsid w:val="00E52156"/>
    <w:rsid w:val="00E65022"/>
    <w:rsid w:val="00E70A03"/>
    <w:rsid w:val="00E92D97"/>
    <w:rsid w:val="00EC0532"/>
    <w:rsid w:val="00EE7FF6"/>
    <w:rsid w:val="00EF7DDD"/>
    <w:rsid w:val="00F01732"/>
    <w:rsid w:val="00F11223"/>
    <w:rsid w:val="00F13B80"/>
    <w:rsid w:val="00F13C20"/>
    <w:rsid w:val="00F26DAD"/>
    <w:rsid w:val="00F40023"/>
    <w:rsid w:val="00F41AF0"/>
    <w:rsid w:val="00F44C25"/>
    <w:rsid w:val="00F52C0B"/>
    <w:rsid w:val="00F57EED"/>
    <w:rsid w:val="00F65281"/>
    <w:rsid w:val="00F65DFF"/>
    <w:rsid w:val="00F70ABA"/>
    <w:rsid w:val="00F711A1"/>
    <w:rsid w:val="00F722F5"/>
    <w:rsid w:val="00F72313"/>
    <w:rsid w:val="00F85FC9"/>
    <w:rsid w:val="00F87633"/>
    <w:rsid w:val="00F918D5"/>
    <w:rsid w:val="00FA3E0A"/>
    <w:rsid w:val="00FB40D4"/>
    <w:rsid w:val="00FC397C"/>
    <w:rsid w:val="00FE29A9"/>
    <w:rsid w:val="00FE47FD"/>
    <w:rsid w:val="00FE5547"/>
    <w:rsid w:val="00FF04E8"/>
    <w:rsid w:val="00FF209E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6BFC"/>
  <w15:chartTrackingRefBased/>
  <w15:docId w15:val="{BCF144F9-67D7-4914-A28B-52712897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2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F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F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F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F9F"/>
    <w:rPr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F01732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01732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F0173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F8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03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blish.csiro.au/ebook/download/pdf/80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02CDF-EB49-4F46-9B05-73CC4B1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3488</TotalTime>
  <Pages>2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Ferguson</dc:creator>
  <cp:keywords/>
  <dc:description/>
  <cp:lastModifiedBy>Rory Ferguson</cp:lastModifiedBy>
  <cp:revision>244</cp:revision>
  <cp:lastPrinted>2022-05-29T13:01:00Z</cp:lastPrinted>
  <dcterms:created xsi:type="dcterms:W3CDTF">2022-05-27T02:59:00Z</dcterms:created>
  <dcterms:modified xsi:type="dcterms:W3CDTF">2022-05-29T13:08:00Z</dcterms:modified>
</cp:coreProperties>
</file>