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Resumo - transcricao</w:t>
      </w:r>
    </w:p>
    <w:p>
      <w:pPr>
        <w:pStyle w:val="Heading2"/>
      </w:pPr>
      <w:r>
        <w:t>Informações do Documento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Trimestre:</w:t>
            </w:r>
          </w:p>
        </w:tc>
        <w:tc>
          <w:tcPr>
            <w:tcW w:type="dxa" w:w="4320"/>
          </w:tcPr>
          <w:p>
            <w:r>
              <w:t>2T25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Tipo:</w:t>
            </w:r>
          </w:p>
        </w:tc>
        <w:tc>
          <w:tcPr>
            <w:tcW w:type="dxa" w:w="4320"/>
          </w:tcPr>
          <w:p>
            <w:r>
              <w:t>transcricao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Arquivo:</w:t>
            </w:r>
          </w:p>
        </w:tc>
        <w:tc>
          <w:tcPr>
            <w:tcW w:type="dxa" w:w="4320"/>
          </w:tcPr>
          <w:p>
            <w:r>
              <w:t>transcricao_2T25.pdf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Status:</w:t>
            </w:r>
          </w:p>
        </w:tc>
        <w:tc>
          <w:tcPr>
            <w:tcW w:type="dxa" w:w="4320"/>
          </w:tcPr>
          <w:p>
            <w:r>
              <w:t>Sucesso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Data Processamento:</w:t>
            </w:r>
          </w:p>
        </w:tc>
        <w:tc>
          <w:tcPr>
            <w:tcW w:type="dxa" w:w="4320"/>
          </w:tcPr>
          <w:p>
            <w:r>
              <w:t>2025-09-08T20:24:54</w:t>
            </w:r>
          </w:p>
        </w:tc>
      </w:tr>
    </w:tbl>
    <w:p/>
    <w:p>
      <w:pPr>
        <w:pStyle w:val="Heading2"/>
      </w:pPr>
      <w:r>
        <w:t>Resumo Executivo</w:t>
      </w:r>
    </w:p>
    <w:p>
      <w:r>
        <w:t>Análise dos Pontos Principais da Call de Resultados do 2T25 da Positivo Tecnologia</w:t>
      </w:r>
    </w:p>
    <w:p/>
    <w:p>
      <w:r>
        <w:t>MENSAGENS PRINCIPAIS DA GESTÃO</w:t>
      </w:r>
    </w:p>
    <w:p>
      <w:pPr>
        <w:pStyle w:val="ListBullet"/>
      </w:pPr>
      <w:r>
        <w:t>Diversificação da empresa está gerando resultados positivos, com crescimento expressivo nas novas áreas de negócios (Serviços, Soluções de Pagamento, Segurança Eletrônica, Servidores e IA), consolidando a transformação estratégica iniciada há anos.</w:t>
      </w:r>
    </w:p>
    <w:p>
      <w:pPr>
        <w:pStyle w:val="ListBullet"/>
      </w:pPr>
      <w:r>
        <w:t>Mantém o foco no core business de computadores, tablets e smartphones, com crescimento moderado nesse mercado mais estagnado, mas com participação de mercado preservada e até expansão em segmentos específicos.</w:t>
      </w:r>
    </w:p>
    <w:p>
      <w:pPr>
        <w:pStyle w:val="ListBullet"/>
      </w:pPr>
      <w:r>
        <w:t>Expectativa de crescimento sustentável e fortalecimento de receitas, com projeção de faturamento entre R$ 4,4 e R$ 4,8 bilhões para o ano, apesar de desafios macroeconômicos, como juros altos e restrições orçamentárias no setor público.</w:t>
      </w:r>
    </w:p>
    <w:p>
      <w:pPr>
        <w:pStyle w:val="ListBullet"/>
      </w:pPr>
      <w:r>
        <w:t>Investimentos em inovação e novos produtos, como tablets com IA, e expansão de canais de vendas, especialmente online, visando aumento de market share e rentabilidade.</w:t>
      </w:r>
    </w:p>
    <w:p/>
    <w:p>
      <w:r>
        <w:t>TOM E CONFIANÇA</w:t>
      </w:r>
    </w:p>
    <w:p>
      <w:pPr>
        <w:pStyle w:val="ListBullet"/>
      </w:pPr>
      <w:r>
        <w:t>Nível de confiança: Médio a Alto, demonstrando otimismo cauteloso diante de desafios macroeconômicos e do mercado público.</w:t>
      </w:r>
    </w:p>
    <w:p>
      <w:pPr>
        <w:pStyle w:val="ListBullet"/>
      </w:pPr>
      <w:r>
        <w:t>Tom predominante: Otimista, com ênfase na evolução positiva dos negócios, inovação e oportunidades futuras.</w:t>
      </w:r>
    </w:p>
    <w:p>
      <w:pPr>
        <w:pStyle w:val="ListBullet"/>
      </w:pPr>
      <w:r>
        <w:t>Transparência: Alta, com detalhamento das áreas de crescimento, desafios enfrentados e estratégias de expansão, além de reconhecimento de dificuldades no segmento público.</w:t>
      </w:r>
    </w:p>
    <w:p/>
    <w:p>
      <w:r>
        <w:t>ESTRATÉGIAS E DIRECIONAMENTOS</w:t>
      </w:r>
    </w:p>
    <w:p>
      <w:pPr>
        <w:pStyle w:val="ListBullet"/>
      </w:pPr>
      <w:r>
        <w:t>Diversificação de negócios, com foco em serviços, soluções de pagamento, segurança eletrônica e infraestrutura de IA, buscando sinergias entre áreas e maior valor agregado.</w:t>
      </w:r>
    </w:p>
    <w:p>
      <w:pPr>
        <w:pStyle w:val="ListBullet"/>
      </w:pPr>
      <w:r>
        <w:t>Fortalecimento do canal de vendas online e de marketplaces, com produtos inovadores (ex.: tablets com IA) e aumento de participação de mercado.</w:t>
      </w:r>
    </w:p>
    <w:p>
      <w:pPr>
        <w:pStyle w:val="ListBullet"/>
      </w:pPr>
      <w:r>
        <w:t>Expansão de unidades físicas (ex.: lojas SecuriCenter) e atuação direta em mercados estratégicos, eliminando intermediários.</w:t>
      </w:r>
    </w:p>
    <w:p>
      <w:pPr>
        <w:pStyle w:val="ListBullet"/>
      </w:pPr>
      <w:r>
        <w:t>Integração e sinergia entre as áreas de governo, corporativo e serviços, com foco em cross-sell e maior eficiência operacional.</w:t>
      </w:r>
    </w:p>
    <w:p>
      <w:pPr>
        <w:pStyle w:val="ListBullet"/>
      </w:pPr>
      <w:r>
        <w:t>Investimento em inovação tecnológica, especialmente em soluções de IA, hiperconvergência e arquitetura de referência para inteligência artificial.</w:t>
      </w:r>
    </w:p>
    <w:p/>
    <w:p>
      <w:r>
        <w:t>PONTOS CRÍTICOS</w:t>
      </w:r>
    </w:p>
    <w:p>
      <w:pPr>
        <w:pStyle w:val="ListBullet"/>
      </w:pPr>
      <w:r>
        <w:t>Desafios no segmento de instituições públicas, impactados por postergações de editais, restrições orçamentárias e contratos antigos com margens pressionadas.</w:t>
      </w:r>
    </w:p>
    <w:p>
      <w:pPr>
        <w:pStyle w:val="ListBullet"/>
      </w:pPr>
      <w:r>
        <w:t>Impacto dos juros altos no resultado financeiro, especialmente no EBITDA, devido ao custo financeiro elevado.</w:t>
      </w:r>
    </w:p>
    <w:p>
      <w:pPr>
        <w:pStyle w:val="ListBullet"/>
      </w:pPr>
      <w:r>
        <w:t>Mercado público ainda apresenta incertezas e sazonalidade, dificultando o crescimento consistente nesse segmento.</w:t>
      </w:r>
    </w:p>
    <w:p>
      <w:pPr>
        <w:pStyle w:val="ListBullet"/>
      </w:pPr>
      <w:r>
        <w:t>Necessidade de continuar capturando oportunidades de mercado e melhorar a eficiência na execução de grandes projetos públicos.</w:t>
      </w:r>
    </w:p>
    <w:p>
      <w:pPr>
        <w:pStyle w:val="ListBullet"/>
      </w:pPr>
      <w:r>
        <w:t>Cautela com o cenário macroeconômico, que pode afetar a velocidade de crescimento e a rentabilidade futura.</w:t>
      </w:r>
    </w:p>
    <w:p/>
    <w:p>
      <w:r>
        <w:t>Resumidamente, a gestão demonstra otimismo moderado, com foco na diversificação, inovação e expansão de canais, reconhecendo os desafios macroeconômicos e setoriais, mas reforçando a confiança na capacidade de crescimento sustentável e na execução de estratégias de longo prazo.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