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Resumo - release_resultados</w:t>
      </w:r>
    </w:p>
    <w:p>
      <w:pPr>
        <w:pStyle w:val="Heading2"/>
      </w:pPr>
      <w:r>
        <w:t>Informações do Documento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Trimestre:</w:t>
            </w:r>
          </w:p>
        </w:tc>
        <w:tc>
          <w:tcPr>
            <w:tcW w:type="dxa" w:w="4320"/>
          </w:tcPr>
          <w:p>
            <w:r>
              <w:t>3T25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Tipo:</w:t>
            </w:r>
          </w:p>
        </w:tc>
        <w:tc>
          <w:tcPr>
            <w:tcW w:type="dxa" w:w="4320"/>
          </w:tcPr>
          <w:p>
            <w:r>
              <w:t>release_resultados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Arquivo:</w:t>
            </w:r>
          </w:p>
        </w:tc>
        <w:tc>
          <w:tcPr>
            <w:tcW w:type="dxa" w:w="4320"/>
          </w:tcPr>
          <w:p>
            <w:r>
              <w:t>release_resultados_3T25.pdf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Status:</w:t>
            </w:r>
          </w:p>
        </w:tc>
        <w:tc>
          <w:tcPr>
            <w:tcW w:type="dxa" w:w="4320"/>
          </w:tcPr>
          <w:p>
            <w:r>
              <w:t>Sucesso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Data Processamento:</w:t>
            </w:r>
          </w:p>
        </w:tc>
        <w:tc>
          <w:tcPr>
            <w:tcW w:type="dxa" w:w="4320"/>
          </w:tcPr>
          <w:p>
            <w:r>
              <w:t>2025-11-27T14:14:15</w:t>
            </w:r>
          </w:p>
        </w:tc>
      </w:tr>
    </w:tbl>
    <w:p/>
    <w:p>
      <w:pPr>
        <w:pStyle w:val="Heading2"/>
      </w:pPr>
      <w:r>
        <w:t>Resumo Executivo</w:t>
      </w:r>
    </w:p>
    <w:p>
      <w:pPr>
        <w:pStyle w:val="Heading2"/>
      </w:pPr>
      <w:r>
        <w:rPr>
          <w:b/>
          <w:sz w:val="28"/>
        </w:rPr>
        <w:t>RESUMO EXECUTIVO</w:t>
      </w:r>
    </w:p>
    <w:p/>
    <w:p>
      <w:r>
        <w:t>### Performance Financeira Principal</w:t>
      </w:r>
    </w:p>
    <w:p>
      <w:pPr>
        <w:pStyle w:val="ListBullet"/>
      </w:pPr>
      <w:r>
        <w:t>Receita Líquida: R$ 805,6 milhões no 3T25, variação -1,7% vs 3T24, variação -10,6% no acumulado 9M25 vs 9M24</w:t>
      </w:r>
    </w:p>
    <w:p>
      <w:pPr>
        <w:pStyle w:val="ListBullet"/>
      </w:pPr>
      <w:r>
        <w:t>EBITDA: R$ 68,1 milhões no 3T25, margem 8,5%, variação +1,5% em valor e +0,3 p.p. em margem vs 3T24; acumulado 9M25 EBITDA de R$ 195 milhões, margem 8,3%, variação -27,0% em valor e -1,9 p.p. em margem vs 9M24</w:t>
      </w:r>
    </w:p>
    <w:p>
      <w:pPr>
        <w:pStyle w:val="ListBullet"/>
      </w:pPr>
      <w:r>
        <w:t>Lucro Operacional: Não mencionado no release</w:t>
      </w:r>
    </w:p>
    <w:p>
      <w:pPr>
        <w:pStyle w:val="ListBullet"/>
      </w:pPr>
      <w:r>
        <w:t>Lucro Líquido: R$ 1,1 milhão no 3T25, margem 0,1%, variação -36,5% vs 3T24; prejuízo líquido acumulado de R$ 9,3 milhões no 9M25, contra lucro de R$ 70,9 milhões no 9M24</w:t>
      </w:r>
    </w:p>
    <w:p>
      <w:pPr>
        <w:pStyle w:val="ListBullet"/>
      </w:pPr>
      <w:r>
        <w:t>Fluxo de Caixa Operacional: R$ 118 milhões no 3T25, R$ 331 milhões no acumulado do ano, impulsionado pela gestão do capital de giro (redução de contas a receber e aumento de contas a pagar)</w:t>
      </w:r>
    </w:p>
    <w:p/>
    <w:p>
      <w:r>
        <w:t>### Indicadores Operacionais</w:t>
      </w:r>
    </w:p>
    <w:p>
      <w:pPr>
        <w:pStyle w:val="ListBullet"/>
      </w:pPr>
      <w:r>
        <w:t>Volume de vendas: Não explicitamente informado em unidades, mas receita de PCs no segmento Consumer cresceu 6% no trimestre; canais online cresceram 40% no segmento Consumer</w:t>
      </w:r>
    </w:p>
    <w:p>
      <w:pPr>
        <w:pStyle w:val="ListBullet"/>
      </w:pPr>
      <w:r>
        <w:t>Ticket médio: Não mencionado no release</w:t>
      </w:r>
    </w:p>
    <w:p>
      <w:pPr>
        <w:pStyle w:val="ListBullet"/>
      </w:pPr>
      <w:r>
        <w:t>Margem Bruta: 26,7% no 3T25, aumento de 2,6 p.p. vs 24,2% no 3T24; 25,0% no 9M25, aumento de 0,3 p.p. vs 9M24</w:t>
      </w:r>
    </w:p>
    <w:p>
      <w:pPr>
        <w:pStyle w:val="ListBullet"/>
      </w:pPr>
      <w:r>
        <w:t>Posição de caixa: Não informado valor total de caixa, mas dívida líquida e índice de alavancagem mencionados (endividamento líquido/EBITDA LTM de 1,9x no 3T25)</w:t>
      </w:r>
    </w:p>
    <w:p>
      <w:pPr>
        <w:pStyle w:val="ListBullet"/>
      </w:pPr>
      <w:r>
        <w:t>Estoques: Não mencionado no release</w:t>
      </w:r>
    </w:p>
    <w:p>
      <w:pPr>
        <w:pStyle w:val="ListBullet"/>
      </w:pPr>
      <w:r>
        <w:t>CAPEX: Não mencionado no release</w:t>
      </w:r>
    </w:p>
    <w:p/>
    <w:p>
      <w:r>
        <w:t>### Segmentos de Negócio</w:t>
      </w:r>
    </w:p>
    <w:p>
      <w:pPr>
        <w:pStyle w:val="ListBullet"/>
      </w:pPr>
      <w:r>
        <w:t>Commercial: receita bruta de R$ 632,5 milhões no 3T25 (+1,2% vs 3T24);</w:t>
      </w:r>
    </w:p>
    <w:p>
      <w:r>
        <w:t>– Negócios Corporativos: R$ 483 milhões no 3T25 (+21,9% vs 3T24), impulsionados por Soluções de Pagamento (+65%) e Positivo S+ (+23%);</w:t>
      </w:r>
    </w:p>
    <w:p>
      <w:r>
        <w:t>– Instituições Públicas: R$ 149,5 milhões no 3T25 (-34,7% vs 3T24), impactado por contingenciamento orçamentário</w:t>
      </w:r>
    </w:p>
    <w:p>
      <w:pPr>
        <w:pStyle w:val="ListBullet"/>
      </w:pPr>
      <w:r>
        <w:t>Consumer: receita bruta de R$ 290,1 milhões no 3T25 (-12,5% vs 3T24), com canais online crescendo 40% e representando 43% da receita do segmento; receita com PCs cresceu 6% no trimestre</w:t>
      </w:r>
    </w:p>
    <w:p>
      <w:pPr>
        <w:pStyle w:val="ListBullet"/>
      </w:pPr>
      <w:r>
        <w:t>Projetos Especiais: receita não reportada no 3T25 (presente no 9M24)</w:t>
      </w:r>
    </w:p>
    <w:p>
      <w:pPr>
        <w:pStyle w:val="ListBullet"/>
      </w:pPr>
      <w:r>
        <w:t>Receita por canal de vendas: canais online cresceram 40% no segmento Consumer, representando 43% da receita do segmento</w:t>
      </w:r>
    </w:p>
    <w:p>
      <w:pPr>
        <w:pStyle w:val="ListBullet"/>
      </w:pPr>
      <w:r>
        <w:t>Performance por linha de produtos principais: PCs no segmento Consumer cresceram 6%; Soluções de Pagamento cresceram 65%; Serviços gerenciados Positivo S+ cresceram 23%; HaaS em crescimento e ganhando relevância</w:t>
      </w:r>
    </w:p>
    <w:p/>
    <w:p>
      <w:r>
        <w:t>### Destaques Operacionais e Estratégicos</w:t>
      </w:r>
    </w:p>
    <w:p>
      <w:pPr>
        <w:pStyle w:val="ListBullet"/>
      </w:pPr>
      <w:r>
        <w:t>Lançamentos de produtos:</w:t>
      </w:r>
    </w:p>
    <w:p>
      <w:r>
        <w:t>– Notebook Positivo Vision R15M com minitela interativa exclusiva</w:t>
      </w:r>
    </w:p>
    <w:p>
      <w:r>
        <w:t>– MIA (Minha Inteligência Artificial), assistente virtual nativa nos computadores Positivo</w:t>
      </w:r>
    </w:p>
    <w:p>
      <w:pPr>
        <w:pStyle w:val="ListBullet"/>
      </w:pPr>
      <w:r>
        <w:t>Expansões operacionais: Finalização da criação de Força de Vendas unificada com portfólio integrado de PCs a servidores para IA e serviços gerenciados de TI</w:t>
      </w:r>
    </w:p>
    <w:p>
      <w:pPr>
        <w:pStyle w:val="ListBullet"/>
      </w:pPr>
      <w:r>
        <w:t>Parcerias estratégicas: Não mencionado no release</w:t>
      </w:r>
    </w:p>
    <w:p>
      <w:pPr>
        <w:pStyle w:val="ListBullet"/>
      </w:pPr>
      <w:r>
        <w:t>Investimentos em P&amp;D e inovação: Positivo S+ recebeu prêmio de Empresa Inovadora pelo MIT Technology Review; foco em IA e digitalização</w:t>
      </w:r>
    </w:p>
    <w:p>
      <w:pPr>
        <w:pStyle w:val="ListBullet"/>
      </w:pPr>
      <w:r>
        <w:t>Reestruturações organizacionais: Integração comercial da Positivo S+ com MVP previsto para iniciar ainda em 2025</w:t>
      </w:r>
    </w:p>
    <w:p>
      <w:pPr>
        <w:pStyle w:val="ListBullet"/>
      </w:pPr>
      <w:r>
        <w:t>Iniciativas de sustentabilidade e ESG: Reconhecimento da Positivo S+ inclui aspectos ESG, mas detalhes não especificados</w:t>
      </w:r>
    </w:p>
    <w:p/>
    <w:p>
      <w:r>
        <w:t>### Contexto de Mercado e Cenário</w:t>
      </w:r>
    </w:p>
    <w:p>
      <w:pPr>
        <w:pStyle w:val="ListBullet"/>
      </w:pPr>
      <w:r>
        <w:t>Principais desafios macroeconômicos: Contingenciamento do orçamento federal impactando vendas ao setor público; desaceleração do mercado de smartphones devido a expansão do mercado cinza e entrada de novos players; elevação e indisponibilidade de componentes de memória para PCs devido à demanda global por IA</w:t>
      </w:r>
    </w:p>
    <w:p>
      <w:pPr>
        <w:pStyle w:val="ListBullet"/>
      </w:pPr>
      <w:r>
        <w:t>Impactos setoriais específicos: Postergação das compras pelo setor público; mercado de servidores brasileiro começando a se movimentar com pipeline robusto para IA e HPC; expectativa de investimentos multibilionários em datacenters com a MP do ReData</w:t>
      </w:r>
    </w:p>
    <w:p>
      <w:pPr>
        <w:pStyle w:val="ListBullet"/>
      </w:pPr>
      <w:r>
        <w:t>Tendências de mercado relevantes: Crescimento das avenidas de crescimento (Soluções de Pagamento, Serviços, HaaS); digitalização e IA como drivers estratégicos</w:t>
      </w:r>
    </w:p>
    <w:p>
      <w:pPr>
        <w:pStyle w:val="ListBullet"/>
      </w:pPr>
      <w:r>
        <w:t>Posicionamento competitivo: Empresa posicionada como único fornecedor brasileiro de infraestrutura de TI ponta a ponta, com portfólio completo e forte presença em IA e serviços gerenciados</w:t>
      </w:r>
    </w:p>
    <w:p/>
    <w:p>
      <w:r>
        <w:t>### Riscos e Desafios Identificados</w:t>
      </w:r>
    </w:p>
    <w:p>
      <w:pPr>
        <w:pStyle w:val="ListBullet"/>
      </w:pPr>
      <w:r>
        <w:t>Pressões sobre margens: Margem EBITDA pressionada pelo menor volume de receitas e menor peso do segmento Instituições Públicas no mix</w:t>
      </w:r>
    </w:p>
    <w:p>
      <w:pPr>
        <w:pStyle w:val="ListBullet"/>
      </w:pPr>
      <w:r>
        <w:t>Desafios operacionais específicos: Postergação das entregas de servidores para 4T25; retração nas vendas de smartphones; postura cautelosa de grandes varejistas nas compras</w:t>
      </w:r>
    </w:p>
    <w:p>
      <w:pPr>
        <w:pStyle w:val="ListBullet"/>
      </w:pPr>
      <w:r>
        <w:t>Riscos regulatórios ou de compliance: Não mencionado no release</w:t>
      </w:r>
    </w:p>
    <w:p>
      <w:pPr>
        <w:pStyle w:val="ListBullet"/>
      </w:pPr>
      <w:r>
        <w:t>Impactos de eventos extraordinários: Elevação dos custos de componentes de memória devido à realocação da produção global para IA</w:t>
      </w:r>
    </w:p>
    <w:p>
      <w:pPr>
        <w:pStyle w:val="ListBullet"/>
      </w:pPr>
      <w:r>
        <w:t>Questões de supply chain ou logísticas: Indisponibilidade e aumento de custos de componentes de memória para PCs</w:t>
      </w:r>
    </w:p>
    <w:p/>
    <w:p>
      <w:r>
        <w:t>### Perspectivas e Guidance</w:t>
      </w:r>
    </w:p>
    <w:p>
      <w:pPr>
        <w:pStyle w:val="ListBullet"/>
      </w:pPr>
      <w:r>
        <w:t>Projeções para próximos trimestres: Forte aceleração esperada no 4T25, com aumento do volume de vendas em todas as linhas de negócio, destaque para servidores e projetos para setor público</w:t>
      </w:r>
    </w:p>
    <w:p>
      <w:pPr>
        <w:pStyle w:val="ListBullet"/>
      </w:pPr>
      <w:r>
        <w:t>Metas e objetivos declarados: Revisão do guidance para receita bruta anual entre R$ 3,9 bilhões e R$ 4,1 bilhões (anterior não informado)</w:t>
      </w:r>
    </w:p>
    <w:p>
      <w:pPr>
        <w:pStyle w:val="ListBullet"/>
      </w:pPr>
      <w:r>
        <w:t>Investimentos planejados: Não mencionado no release</w:t>
      </w:r>
    </w:p>
    <w:p>
      <w:pPr>
        <w:pStyle w:val="ListBullet"/>
      </w:pPr>
      <w:r>
        <w:t>Estratégias de crescimento: Diversificação de receitas para canais mais rentáveis, foco em infraestrutura de TI e IA, expansão de serviços gerenciados e soluções de pagamento</w:t>
      </w:r>
    </w:p>
    <w:p>
      <w:pPr>
        <w:pStyle w:val="ListBullet"/>
      </w:pPr>
      <w:r>
        <w:t>Guidance numérico: Receita bruta anual revisada para R$ 3,9 bi a R$ 4,1 bi</w:t>
      </w:r>
    </w:p>
    <w:p/>
    <w:p>
      <w:r>
        <w:t>### Eventos Relevantes do Período</w:t>
      </w:r>
    </w:p>
    <w:p>
      <w:pPr>
        <w:pStyle w:val="ListBullet"/>
      </w:pPr>
      <w:r>
        <w:t>Aquisições, desinvestimentos ou reorganizações: Inclusão da antiga Algar Tech MSP no segmento Commercial, renomeada Positivo S+</w:t>
      </w:r>
    </w:p>
    <w:p>
      <w:pPr>
        <w:pStyle w:val="ListBullet"/>
      </w:pPr>
      <w:r>
        <w:t>Mudanças na estrutura societária: Não mencionado no release</w:t>
      </w:r>
    </w:p>
    <w:p>
      <w:pPr>
        <w:pStyle w:val="ListBullet"/>
      </w:pPr>
      <w:r>
        <w:t>Eventos operacionais significativos: Recorde de captação de negócios da Positivo S+; 13 novos clientes conquistados em agosto; deslocamento de entregas de servidores para 4T25</w:t>
      </w:r>
    </w:p>
    <w:p>
      <w:pPr>
        <w:pStyle w:val="ListBullet"/>
      </w:pPr>
      <w:r>
        <w:t>Impactos de força maior: Não mencionado no release</w:t>
      </w:r>
    </w:p>
    <w:p/>
    <w:p>
      <w:r>
        <w:t>Número de páginas processadas: 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