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- release_resultados</w:t>
      </w:r>
    </w:p>
    <w:p>
      <w:pPr>
        <w:pStyle w:val="Heading2"/>
      </w:pPr>
      <w:r>
        <w:t>Informações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Trimestre:</w:t>
            </w:r>
          </w:p>
        </w:tc>
        <w:tc>
          <w:tcPr>
            <w:tcW w:type="dxa" w:w="4320"/>
          </w:tcPr>
          <w:p>
            <w:r>
              <w:t>3T25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Tipo:</w:t>
            </w:r>
          </w:p>
        </w:tc>
        <w:tc>
          <w:tcPr>
            <w:tcW w:type="dxa" w:w="4320"/>
          </w:tcPr>
          <w:p>
            <w:r>
              <w:t>release_resultados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Arquivo:</w:t>
            </w:r>
          </w:p>
        </w:tc>
        <w:tc>
          <w:tcPr>
            <w:tcW w:type="dxa" w:w="4320"/>
          </w:tcPr>
          <w:p>
            <w:r>
              <w:t>release_resultados_3T25.pdf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Processamento:</w:t>
            </w:r>
          </w:p>
        </w:tc>
        <w:tc>
          <w:tcPr>
            <w:tcW w:type="dxa" w:w="4320"/>
          </w:tcPr>
          <w:p>
            <w:r>
              <w:t>2025-11-24T09:36:33</w:t>
            </w:r>
          </w:p>
        </w:tc>
      </w:tr>
    </w:tbl>
    <w:p/>
    <w:p>
      <w:pPr>
        <w:pStyle w:val="Heading2"/>
      </w:pPr>
      <w:r>
        <w:t>Resumo Executivo</w:t>
      </w:r>
    </w:p>
    <w:p>
      <w:pPr>
        <w:pStyle w:val="Heading2"/>
      </w:pPr>
      <w:r>
        <w:rPr>
          <w:b/>
          <w:sz w:val="28"/>
        </w:rPr>
        <w:t>RESUMO EXECUTIVO</w:t>
      </w:r>
    </w:p>
    <w:p/>
    <w:p>
      <w:r>
        <w:t>### Performance Financeira Principal</w:t>
      </w:r>
    </w:p>
    <w:p>
      <w:pPr>
        <w:pStyle w:val="ListBullet"/>
      </w:pPr>
      <w:r>
        <w:t>Receita Líquida: R$ 805,6 milhões no 3T25, redução de 1,7% em relação ao 3T24; acumulado de R$ 2.363,3 milhões no 9M25, queda de 10,6% em relação ao mesmo período de 2024.</w:t>
      </w:r>
    </w:p>
    <w:p>
      <w:pPr>
        <w:pStyle w:val="ListBullet"/>
      </w:pPr>
      <w:r>
        <w:t>EBITDA: R$ 68,1 milhões no 3T25, margem de 8,5%, aumento de 0,3 p.p. sobre o 3T24; acumulado de R$ 195 milhões no 9M25, margem de 8,3%, queda de 1,9 p.p. em relação ao 9M24.</w:t>
      </w:r>
    </w:p>
    <w:p>
      <w:pPr>
        <w:pStyle w:val="ListBullet"/>
      </w:pPr>
      <w:r>
        <w:t>Lucro Operacional: Não mencionado no release.</w:t>
      </w:r>
    </w:p>
    <w:p>
      <w:pPr>
        <w:pStyle w:val="ListBullet"/>
      </w:pPr>
      <w:r>
        <w:t>Lucro Líquido: R$ 1,1 milhão no 3T25, contra R$ 1,7 milhão no 3T24; prejuízo de R$ 9,3 milhões no 9M25, contra lucro de R$ 70,9 milhões no mesmo período de 2024.</w:t>
      </w:r>
    </w:p>
    <w:p>
      <w:pPr>
        <w:pStyle w:val="ListBullet"/>
      </w:pPr>
      <w:r>
        <w:t>Fluxo de Caixa Operacional: R$ 118 milhões no trimestre, R$ 331 milhões no acumulado do ano, aumento impulsionado pela gestão do capital de giro e redução de saldos de contas a receber e maior saldo a pagar a fornecedores.</w:t>
      </w:r>
    </w:p>
    <w:p/>
    <w:p>
      <w:r>
        <w:t>### Indicadores Operacionais</w:t>
      </w:r>
    </w:p>
    <w:p>
      <w:pPr>
        <w:pStyle w:val="ListBullet"/>
      </w:pPr>
      <w:r>
        <w:t>Volume de vendas: Não mencionado no release.</w:t>
      </w:r>
    </w:p>
    <w:p>
      <w:pPr>
        <w:pStyle w:val="ListBullet"/>
      </w:pPr>
      <w:r>
        <w:t>Ticket médio: Não mencionado no release.</w:t>
      </w:r>
    </w:p>
    <w:p>
      <w:pPr>
        <w:pStyle w:val="ListBullet"/>
      </w:pPr>
      <w:r>
        <w:t>Margem Bruta: 26,7% no 3T25, aumento de 2,6 p.p. em relação ao 3T24; 25,0% no 9M25, aumento de 0,3 p.p. em relação ao 9M24.</w:t>
      </w:r>
    </w:p>
    <w:p>
      <w:pPr>
        <w:pStyle w:val="ListBullet"/>
      </w:pPr>
      <w:r>
        <w:t>Posição de caixa: Não mencionado no release.</w:t>
      </w:r>
    </w:p>
    <w:p>
      <w:pPr>
        <w:pStyle w:val="ListBullet"/>
      </w:pPr>
      <w:r>
        <w:t>Estoques: Não mencionado no release.</w:t>
      </w:r>
    </w:p>
    <w:p>
      <w:pPr>
        <w:pStyle w:val="ListBullet"/>
      </w:pPr>
      <w:r>
        <w:t>Dias de estoque: Não mencionado no release.</w:t>
      </w:r>
    </w:p>
    <w:p>
      <w:pPr>
        <w:pStyle w:val="ListBullet"/>
      </w:pPr>
      <w:r>
        <w:t>CAPEX: Não mencionado no release.</w:t>
      </w:r>
    </w:p>
    <w:p/>
    <w:p>
      <w:r>
        <w:t>### Segmentos de Negócio</w:t>
      </w:r>
    </w:p>
    <w:p>
      <w:pPr>
        <w:pStyle w:val="ListBullet"/>
      </w:pPr>
      <w:r>
        <w:t>Comercial:</w:t>
      </w:r>
    </w:p>
    <w:p>
      <w:pPr>
        <w:pStyle w:val="ListBullet"/>
      </w:pPr>
      <w:r>
        <w:t>Receita Bruta: R$ 632,5 milhões no 3T25, crescimento de 1,2% sobre o 3T24; R$ 1.917,2 milhões no 9M25, aumento de 2,0% em relação ao 9M24.</w:t>
      </w:r>
    </w:p>
    <w:p>
      <w:pPr>
        <w:pStyle w:val="ListBullet"/>
      </w:pPr>
      <w:r>
        <w:t>Receita de Vendas Corporativas: R$ 483,0 milhões no 3T25, aumento de 21,9% sobre o 3T24; R$ 1.367,0 milhões no 9M25, crescimento de 37,3%.</w:t>
      </w:r>
    </w:p>
    <w:p>
      <w:pPr>
        <w:pStyle w:val="ListBullet"/>
      </w:pPr>
      <w:r>
        <w:t>Receita de Instituições Públicas: R$ 149,5 milhões no 3T25, redução de 34,7% sobre o 3T24; R$ 550,2 milhões no 9M25, queda de 37,7%.</w:t>
      </w:r>
    </w:p>
    <w:p>
      <w:pPr>
        <w:pStyle w:val="ListBullet"/>
      </w:pPr>
      <w:r>
        <w:t>Receita de Serviços de TI (Positivo S+): R$ 143 milhões no 3T25, crescimento de 23% sobre o 3T24.</w:t>
      </w:r>
    </w:p>
    <w:p>
      <w:pPr>
        <w:pStyle w:val="ListBullet"/>
      </w:pPr>
      <w:r>
        <w:t>Consumer:</w:t>
      </w:r>
    </w:p>
    <w:p>
      <w:pPr>
        <w:pStyle w:val="ListBullet"/>
      </w:pPr>
      <w:r>
        <w:t>Receita Bruta: R$ 290,1 milhões no 3T25, redução de 12,5% sobre o 3T24; R$ 850,1 milhões no 9M25, queda de 8,9%.</w:t>
      </w:r>
    </w:p>
    <w:p>
      <w:pPr>
        <w:pStyle w:val="ListBullet"/>
      </w:pPr>
      <w:r>
        <w:t>Crescimento canais online: 40% no trimestre.</w:t>
      </w:r>
    </w:p>
    <w:p>
      <w:pPr>
        <w:pStyle w:val="ListBullet"/>
      </w:pPr>
      <w:r>
        <w:t>Receita com PCs: cresceu 6% no período.</w:t>
      </w:r>
    </w:p>
    <w:p>
      <w:pPr>
        <w:pStyle w:val="ListBullet"/>
      </w:pPr>
      <w:r>
        <w:t>Outros:</w:t>
      </w:r>
    </w:p>
    <w:p>
      <w:pPr>
        <w:pStyle w:val="ListBullet"/>
      </w:pPr>
      <w:r>
        <w:t>Projetos Especiais: Receita de R$ 0 no 3T25; R$ 267,9 milhões no 9M24.</w:t>
      </w:r>
    </w:p>
    <w:p/>
    <w:p>
      <w:r>
        <w:t>### Destaques Operacionais e Estratégicos</w:t>
      </w:r>
    </w:p>
    <w:p>
      <w:pPr>
        <w:pStyle w:val="ListBullet"/>
      </w:pPr>
      <w:r>
        <w:t>Finalização da criação de uma força de vendas unificada com portfólio integrado de ponta a ponta, dos PCs aos servidores de alta performance para IA e serviços gerenciados de TI.</w:t>
      </w:r>
    </w:p>
    <w:p>
      <w:pPr>
        <w:pStyle w:val="ListBullet"/>
      </w:pPr>
      <w:r>
        <w:t>Crescimento de avenidas de negócios com forte desempenho: Soluções de Pagamento +65% e Serviços (Positivo S+) +23% sobre o 3T24.</w:t>
      </w:r>
    </w:p>
    <w:p>
      <w:pPr>
        <w:pStyle w:val="ListBullet"/>
      </w:pPr>
      <w:r>
        <w:t>Recorde de captação de negócios na unidade Positivo S+ e reconhecimento como Empresa Inovadora pelo MIT Technology Review.</w:t>
      </w:r>
    </w:p>
    <w:p>
      <w:pPr>
        <w:pStyle w:val="ListBullet"/>
      </w:pPr>
      <w:r>
        <w:t>Mercado de servidores no Brasil começa a se movimentar, com pipeline de projetos de infraestrutura de IA e HPC.</w:t>
      </w:r>
    </w:p>
    <w:p>
      <w:pPr>
        <w:pStyle w:val="ListBullet"/>
      </w:pPr>
      <w:r>
        <w:t>Publicação da MP do ReData em setembro, potencial para atrair investimentos multibilionários em datacenters e benefícios para a indústria brasileira de servidores.</w:t>
      </w:r>
    </w:p>
    <w:p>
      <w:pPr>
        <w:pStyle w:val="ListBullet"/>
      </w:pPr>
      <w:r>
        <w:t>Lançamentos de produtos:</w:t>
      </w:r>
    </w:p>
    <w:p>
      <w:pPr>
        <w:pStyle w:val="ListBullet"/>
      </w:pPr>
      <w:r>
        <w:t>Notebook Positivo Vision R15M, com minitela interativa.</w:t>
      </w:r>
    </w:p>
    <w:p>
      <w:pPr>
        <w:pStyle w:val="ListBullet"/>
      </w:pPr>
      <w:r>
        <w:t>Assistente virtual MIA, nativa em computadores Positivo, com funcionalidades de entretenimento, comunicação e atalhos.</w:t>
      </w:r>
    </w:p>
    <w:p>
      <w:pPr>
        <w:pStyle w:val="ListBullet"/>
      </w:pPr>
      <w:r>
        <w:t>Diversificação de canais de vendas, com crescimento de 40% no online, mitigando efeitos adversos do setor de consumo.</w:t>
      </w:r>
    </w:p>
    <w:p>
      <w:pPr>
        <w:pStyle w:val="ListBullet"/>
      </w:pPr>
      <w:r>
        <w:t>Investimentos em inovação e tecnologia, reforçando o posicionamento em IA e infraestrutura de TI.</w:t>
      </w:r>
    </w:p>
    <w:p/>
    <w:p>
      <w:r>
        <w:t>### Contexto de Mercado e Cenário</w:t>
      </w:r>
    </w:p>
    <w:p>
      <w:pPr>
        <w:pStyle w:val="ListBullet"/>
      </w:pPr>
      <w:r>
        <w:t>Receita total e rentabilidade ainda pressionadas devido ao menor volume de entregas ao setor público e retração nas vendas de smartphones.</w:t>
      </w:r>
    </w:p>
    <w:p>
      <w:pPr>
        <w:pStyle w:val="ListBullet"/>
      </w:pPr>
      <w:r>
        <w:t>Expectativa de aceleração no 4T, impulsionada por sazonalidade, entregas de servidores, projetos para o setor público e varejo.</w:t>
      </w:r>
    </w:p>
    <w:p>
      <w:pPr>
        <w:pStyle w:val="ListBullet"/>
      </w:pPr>
      <w:r>
        <w:t>Revisão do guidance de receita bruta para R$ 3,9 bilhões a R$ 4,1 bilhões, devido à postergação de compras do setor público, desaceleração do mercado de smartphones e aumento de custos de componentes de memória.</w:t>
      </w:r>
    </w:p>
    <w:p>
      <w:pPr>
        <w:pStyle w:val="ListBullet"/>
      </w:pPr>
      <w:r>
        <w:t>Mercado de servidores começa a se movimentar, com pipeline de projetos de infraestrutura de IA e HPC.</w:t>
      </w:r>
    </w:p>
    <w:p>
      <w:pPr>
        <w:pStyle w:val="ListBullet"/>
      </w:pPr>
      <w:r>
        <w:t>Expectativa de crescimento no segmento de servidores no 4T, com forte crescimento esperado no ano.</w:t>
      </w:r>
    </w:p>
    <w:p/>
    <w:p>
      <w:r>
        <w:t>### Riscos e Desafios Identificados</w:t>
      </w:r>
    </w:p>
    <w:p>
      <w:pPr>
        <w:pStyle w:val="ListBullet"/>
      </w:pPr>
      <w:r>
        <w:t>Pressões sobre margens devido à menor receita e aumento de despesas financeiras.</w:t>
      </w:r>
    </w:p>
    <w:p>
      <w:pPr>
        <w:pStyle w:val="ListBullet"/>
      </w:pPr>
      <w:r>
        <w:t>Desaceleração nas vendas ao setor público por contingenciamento orçamentário.</w:t>
      </w:r>
    </w:p>
    <w:p>
      <w:pPr>
        <w:pStyle w:val="ListBullet"/>
      </w:pPr>
      <w:r>
        <w:t>Impacto do aumento de custos de componentes de memória para PCs.</w:t>
      </w:r>
    </w:p>
    <w:p>
      <w:pPr>
        <w:pStyle w:val="ListBullet"/>
      </w:pPr>
      <w:r>
        <w:t>Risco de não atingir o guidance de receita devido à postergação de compras e condições de mercado adversas.</w:t>
      </w:r>
    </w:p>
    <w:p>
      <w:pPr>
        <w:pStyle w:val="ListBullet"/>
      </w:pPr>
      <w:r>
        <w:t>Despesas financeiras elevadas devido às maiores taxas de juros, cerca de 4,5 p.p. acima do mesmo período do ano anterior.</w:t>
      </w:r>
    </w:p>
    <w:p/>
    <w:p>
      <w:r>
        <w:t>### Perspectivas e Guidance</w:t>
      </w:r>
    </w:p>
    <w:p>
      <w:pPr>
        <w:pStyle w:val="ListBullet"/>
      </w:pPr>
      <w:r>
        <w:t>Revisão do guidance de receita bruta para R$ 3,9 bilhões a R$ 4,1 bilhões para o ano.</w:t>
      </w:r>
    </w:p>
    <w:p>
      <w:pPr>
        <w:pStyle w:val="ListBullet"/>
      </w:pPr>
      <w:r>
        <w:t>Expectativa de forte aceleração no 4T, impulsionada por entregas de servidores, projetos públicos e sazonalidade do varejo.</w:t>
      </w:r>
    </w:p>
    <w:p>
      <w:pPr>
        <w:pStyle w:val="ListBullet"/>
      </w:pPr>
      <w:r>
        <w:t>Continuidade na estratégia de diversificação de receitas, foco na disciplina financeira, redução da dívida líquida e otimização do capital de giro.</w:t>
      </w:r>
    </w:p>
    <w:p>
      <w:pPr>
        <w:pStyle w:val="ListBullet"/>
      </w:pPr>
      <w:r>
        <w:t>Potencial de crescimento com os investimentos e projetos relacionados à infraestrutura de TI, IA e datacenters, especialmente após a publicação da MP do ReData.</w:t>
      </w:r>
    </w:p>
    <w:p/>
    <w:p>
      <w:r>
        <w:t>### Eventos Relevantes do Período</w:t>
      </w:r>
    </w:p>
    <w:p>
      <w:pPr>
        <w:pStyle w:val="ListBullet"/>
      </w:pPr>
      <w:r>
        <w:t>Finalização da criação de força de vendas unificada.</w:t>
      </w:r>
    </w:p>
    <w:p>
      <w:pPr>
        <w:pStyle w:val="ListBullet"/>
      </w:pPr>
      <w:r>
        <w:t>Reconhecimento da Positivo S+ como Empresa Inovadora pelo MIT Technology Review.</w:t>
      </w:r>
    </w:p>
    <w:p>
      <w:pPr>
        <w:pStyle w:val="ListBullet"/>
      </w:pPr>
      <w:r>
        <w:t>Publicação da MP do ReData em setembro, com potencial impacto na atração de investimentos em datacenters.</w:t>
      </w:r>
    </w:p>
    <w:p>
      <w:pPr>
        <w:pStyle w:val="ListBullet"/>
      </w:pPr>
      <w:r>
        <w:t>Lançamentos de produtos inovadores (Notebook Vision R15M e assistente virtual MIA).</w:t>
      </w:r>
    </w:p>
    <w:p>
      <w:pPr>
        <w:pStyle w:val="ListBullet"/>
      </w:pPr>
      <w:r>
        <w:t>Postergação de entregas de servidores e projetos ao setor público para o 4T.</w:t>
      </w:r>
    </w:p>
    <w:p>
      <w:pPr>
        <w:pStyle w:val="ListBullet"/>
      </w:pPr>
      <w:r>
        <w:t>Revisão do guidance de receita para o ano, refletindo condições de mercado e custos.</w:t>
      </w:r>
    </w:p>
    <w:p/>
    <w:p>
      <w:r>
        <w:t>---</w:t>
      </w:r>
    </w:p>
    <w:p/>
    <w:p>
      <w:r>
        <w:t>**Observação:** Algumas informações específicas, como posição de caixa, estoques, dias de estoque, volume de vendas e ticket médio, não foram explicitamente mencionadas no release.</w:t>
      </w:r>
    </w:p>
    <w:p/>
    <w:p>
      <w:r>
        <w:t>Número de páginas processadas: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