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#Introduction</w:t>
      </w:r>
    </w:p>
    <w:p>
      <w:pPr>
        <w:pStyle w:val="BodyText"/>
      </w:pPr>
      <w:r>
        <w:t xml:space="preserve">(1,1)</w:t>
      </w:r>
      <w:r>
        <w:t xml:space="preserve"> </w:t>
      </w:r>
      <w:r>
        <w:t xml:space="preserve">(2)</w:t>
      </w:r>
    </w:p>
    <w:bookmarkStart w:id="22" w:name="refs"/>
    <w:bookmarkStart w:id="20" w:name="ref-millerAssessmentAcuteChest2018"/>
    <w:p>
      <w:pPr>
        <w:pStyle w:val="Bibliography"/>
      </w:pPr>
      <w:r>
        <w:t xml:space="preserve">1. Miller R, Nixon G. The assessment of acute chest pain in New Zealand rural hospitals utilising point-of-care troponin. Journal of Primary Health Care. 2018;10(1):90–2.</w:t>
      </w:r>
      <w:r>
        <w:t xml:space="preserve"> </w:t>
      </w:r>
    </w:p>
    <w:bookmarkEnd w:id="20"/>
    <w:bookmarkStart w:id="21" w:name="ref-wong2016"/>
    <w:p>
      <w:pPr>
        <w:pStyle w:val="Bibliography"/>
      </w:pPr>
      <w:r>
        <w:t xml:space="preserve">2. Wong DL, Nixon G. The rural medical generalist workforce: The Royal New Zealand College of General Practitioners’ 2014 workforce survey results. JOURNAL OF PRIMARY HEALTH CARE. 2016;8(3):8.</w:t>
      </w:r>
      <w:r>
        <w:t xml:space="preserve"> 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2018-04-22T23:27:11Z</dcterms:created>
  <dcterms:modified xsi:type="dcterms:W3CDTF">2018-04-22T23:27:11Z</dcterms:modified>
</cp:coreProperties>
</file>