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BA2E2" w14:textId="77777777" w:rsidR="00F475F1" w:rsidRPr="00F475F1" w:rsidRDefault="00F475F1" w:rsidP="00F475F1">
      <w:pPr>
        <w:rPr>
          <w:b/>
          <w:bCs/>
          <w:color w:val="EE0000"/>
          <w:sz w:val="32"/>
          <w:szCs w:val="32"/>
        </w:rPr>
      </w:pPr>
      <w:r w:rsidRPr="00F475F1">
        <w:rPr>
          <w:b/>
          <w:bCs/>
          <w:color w:val="EE0000"/>
          <w:sz w:val="32"/>
          <w:szCs w:val="32"/>
        </w:rPr>
        <w:t>What we already know</w:t>
      </w:r>
    </w:p>
    <w:p w14:paraId="10C4BB9B" w14:textId="77777777" w:rsidR="00F475F1" w:rsidRPr="00F475F1" w:rsidRDefault="00F475F1" w:rsidP="00F475F1">
      <w:pPr>
        <w:numPr>
          <w:ilvl w:val="0"/>
          <w:numId w:val="1"/>
        </w:numPr>
      </w:pPr>
      <w:r w:rsidRPr="00F475F1">
        <w:rPr>
          <w:b/>
          <w:bCs/>
        </w:rPr>
        <w:t>NaDeA.thy</w:t>
      </w:r>
      <w:r w:rsidRPr="00F475F1">
        <w:t xml:space="preserve"> defines types, terms, formulas, semantics, substitution, and inductive inference rules.</w:t>
      </w:r>
      <w:r w:rsidRPr="00F475F1">
        <w:br/>
        <w:t xml:space="preserve">It’s the </w:t>
      </w:r>
      <w:r w:rsidRPr="00F475F1">
        <w:rPr>
          <w:b/>
          <w:bCs/>
        </w:rPr>
        <w:t>formal logic core</w:t>
      </w:r>
      <w:r w:rsidRPr="00F475F1">
        <w:t xml:space="preserve"> for natural deduction in Isabelle.</w:t>
      </w:r>
    </w:p>
    <w:p w14:paraId="665DD464" w14:textId="77777777" w:rsidR="00F475F1" w:rsidRPr="00F475F1" w:rsidRDefault="00F475F1" w:rsidP="00F475F1">
      <w:pPr>
        <w:numPr>
          <w:ilvl w:val="0"/>
          <w:numId w:val="1"/>
        </w:numPr>
      </w:pPr>
      <w:r w:rsidRPr="00F475F1">
        <w:rPr>
          <w:b/>
          <w:bCs/>
        </w:rPr>
        <w:t>Purpose</w:t>
      </w:r>
      <w:r w:rsidRPr="00F475F1">
        <w:t>: It ensures proof correctness and rule soundness — meaning your game can rely on it for validation logic, rather than re-deriving everything manually.</w:t>
      </w:r>
    </w:p>
    <w:p w14:paraId="38A9EB2D" w14:textId="77777777" w:rsidR="00F475F1" w:rsidRPr="00F475F1" w:rsidRDefault="00F475F1" w:rsidP="00E306B9">
      <w:pPr>
        <w:rPr>
          <w:color w:val="EE0000"/>
          <w:sz w:val="32"/>
          <w:szCs w:val="32"/>
        </w:rPr>
      </w:pPr>
      <w:r w:rsidRPr="00F475F1">
        <w:rPr>
          <w:b/>
          <w:bCs/>
          <w:color w:val="EE0000"/>
          <w:sz w:val="32"/>
          <w:szCs w:val="32"/>
        </w:rPr>
        <w:t>Key linked papers</w:t>
      </w:r>
      <w:r w:rsidRPr="00F475F1">
        <w:rPr>
          <w:color w:val="EE0000"/>
          <w:sz w:val="32"/>
          <w:szCs w:val="32"/>
        </w:rPr>
        <w:t>:</w:t>
      </w:r>
    </w:p>
    <w:p w14:paraId="7015315A" w14:textId="70C94F67" w:rsidR="008D485C" w:rsidRPr="001B6439" w:rsidRDefault="00DC3D1A" w:rsidP="001B6439">
      <w:pPr>
        <w:pStyle w:val="NormalWeb"/>
        <w:numPr>
          <w:ilvl w:val="0"/>
          <w:numId w:val="1"/>
        </w:numPr>
        <w:rPr>
          <w:rFonts w:asciiTheme="minorHAnsi" w:hAnsiTheme="minorHAnsi"/>
          <w:sz w:val="22"/>
          <w:szCs w:val="22"/>
        </w:rPr>
      </w:pPr>
      <w:r w:rsidRPr="00DC3D1A">
        <w:rPr>
          <w:rStyle w:val="Strong"/>
          <w:rFonts w:asciiTheme="minorHAnsi" w:eastAsiaTheme="majorEastAsia" w:hAnsiTheme="minorHAnsi"/>
          <w:sz w:val="22"/>
          <w:szCs w:val="22"/>
        </w:rPr>
        <w:t>NaDeA: A Natural Deduction Assistant with a Formalization in Isabelle</w:t>
      </w:r>
      <w:r w:rsidRPr="00DC3D1A">
        <w:rPr>
          <w:rFonts w:asciiTheme="minorHAnsi" w:hAnsiTheme="minorHAnsi"/>
          <w:sz w:val="22"/>
          <w:szCs w:val="22"/>
        </w:rPr>
        <w:t xml:space="preserve"> (Villadsen, Jensen &amp; Schlichtkrull, 2015)</w:t>
      </w:r>
      <w:r w:rsidRPr="00DC3D1A">
        <w:rPr>
          <w:rFonts w:asciiTheme="minorHAnsi" w:hAnsiTheme="minorHAnsi"/>
          <w:sz w:val="22"/>
          <w:szCs w:val="22"/>
        </w:rPr>
        <w:br/>
        <w:t xml:space="preserve">This paper introduces NaDeA, a browser-based teaching tool for natural deduction whose underlying proof system is fully formalised in Isabelle/HOL. It presents the syntax and semantics of the built logic, proves soundness of the proof engine, and explains how NaDeA can be used in undergraduate teaching. The tool emphasises ease of use and formal correctness </w:t>
      </w:r>
      <w:r w:rsidR="008D485C">
        <w:rPr>
          <w:rFonts w:asciiTheme="minorHAnsi" w:hAnsiTheme="minorHAnsi"/>
          <w:sz w:val="22"/>
          <w:szCs w:val="22"/>
        </w:rPr>
        <w:t>,</w:t>
      </w:r>
      <w:r w:rsidRPr="00DC3D1A">
        <w:rPr>
          <w:rFonts w:asciiTheme="minorHAnsi" w:hAnsiTheme="minorHAnsi"/>
          <w:sz w:val="22"/>
          <w:szCs w:val="22"/>
        </w:rPr>
        <w:t xml:space="preserve"> though it lacks extensive visual interaction and gamification. </w:t>
      </w:r>
      <w:hyperlink r:id="rId5" w:tgtFrame="_blank" w:history="1">
        <w:r w:rsidRPr="00DC3D1A">
          <w:rPr>
            <w:rStyle w:val="max-w-15ch"/>
            <w:rFonts w:asciiTheme="minorHAnsi" w:eastAsiaTheme="majorEastAsia" w:hAnsiTheme="minorHAnsi"/>
            <w:color w:val="0000FF"/>
            <w:sz w:val="22"/>
            <w:szCs w:val="22"/>
            <w:u w:val="single"/>
          </w:rPr>
          <w:t>arX</w:t>
        </w:r>
        <w:r w:rsidRPr="00DC3D1A">
          <w:rPr>
            <w:rStyle w:val="max-w-15ch"/>
            <w:rFonts w:asciiTheme="minorHAnsi" w:eastAsiaTheme="majorEastAsia" w:hAnsiTheme="minorHAnsi"/>
            <w:color w:val="0000FF"/>
            <w:sz w:val="22"/>
            <w:szCs w:val="22"/>
            <w:u w:val="single"/>
          </w:rPr>
          <w:t>i</w:t>
        </w:r>
        <w:r w:rsidRPr="00DC3D1A">
          <w:rPr>
            <w:rStyle w:val="max-w-15ch"/>
            <w:rFonts w:asciiTheme="minorHAnsi" w:eastAsiaTheme="majorEastAsia" w:hAnsiTheme="minorHAnsi"/>
            <w:color w:val="0000FF"/>
            <w:sz w:val="22"/>
            <w:szCs w:val="22"/>
            <w:u w:val="single"/>
          </w:rPr>
          <w:t>v</w:t>
        </w:r>
        <w:r w:rsidRPr="00DC3D1A">
          <w:rPr>
            <w:rStyle w:val="-me-1"/>
            <w:rFonts w:asciiTheme="minorHAnsi" w:hAnsiTheme="minorHAnsi"/>
            <w:color w:val="0000FF"/>
            <w:sz w:val="22"/>
            <w:szCs w:val="22"/>
            <w:u w:val="single"/>
          </w:rPr>
          <w:t>+1</w:t>
        </w:r>
      </w:hyperlink>
    </w:p>
    <w:p w14:paraId="6B11901B" w14:textId="62D2796C" w:rsidR="008D485C" w:rsidRPr="001B6439" w:rsidRDefault="00DC3D1A" w:rsidP="001B6439">
      <w:pPr>
        <w:pStyle w:val="NormalWeb"/>
        <w:numPr>
          <w:ilvl w:val="0"/>
          <w:numId w:val="1"/>
        </w:numPr>
        <w:rPr>
          <w:rFonts w:asciiTheme="minorHAnsi" w:hAnsiTheme="minorHAnsi"/>
          <w:sz w:val="22"/>
          <w:szCs w:val="22"/>
        </w:rPr>
      </w:pPr>
      <w:r w:rsidRPr="00DC3D1A">
        <w:rPr>
          <w:rStyle w:val="Strong"/>
          <w:rFonts w:asciiTheme="minorHAnsi" w:eastAsiaTheme="majorEastAsia" w:hAnsiTheme="minorHAnsi"/>
          <w:sz w:val="22"/>
          <w:szCs w:val="22"/>
        </w:rPr>
        <w:t>Natural Deduction and the Isabelle Proof Assistant</w:t>
      </w:r>
      <w:r w:rsidRPr="00DC3D1A">
        <w:rPr>
          <w:rFonts w:asciiTheme="minorHAnsi" w:hAnsiTheme="minorHAnsi"/>
          <w:sz w:val="22"/>
          <w:szCs w:val="22"/>
        </w:rPr>
        <w:t xml:space="preserve"> (Villadsen, From &amp; Schlichtkrull, 2018)</w:t>
      </w:r>
      <w:r w:rsidRPr="00DC3D1A">
        <w:rPr>
          <w:rFonts w:asciiTheme="minorHAnsi" w:hAnsiTheme="minorHAnsi"/>
          <w:sz w:val="22"/>
          <w:szCs w:val="22"/>
        </w:rPr>
        <w:br/>
        <w:t xml:space="preserve">This paper examines the interface between Isabelle and NaDeA. It details how NaDeA uses a generated prover verified in Isabelle, how proof states can be exported for verification, and how the system provides student feedback. It emphasises the educational value of exposing students to a verified backend while joining it with a more user-friendly frontend. However, it still does not offer drag-and-drop interaction or advanced gamified UI features. </w:t>
      </w:r>
      <w:hyperlink r:id="rId6" w:tgtFrame="_blank" w:history="1">
        <w:r w:rsidRPr="00DC3D1A">
          <w:rPr>
            <w:rStyle w:val="max-w-15ch"/>
            <w:rFonts w:asciiTheme="minorHAnsi" w:eastAsiaTheme="majorEastAsia" w:hAnsiTheme="minorHAnsi"/>
            <w:color w:val="0000FF"/>
            <w:sz w:val="22"/>
            <w:szCs w:val="22"/>
            <w:u w:val="single"/>
          </w:rPr>
          <w:t>Directory of Open Access Journals</w:t>
        </w:r>
        <w:r w:rsidRPr="00DC3D1A">
          <w:rPr>
            <w:rStyle w:val="-me-1"/>
            <w:rFonts w:asciiTheme="minorHAnsi" w:hAnsiTheme="minorHAnsi"/>
            <w:color w:val="0000FF"/>
            <w:sz w:val="22"/>
            <w:szCs w:val="22"/>
            <w:u w:val="single"/>
          </w:rPr>
          <w:t>+1</w:t>
        </w:r>
      </w:hyperlink>
    </w:p>
    <w:p w14:paraId="23A2481A" w14:textId="41FB790B" w:rsidR="008D485C" w:rsidRPr="001B6439" w:rsidRDefault="00DC3D1A" w:rsidP="001B6439">
      <w:pPr>
        <w:pStyle w:val="NormalWeb"/>
        <w:numPr>
          <w:ilvl w:val="0"/>
          <w:numId w:val="1"/>
        </w:numPr>
        <w:rPr>
          <w:rFonts w:asciiTheme="minorHAnsi" w:hAnsiTheme="minorHAnsi"/>
          <w:sz w:val="22"/>
          <w:szCs w:val="22"/>
        </w:rPr>
      </w:pPr>
      <w:r w:rsidRPr="00DC3D1A">
        <w:rPr>
          <w:rStyle w:val="Strong"/>
          <w:rFonts w:asciiTheme="minorHAnsi" w:eastAsiaTheme="majorEastAsia" w:hAnsiTheme="minorHAnsi"/>
          <w:sz w:val="22"/>
          <w:szCs w:val="22"/>
        </w:rPr>
        <w:t>Teaching Intuitionistic and Classical Propositional Logic Using Isabelle</w:t>
      </w:r>
      <w:r w:rsidRPr="00DC3D1A">
        <w:rPr>
          <w:rFonts w:asciiTheme="minorHAnsi" w:hAnsiTheme="minorHAnsi"/>
          <w:sz w:val="22"/>
          <w:szCs w:val="22"/>
        </w:rPr>
        <w:t xml:space="preserve"> (Villadsen, From &amp; Blackburn, 2022)</w:t>
      </w:r>
      <w:r w:rsidRPr="00DC3D1A">
        <w:rPr>
          <w:rFonts w:asciiTheme="minorHAnsi" w:hAnsiTheme="minorHAnsi"/>
          <w:sz w:val="22"/>
          <w:szCs w:val="22"/>
        </w:rPr>
        <w:br/>
        <w:t xml:space="preserve">This more recent work presents a formalisation of both intuitionistic and classical propositional logic within the Isabelle/Pure framework specifically for teaching. It reports on usage in an Automated Reasoning course (2020-2021) and reflects on how the formalisation supports teaching logic to undergraduates. The paper focuses on correctness and pedagogy rather than UI/UX or game mechanics. </w:t>
      </w:r>
      <w:hyperlink r:id="rId7" w:tgtFrame="_blank" w:history="1">
        <w:r w:rsidRPr="00DC3D1A">
          <w:rPr>
            <w:rStyle w:val="max-w-15ch"/>
            <w:rFonts w:asciiTheme="minorHAnsi" w:eastAsiaTheme="majorEastAsia" w:hAnsiTheme="minorHAnsi"/>
            <w:color w:val="0000FF"/>
            <w:sz w:val="22"/>
            <w:szCs w:val="22"/>
            <w:u w:val="single"/>
          </w:rPr>
          <w:t>forskning.ruc.dk</w:t>
        </w:r>
        <w:r w:rsidRPr="00DC3D1A">
          <w:rPr>
            <w:rStyle w:val="-me-1"/>
            <w:rFonts w:asciiTheme="minorHAnsi" w:hAnsiTheme="minorHAnsi"/>
            <w:color w:val="0000FF"/>
            <w:sz w:val="22"/>
            <w:szCs w:val="22"/>
            <w:u w:val="single"/>
          </w:rPr>
          <w:t>+1</w:t>
        </w:r>
      </w:hyperlink>
    </w:p>
    <w:p w14:paraId="7C992AA3" w14:textId="1F183B04" w:rsidR="001B6439" w:rsidRPr="001B6439" w:rsidRDefault="00DC3D1A" w:rsidP="001B6439">
      <w:pPr>
        <w:pStyle w:val="NormalWeb"/>
        <w:numPr>
          <w:ilvl w:val="0"/>
          <w:numId w:val="1"/>
        </w:numPr>
        <w:rPr>
          <w:rFonts w:asciiTheme="minorHAnsi" w:hAnsiTheme="minorHAnsi"/>
          <w:sz w:val="22"/>
          <w:szCs w:val="22"/>
        </w:rPr>
      </w:pPr>
      <w:r w:rsidRPr="00DC3D1A">
        <w:rPr>
          <w:rStyle w:val="Strong"/>
          <w:rFonts w:asciiTheme="minorHAnsi" w:eastAsiaTheme="majorEastAsia" w:hAnsiTheme="minorHAnsi"/>
          <w:sz w:val="22"/>
          <w:szCs w:val="22"/>
        </w:rPr>
        <w:t>Isabelle/HOL as a Meta</w:t>
      </w:r>
      <w:r w:rsidRPr="00DC3D1A">
        <w:rPr>
          <w:rStyle w:val="Strong"/>
          <w:rFonts w:asciiTheme="minorHAnsi" w:eastAsiaTheme="majorEastAsia" w:hAnsiTheme="minorHAnsi"/>
          <w:sz w:val="22"/>
          <w:szCs w:val="22"/>
        </w:rPr>
        <w:noBreakHyphen/>
        <w:t>Language for Teaching Logic</w:t>
      </w:r>
      <w:r w:rsidRPr="00DC3D1A">
        <w:rPr>
          <w:rFonts w:asciiTheme="minorHAnsi" w:hAnsiTheme="minorHAnsi"/>
          <w:sz w:val="22"/>
          <w:szCs w:val="22"/>
        </w:rPr>
        <w:t xml:space="preserve"> (From, Villadsen &amp; Blackburn, 2020)</w:t>
      </w:r>
      <w:r w:rsidRPr="00DC3D1A">
        <w:rPr>
          <w:rFonts w:asciiTheme="minorHAnsi" w:hAnsiTheme="minorHAnsi"/>
          <w:sz w:val="22"/>
          <w:szCs w:val="22"/>
        </w:rPr>
        <w:br/>
        <w:t xml:space="preserve">This paper considers several formalisations in Isabelle/HOL (including NaDeA, a small sequent calculus, and System W) used in logic teaching. It investigates how proof assistants serve logic education and reflects on lessons learned. It highlights obstacles such as the steep learning curve of proof assistants and the need for more intuitive interfaces, which links directly to your project’s motivation for a more engaging UI. </w:t>
      </w:r>
      <w:hyperlink r:id="rId8" w:tgtFrame="_blank" w:history="1">
        <w:r w:rsidRPr="00DC3D1A">
          <w:rPr>
            <w:rStyle w:val="max-w-15ch"/>
            <w:rFonts w:asciiTheme="minorHAnsi" w:eastAsiaTheme="majorEastAsia" w:hAnsiTheme="minorHAnsi"/>
            <w:color w:val="0000FF"/>
            <w:sz w:val="22"/>
            <w:szCs w:val="22"/>
            <w:u w:val="single"/>
          </w:rPr>
          <w:t>arXiv</w:t>
        </w:r>
      </w:hyperlink>
    </w:p>
    <w:p w14:paraId="7D45B190" w14:textId="641C8B91" w:rsidR="00F475F1" w:rsidRPr="001B6439" w:rsidRDefault="00F475F1" w:rsidP="001B6439">
      <w:pPr>
        <w:pStyle w:val="NormalWeb"/>
        <w:ind w:left="720"/>
        <w:rPr>
          <w:rFonts w:asciiTheme="minorHAnsi" w:hAnsiTheme="minorHAnsi"/>
          <w:sz w:val="22"/>
          <w:szCs w:val="22"/>
        </w:rPr>
      </w:pPr>
      <w:r w:rsidRPr="001B6439">
        <w:rPr>
          <w:rFonts w:eastAsiaTheme="majorEastAsia"/>
          <w:i/>
          <w:iCs/>
        </w:rPr>
        <w:t>NaDeA Manual</w:t>
      </w:r>
      <w:r w:rsidRPr="00F475F1">
        <w:t xml:space="preserve"> (in the Isabelle repository documentation).</w:t>
      </w:r>
    </w:p>
    <w:p w14:paraId="3AB198D5" w14:textId="77777777" w:rsidR="001B6439" w:rsidRPr="001B6439" w:rsidRDefault="001B6439" w:rsidP="001B6439">
      <w:pPr>
        <w:ind w:left="720"/>
      </w:pPr>
    </w:p>
    <w:p w14:paraId="3B6451D3" w14:textId="77777777" w:rsidR="001B6439" w:rsidRPr="001B6439" w:rsidRDefault="001B6439" w:rsidP="001B6439">
      <w:pPr>
        <w:ind w:left="720"/>
      </w:pPr>
    </w:p>
    <w:p w14:paraId="34D5E261" w14:textId="77777777" w:rsidR="001B6439" w:rsidRPr="001B6439" w:rsidRDefault="001B6439" w:rsidP="001B6439">
      <w:pPr>
        <w:ind w:left="720"/>
      </w:pPr>
    </w:p>
    <w:p w14:paraId="024A2A4F" w14:textId="77777777" w:rsidR="001B6439" w:rsidRPr="001B6439" w:rsidRDefault="001B6439" w:rsidP="001B6439">
      <w:pPr>
        <w:ind w:left="720"/>
      </w:pPr>
    </w:p>
    <w:p w14:paraId="75B9D693" w14:textId="7245D277" w:rsidR="00F475F1" w:rsidRPr="00F475F1" w:rsidRDefault="00F475F1" w:rsidP="001B6439">
      <w:pPr>
        <w:numPr>
          <w:ilvl w:val="0"/>
          <w:numId w:val="1"/>
        </w:numPr>
      </w:pPr>
      <w:r w:rsidRPr="00F475F1">
        <w:rPr>
          <w:b/>
          <w:bCs/>
        </w:rPr>
        <w:lastRenderedPageBreak/>
        <w:t>Interface integrations with Isabelle</w:t>
      </w:r>
      <w:r w:rsidRPr="00F475F1">
        <w:t xml:space="preserve"> are rare but there are prototypes:</w:t>
      </w:r>
    </w:p>
    <w:p w14:paraId="7569A994" w14:textId="77777777" w:rsidR="00F475F1" w:rsidRPr="00F475F1" w:rsidRDefault="00F475F1" w:rsidP="00F475F1">
      <w:pPr>
        <w:numPr>
          <w:ilvl w:val="1"/>
          <w:numId w:val="2"/>
        </w:numPr>
      </w:pPr>
      <w:r w:rsidRPr="00F475F1">
        <w:t xml:space="preserve">NaDeA uses a </w:t>
      </w:r>
      <w:r w:rsidRPr="00F475F1">
        <w:rPr>
          <w:b/>
          <w:bCs/>
        </w:rPr>
        <w:t>web-based front end</w:t>
      </w:r>
      <w:r w:rsidRPr="00F475F1">
        <w:t xml:space="preserve"> (JavaScript) communicating with Isabelle via its export files and the Isabelle server protocol.</w:t>
      </w:r>
    </w:p>
    <w:p w14:paraId="719B8D6C" w14:textId="77777777" w:rsidR="00F475F1" w:rsidRPr="00F475F1" w:rsidRDefault="00F475F1" w:rsidP="00F475F1">
      <w:pPr>
        <w:numPr>
          <w:ilvl w:val="1"/>
          <w:numId w:val="2"/>
        </w:numPr>
      </w:pPr>
      <w:r w:rsidRPr="00F475F1">
        <w:t xml:space="preserve">Isabelle/jEdit uses the </w:t>
      </w:r>
      <w:r w:rsidRPr="00F475F1">
        <w:rPr>
          <w:b/>
          <w:bCs/>
        </w:rPr>
        <w:t>PIDE (Prover IDE)</w:t>
      </w:r>
      <w:r w:rsidRPr="00F475F1">
        <w:t xml:space="preserve"> protocol — a message-passing system — which is what most external UIs rely on when connecting to Isabelle.</w:t>
      </w:r>
    </w:p>
    <w:p w14:paraId="778D4F68" w14:textId="77777777" w:rsidR="00F475F1" w:rsidRPr="00F475F1" w:rsidRDefault="00F475F1" w:rsidP="00F475F1">
      <w:pPr>
        <w:numPr>
          <w:ilvl w:val="1"/>
          <w:numId w:val="2"/>
        </w:numPr>
      </w:pPr>
      <w:r w:rsidRPr="00F475F1">
        <w:t xml:space="preserve">Other researchers (e.g., </w:t>
      </w:r>
      <w:r w:rsidRPr="00F475F1">
        <w:rPr>
          <w:i/>
          <w:iCs/>
        </w:rPr>
        <w:t>Proof General</w:t>
      </w:r>
      <w:r w:rsidRPr="00F475F1">
        <w:t xml:space="preserve"> and </w:t>
      </w:r>
      <w:r w:rsidRPr="00F475F1">
        <w:rPr>
          <w:i/>
          <w:iCs/>
        </w:rPr>
        <w:t>Isabelle/VSCode</w:t>
      </w:r>
      <w:r w:rsidRPr="00F475F1">
        <w:t>) have explored similar connections.</w:t>
      </w:r>
    </w:p>
    <w:p w14:paraId="318575FD" w14:textId="7305E26A" w:rsidR="00F475F1" w:rsidRDefault="00F475F1" w:rsidP="00944CC5"/>
    <w:p w14:paraId="01FE5736" w14:textId="6F8FA6D4" w:rsidR="00944CC5" w:rsidRDefault="000F2105" w:rsidP="00944CC5">
      <w:r>
        <w:t>In summary,</w:t>
      </w:r>
    </w:p>
    <w:p w14:paraId="1BD1E0FE" w14:textId="161AB23A" w:rsidR="000F2105" w:rsidRPr="00F475F1" w:rsidRDefault="00905355" w:rsidP="00944CC5">
      <w:r>
        <w:t xml:space="preserve">We can use Isabelles built in server API, send it commands </w:t>
      </w:r>
      <w:r w:rsidR="00825CA9">
        <w:t>from my Node.js backend and get structured results back.</w:t>
      </w:r>
      <w:r w:rsidR="00501FBB">
        <w:t xml:space="preserve"> This way we are using PIDE but indirectly, wre still get the benefits of it without having to int</w:t>
      </w:r>
      <w:r w:rsidR="007039CF">
        <w:t>eract with the PIDE protocol directly.</w:t>
      </w:r>
    </w:p>
    <w:p w14:paraId="4D48F1D8" w14:textId="3DF2E663" w:rsidR="00EF26A5" w:rsidRPr="00DC3D1A" w:rsidRDefault="00EF26A5"/>
    <w:sectPr w:rsidR="00EF26A5" w:rsidRPr="00DC3D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2548F"/>
    <w:multiLevelType w:val="multilevel"/>
    <w:tmpl w:val="702EEC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6E27DD"/>
    <w:multiLevelType w:val="multilevel"/>
    <w:tmpl w:val="FC9E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9078581">
    <w:abstractNumId w:val="0"/>
  </w:num>
  <w:num w:numId="2" w16cid:durableId="2104178151">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18272092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8B4"/>
    <w:rsid w:val="000E2690"/>
    <w:rsid w:val="000F2105"/>
    <w:rsid w:val="001B6439"/>
    <w:rsid w:val="00501FBB"/>
    <w:rsid w:val="007039CF"/>
    <w:rsid w:val="007208B4"/>
    <w:rsid w:val="00825CA9"/>
    <w:rsid w:val="0086641B"/>
    <w:rsid w:val="008D485C"/>
    <w:rsid w:val="00905355"/>
    <w:rsid w:val="00944CC5"/>
    <w:rsid w:val="00D72FF7"/>
    <w:rsid w:val="00DC3D1A"/>
    <w:rsid w:val="00E306B9"/>
    <w:rsid w:val="00EF26A5"/>
    <w:rsid w:val="00F475F1"/>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EC3A9"/>
  <w15:chartTrackingRefBased/>
  <w15:docId w15:val="{15798A85-2726-433D-82BD-E001D5BEE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8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08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08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08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08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08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8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8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8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8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08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08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08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08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08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8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8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8B4"/>
    <w:rPr>
      <w:rFonts w:eastAsiaTheme="majorEastAsia" w:cstheme="majorBidi"/>
      <w:color w:val="272727" w:themeColor="text1" w:themeTint="D8"/>
    </w:rPr>
  </w:style>
  <w:style w:type="paragraph" w:styleId="Title">
    <w:name w:val="Title"/>
    <w:basedOn w:val="Normal"/>
    <w:next w:val="Normal"/>
    <w:link w:val="TitleChar"/>
    <w:uiPriority w:val="10"/>
    <w:qFormat/>
    <w:rsid w:val="007208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8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8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8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8B4"/>
    <w:pPr>
      <w:spacing w:before="160"/>
      <w:jc w:val="center"/>
    </w:pPr>
    <w:rPr>
      <w:i/>
      <w:iCs/>
      <w:color w:val="404040" w:themeColor="text1" w:themeTint="BF"/>
    </w:rPr>
  </w:style>
  <w:style w:type="character" w:customStyle="1" w:styleId="QuoteChar">
    <w:name w:val="Quote Char"/>
    <w:basedOn w:val="DefaultParagraphFont"/>
    <w:link w:val="Quote"/>
    <w:uiPriority w:val="29"/>
    <w:rsid w:val="007208B4"/>
    <w:rPr>
      <w:i/>
      <w:iCs/>
      <w:color w:val="404040" w:themeColor="text1" w:themeTint="BF"/>
    </w:rPr>
  </w:style>
  <w:style w:type="paragraph" w:styleId="ListParagraph">
    <w:name w:val="List Paragraph"/>
    <w:basedOn w:val="Normal"/>
    <w:uiPriority w:val="34"/>
    <w:qFormat/>
    <w:rsid w:val="007208B4"/>
    <w:pPr>
      <w:ind w:left="720"/>
      <w:contextualSpacing/>
    </w:pPr>
  </w:style>
  <w:style w:type="character" w:styleId="IntenseEmphasis">
    <w:name w:val="Intense Emphasis"/>
    <w:basedOn w:val="DefaultParagraphFont"/>
    <w:uiPriority w:val="21"/>
    <w:qFormat/>
    <w:rsid w:val="007208B4"/>
    <w:rPr>
      <w:i/>
      <w:iCs/>
      <w:color w:val="0F4761" w:themeColor="accent1" w:themeShade="BF"/>
    </w:rPr>
  </w:style>
  <w:style w:type="paragraph" w:styleId="IntenseQuote">
    <w:name w:val="Intense Quote"/>
    <w:basedOn w:val="Normal"/>
    <w:next w:val="Normal"/>
    <w:link w:val="IntenseQuoteChar"/>
    <w:uiPriority w:val="30"/>
    <w:qFormat/>
    <w:rsid w:val="007208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08B4"/>
    <w:rPr>
      <w:i/>
      <w:iCs/>
      <w:color w:val="0F4761" w:themeColor="accent1" w:themeShade="BF"/>
    </w:rPr>
  </w:style>
  <w:style w:type="character" w:styleId="IntenseReference">
    <w:name w:val="Intense Reference"/>
    <w:basedOn w:val="DefaultParagraphFont"/>
    <w:uiPriority w:val="32"/>
    <w:qFormat/>
    <w:rsid w:val="007208B4"/>
    <w:rPr>
      <w:b/>
      <w:bCs/>
      <w:smallCaps/>
      <w:color w:val="0F4761" w:themeColor="accent1" w:themeShade="BF"/>
      <w:spacing w:val="5"/>
    </w:rPr>
  </w:style>
  <w:style w:type="paragraph" w:styleId="NormalWeb">
    <w:name w:val="Normal (Web)"/>
    <w:basedOn w:val="Normal"/>
    <w:uiPriority w:val="99"/>
    <w:unhideWhenUsed/>
    <w:rsid w:val="00DC3D1A"/>
    <w:pPr>
      <w:spacing w:before="100" w:beforeAutospacing="1" w:after="100" w:afterAutospacing="1" w:line="240" w:lineRule="auto"/>
    </w:pPr>
    <w:rPr>
      <w:rFonts w:ascii="Times New Roman" w:eastAsia="Times New Roman" w:hAnsi="Times New Roman" w:cs="Times New Roman"/>
      <w:kern w:val="0"/>
      <w:sz w:val="24"/>
      <w:szCs w:val="24"/>
      <w:lang w:eastAsia="en-IE"/>
      <w14:ligatures w14:val="none"/>
    </w:rPr>
  </w:style>
  <w:style w:type="character" w:styleId="Strong">
    <w:name w:val="Strong"/>
    <w:basedOn w:val="DefaultParagraphFont"/>
    <w:uiPriority w:val="22"/>
    <w:qFormat/>
    <w:rsid w:val="00DC3D1A"/>
    <w:rPr>
      <w:b/>
      <w:bCs/>
    </w:rPr>
  </w:style>
  <w:style w:type="character" w:customStyle="1" w:styleId="ms-1">
    <w:name w:val="ms-1"/>
    <w:basedOn w:val="DefaultParagraphFont"/>
    <w:rsid w:val="00DC3D1A"/>
  </w:style>
  <w:style w:type="character" w:customStyle="1" w:styleId="max-w-15ch">
    <w:name w:val="max-w-[15ch]"/>
    <w:basedOn w:val="DefaultParagraphFont"/>
    <w:rsid w:val="00DC3D1A"/>
  </w:style>
  <w:style w:type="character" w:customStyle="1" w:styleId="-me-1">
    <w:name w:val="-me-1"/>
    <w:basedOn w:val="DefaultParagraphFont"/>
    <w:rsid w:val="00DC3D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010.16014?utm_source=chatgpt.com" TargetMode="External"/><Relationship Id="rId3" Type="http://schemas.openxmlformats.org/officeDocument/2006/relationships/settings" Target="settings.xml"/><Relationship Id="rId7" Type="http://schemas.openxmlformats.org/officeDocument/2006/relationships/hyperlink" Target="https://forskning.ruc.dk/files/80548479/2202.03567v1.pdf?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aj.org/article/ad2d62e96f704281967c05357c214379?utm_source=chatgpt.com" TargetMode="External"/><Relationship Id="rId5" Type="http://schemas.openxmlformats.org/officeDocument/2006/relationships/hyperlink" Target="https://arxiv.org/abs/1507.04002?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549</Words>
  <Characters>3131</Characters>
  <Application>Microsoft Office Word</Application>
  <DocSecurity>0</DocSecurity>
  <Lines>26</Lines>
  <Paragraphs>7</Paragraphs>
  <ScaleCrop>false</ScaleCrop>
  <Company/>
  <LinksUpToDate>false</LinksUpToDate>
  <CharactersWithSpaces>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Rory O'Donoghue</dc:creator>
  <cp:keywords/>
  <dc:description/>
  <cp:lastModifiedBy>Rory O'Donoghue</cp:lastModifiedBy>
  <cp:revision>13</cp:revision>
  <dcterms:created xsi:type="dcterms:W3CDTF">2025-11-12T11:26:00Z</dcterms:created>
  <dcterms:modified xsi:type="dcterms:W3CDTF">2025-11-12T11:34:00Z</dcterms:modified>
</cp:coreProperties>
</file>