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Сравнительное исследование instance segmentation для планов квартир</w:t>
      </w:r>
    </w:p>
    <w:p>
      <w:r>
        <w:t>Задача: сегментация и классификация комнат на поэтажных планах квартир. Обучение — на синтетических/чертёжных данных (ResPlan_v2 + CubiCasa5K), тест — на реальных пользовательских фото с Avito/Cian (UGC).</w:t>
      </w:r>
    </w:p>
    <w:p>
      <w:pPr>
        <w:pStyle w:val="Heading1"/>
      </w:pPr>
      <w:r>
        <w:t>1. Ключевая находка: критический баг в разметке</w:t>
      </w:r>
    </w:p>
    <w:p>
      <w:r>
        <w:t>На старте проекта была найдена и исправлена ошибка в вычислении bbox из полигонов масок: координаты считались из УПРОЩЁННОГО (approxPolyDP) контура вместо самого пиксельного массива маски. Это давало bbox МЕНЬШЕ реальной площади объекта у ~65% всех инстансов и у ~98% инстансов класса opening (двери/окна — тонкие вытянутые объекты, для которых упрощение контура особенно сильно искажает границы). Это единственная находка, которая повлияла на ВСЕ последующие модели и метрики — без фикса обучение шло на систематически неверных таргетах.</w:t>
      </w:r>
    </w:p>
    <w:p>
      <w:pPr>
        <w:pStyle w:val="Heading1"/>
      </w:pPr>
      <w:r>
        <w:t>2. Валидация на обучающих данных (внутренний split, до UGC)</w:t>
      </w:r>
    </w:p>
    <w:p>
      <w:r>
        <w:t>Метрики на 20% валидационной выборке из обучающих (чистых, схематичных) данных — показывают, насколько хорошо модель выучила саму задачу до переноса на реальные фото.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Модель</w:t>
            </w:r>
          </w:p>
        </w:tc>
        <w:tc>
          <w:tcPr>
            <w:tcW w:type="dxa" w:w="1728"/>
          </w:tcPr>
          <w:p>
            <w:r>
              <w:t>Эпоха</w:t>
            </w:r>
          </w:p>
        </w:tc>
        <w:tc>
          <w:tcPr>
            <w:tcW w:type="dxa" w:w="1728"/>
          </w:tcPr>
          <w:p>
            <w:r>
              <w:t>box mAP50 / 50:95</w:t>
            </w:r>
          </w:p>
        </w:tc>
        <w:tc>
          <w:tcPr>
            <w:tcW w:type="dxa" w:w="1728"/>
          </w:tcPr>
          <w:p>
            <w:r>
              <w:t>segm/mask mAP50 / 50:95</w:t>
            </w:r>
          </w:p>
        </w:tc>
        <w:tc>
          <w:tcPr>
            <w:tcW w:type="dxa" w:w="1728"/>
          </w:tcPr>
          <w:p>
            <w:r>
              <w:t>своя метрика</w:t>
            </w:r>
          </w:p>
        </w:tc>
      </w:tr>
      <w:tr>
        <w:tc>
          <w:tcPr>
            <w:tcW w:type="dxa" w:w="1728"/>
          </w:tcPr>
          <w:p>
            <w:r>
              <w:t>RF-DETR-Seg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0.900 / 0.826</w:t>
            </w:r>
          </w:p>
        </w:tc>
        <w:tc>
          <w:tcPr>
            <w:tcW w:type="dxa" w:w="1728"/>
          </w:tcPr>
          <w:p>
            <w:r>
              <w:t>0.834 / 0.560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RF-DETR-Seg (новый прогон)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0.917 / 0.828</w:t>
            </w:r>
          </w:p>
        </w:tc>
        <w:tc>
          <w:tcPr>
            <w:tcW w:type="dxa" w:w="1728"/>
          </w:tcPr>
          <w:p>
            <w:r>
              <w:t>0.844 / 0.578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YOLO-seg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0.942 / 0.877</w:t>
            </w:r>
          </w:p>
        </w:tc>
        <w:tc>
          <w:tcPr>
            <w:tcW w:type="dxa" w:w="1728"/>
          </w:tcPr>
          <w:p>
            <w:r>
              <w:t>0.911 / 0.690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Mask R-CNN</w:t>
            </w:r>
          </w:p>
        </w:tc>
        <w:tc>
          <w:tcPr>
            <w:tcW w:type="dxa" w:w="1728"/>
          </w:tcPr>
          <w:p>
            <w:r>
              <w:t>лучшая</w:t>
            </w:r>
          </w:p>
        </w:tc>
        <w:tc>
          <w:tcPr>
            <w:tcW w:type="dxa" w:w="1728"/>
          </w:tcPr>
          <w:p>
            <w:r>
              <w:t>0.863 / 0.683</w:t>
            </w:r>
          </w:p>
        </w:tc>
        <w:tc>
          <w:tcPr>
            <w:tcW w:type="dxa" w:w="1728"/>
          </w:tcPr>
          <w:p>
            <w:r>
              <w:t>0.858 / 0.675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SegFormer</w:t>
            </w:r>
          </w:p>
        </w:tc>
        <w:tc>
          <w:tcPr>
            <w:tcW w:type="dxa" w:w="1728"/>
          </w:tcPr>
          <w:p>
            <w:r>
              <w:t>60 (финал)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val_mIoU = 0.863</w:t>
            </w:r>
          </w:p>
        </w:tc>
      </w:tr>
      <w:tr>
        <w:tc>
          <w:tcPr>
            <w:tcW w:type="dxa" w:w="1728"/>
          </w:tcPr>
          <w:p>
            <w:r>
              <w:t>UNet-simple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val_iou = 0.805</w:t>
            </w:r>
          </w:p>
        </w:tc>
      </w:tr>
    </w:tbl>
    <w:p>
      <w:r>
        <w:t>Важное наблюдение: высокая метрика на валидации НЕ гарантирует качество на UGC — у SegFormer/UNet она даже выше, чем у YOLO/Mask R-CNN (mIoU/val_iou 0.80-0.86), но на реальных фото они проигрывают на порядок (см. раздел 3) — из-за отсутствия instance-head.</w:t>
      </w:r>
    </w:p>
    <w:p>
      <w:pPr>
        <w:pStyle w:val="Heading1"/>
      </w:pPr>
      <w:r>
        <w:t>3. Итоговое сравнение моделей (UGC test, реальные фото)</w:t>
      </w:r>
    </w:p>
    <w:p>
      <w:r>
        <w:drawing>
          <wp:inline xmlns:a="http://schemas.openxmlformats.org/drawingml/2006/main" xmlns:pic="http://schemas.openxmlformats.org/drawingml/2006/picture">
            <wp:extent cx="54864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Модель</w:t>
            </w:r>
          </w:p>
        </w:tc>
        <w:tc>
          <w:tcPr>
            <w:tcW w:type="dxa" w:w="2880"/>
          </w:tcPr>
          <w:p>
            <w:r>
              <w:t>segm AP@50</w:t>
            </w:r>
          </w:p>
        </w:tc>
        <w:tc>
          <w:tcPr>
            <w:tcW w:type="dxa" w:w="2880"/>
          </w:tcPr>
          <w:p>
            <w:r>
              <w:t>segm AP@50:95</w:t>
            </w:r>
          </w:p>
        </w:tc>
      </w:tr>
      <w:tr>
        <w:tc>
          <w:tcPr>
            <w:tcW w:type="dxa" w:w="2880"/>
          </w:tcPr>
          <w:p>
            <w:r>
              <w:t>RF-DETR</w:t>
            </w:r>
          </w:p>
        </w:tc>
        <w:tc>
          <w:tcPr>
            <w:tcW w:type="dxa" w:w="2880"/>
          </w:tcPr>
          <w:p>
            <w:r>
              <w:t>0.2770</w:t>
            </w:r>
          </w:p>
        </w:tc>
        <w:tc>
          <w:tcPr>
            <w:tcW w:type="dxa" w:w="2880"/>
          </w:tcPr>
          <w:p>
            <w:r>
              <w:t>0.1750</w:t>
            </w:r>
          </w:p>
        </w:tc>
      </w:tr>
      <w:tr>
        <w:tc>
          <w:tcPr>
            <w:tcW w:type="dxa" w:w="2880"/>
          </w:tcPr>
          <w:p>
            <w:r>
              <w:t>YOLO-seg</w:t>
            </w:r>
          </w:p>
        </w:tc>
        <w:tc>
          <w:tcPr>
            <w:tcW w:type="dxa" w:w="2880"/>
          </w:tcPr>
          <w:p>
            <w:r>
              <w:t>0.2600</w:t>
            </w:r>
          </w:p>
        </w:tc>
        <w:tc>
          <w:tcPr>
            <w:tcW w:type="dxa" w:w="2880"/>
          </w:tcPr>
          <w:p>
            <w:r>
              <w:t>0.1700</w:t>
            </w:r>
          </w:p>
        </w:tc>
      </w:tr>
      <w:tr>
        <w:tc>
          <w:tcPr>
            <w:tcW w:type="dxa" w:w="2880"/>
          </w:tcPr>
          <w:p>
            <w:r>
              <w:t>Mask R-CNN</w:t>
            </w:r>
          </w:p>
        </w:tc>
        <w:tc>
          <w:tcPr>
            <w:tcW w:type="dxa" w:w="2880"/>
          </w:tcPr>
          <w:p>
            <w:r>
              <w:t>0.2030</w:t>
            </w:r>
          </w:p>
        </w:tc>
        <w:tc>
          <w:tcPr>
            <w:tcW w:type="dxa" w:w="2880"/>
          </w:tcPr>
          <w:p>
            <w:r>
              <w:t>0.1310</w:t>
            </w:r>
          </w:p>
        </w:tc>
      </w:tr>
      <w:tr>
        <w:tc>
          <w:tcPr>
            <w:tcW w:type="dxa" w:w="2880"/>
          </w:tcPr>
          <w:p>
            <w:r>
              <w:t>SegFormer</w:t>
            </w:r>
          </w:p>
        </w:tc>
        <w:tc>
          <w:tcPr>
            <w:tcW w:type="dxa" w:w="2880"/>
          </w:tcPr>
          <w:p>
            <w:r>
              <w:t>0.0560</w:t>
            </w:r>
          </w:p>
        </w:tc>
        <w:tc>
          <w:tcPr>
            <w:tcW w:type="dxa" w:w="2880"/>
          </w:tcPr>
          <w:p>
            <w:r>
              <w:t>0.0210</w:t>
            </w:r>
          </w:p>
        </w:tc>
      </w:tr>
      <w:tr>
        <w:tc>
          <w:tcPr>
            <w:tcW w:type="dxa" w:w="2880"/>
          </w:tcPr>
          <w:p>
            <w:r>
              <w:t>UNet-simple</w:t>
            </w:r>
          </w:p>
        </w:tc>
        <w:tc>
          <w:tcPr>
            <w:tcW w:type="dxa" w:w="2880"/>
          </w:tcPr>
          <w:p>
            <w:r>
              <w:t>0.0500</w:t>
            </w:r>
          </w:p>
        </w:tc>
        <w:tc>
          <w:tcPr>
            <w:tcW w:type="dxa" w:w="2880"/>
          </w:tcPr>
          <w:p>
            <w:r>
              <w:t>0.0220</w:t>
            </w:r>
          </w:p>
        </w:tc>
      </w:tr>
      <w:tr>
        <w:tc>
          <w:tcPr>
            <w:tcW w:type="dxa" w:w="2880"/>
          </w:tcPr>
          <w:p>
            <w:r>
              <w:t>SAM zero-shot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  <w:tc>
          <w:tcPr>
            <w:tcW w:type="dxa" w:w="2880"/>
          </w:tcPr>
          <w:p>
            <w:r>
              <w:t>0.0002</w:t>
            </w:r>
          </w:p>
        </w:tc>
      </w:tr>
    </w:tbl>
    <w:p>
      <w:pPr>
        <w:pStyle w:val="Heading1"/>
      </w:pPr>
      <w:r>
        <w:t>4. Domain gap: чистая синтетика vs реальные фото</w:t>
      </w:r>
    </w:p>
    <w:p>
      <w:r>
        <w:drawing>
          <wp:inline xmlns:a="http://schemas.openxmlformats.org/drawingml/2006/main" xmlns:pic="http://schemas.openxmlformats.org/drawingml/2006/picture">
            <wp:extent cx="5029200" cy="3592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omain_g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9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Все модели показывают провал в 3-5 раз между валидацией на обучающих (чистых, схематичных) данных и тестом на реальных UGC-фото (шум, компрессия, повороты, водяные знаки, разное качество съёмки). Это ожидаемый эффект domain gap, а не проблема конкретной архитектуры.</w:t>
      </w:r>
    </w:p>
    <w:p>
      <w:r>
        <w:t>Важный вывод: модели с нативным instance-head (RF-DETR, YOLO, Mask R-CNN) на порядок устойчивее моделей с чисто семантической сегментацией (SegFormer, UNet), даже когда у семантических моделей выше СВОЯ метрика (mIoU) на обучающих данных. У семантической сегментации нет объектной регуляризации — connected-components перевод в инстансы очень уязвим к шуму на реальных фото: рвёт один объект на несколько или сливает соседние объекты одного класса.</w:t>
      </w:r>
    </w:p>
    <w:p>
      <w:pPr>
        <w:pStyle w:val="Heading1"/>
      </w:pPr>
      <w:r>
        <w:t>5. Что реально сделано против конкретных дефектов UGC</w:t>
      </w:r>
    </w:p>
    <w:p>
      <w:r>
        <w:t>Важно честно разделить сделанное и обсуждённое:</w:t>
      </w:r>
    </w:p>
    <w:p>
      <w:pPr>
        <w:pStyle w:val="ListBullet"/>
      </w:pPr>
      <w:r>
        <w:t>Водяные знаки — реализован и протестирован эксперимент (data_prep/mask_watermark.py): закрашивание углов с логотипом Avito перед подачей в модель. Сравнение метрик YOLO до/после НЕ доведено до конца (переключились на другую задачу) — эффект пока не измерен.</w:t>
      </w:r>
    </w:p>
    <w:p>
      <w:pPr>
        <w:pStyle w:val="ListBullet"/>
      </w:pPr>
      <w:r>
        <w:t>Повороты, JPEG-сжатие, разное качество съёмки — выявлены и задокументированы как причины domain gap (в т.ч. визуально при ручной разметке для OCR-эксперимента), но отдельных целевых фиксов под них не строили.</w:t>
      </w:r>
    </w:p>
    <w:p>
      <w:pPr>
        <w:pStyle w:val="ListBullet"/>
      </w:pPr>
      <w:r>
        <w:t>Вместо точечных фиксов — сейчас тестируется набор аугментаций от коллеги (pipeline_fullaug_v2: 15 базовых + wall_styles/furniture/wall_morph_strong), обучение RF-DETR на них идёт в моменте написания отчёта — результат ещё не готов.</w:t>
      </w:r>
    </w:p>
    <w:p>
      <w:pPr>
        <w:pStyle w:val="Heading1"/>
      </w:pPr>
      <w:r>
        <w:t>6. Zero-shot SAM практически не работает на этом домене</w:t>
      </w:r>
    </w:p>
    <w:p>
      <w:r>
        <w:t>Grounded-SAM (GroundingDINO + SAM без дообучения) даёт AP≈0.0002 — на уровне шума. GroundingDINO обучен на натуральных фото и не умеет находить комнаты на схематичных чертежах — домен слишком далёк от его обучающих данных. Из 33 тестовых картинок находилось лишь 4 из 7 классов, с низкой уверенностью (0.26-0.44) и почти без пересечения по IoU с GT.</w:t>
      </w:r>
    </w:p>
    <w:p>
      <w:pPr>
        <w:pStyle w:val="Heading1"/>
      </w:pPr>
      <w:r>
        <w:t>7. Furniture-aware реранкер: собранные данные и неудача генерализации</w:t>
      </w:r>
    </w:p>
    <w:p>
      <w:r>
        <w:t>Собран мебельный датасет из двух источников: SFPI (189160 инстансов, готовый COCO-формат) и CubiCasa5K (28637 инстансов после исправления серьёзной ошибки в системе координат — SVG-полигоны мебели не совпадали с растровым изображением по системе координат; решение — калибровка через ECC-регистрацию изображений между отрендеренными SVG-стенами и реальным сканом).</w:t>
      </w:r>
    </w:p>
    <w:p>
      <w:r>
        <w:t>YOLO11n-seg, обученный на этих данных, показывает отличные метрики на своей валидации (mask mAP50=0.99 на первой итерации), но НЕ ГЕНЕРАЛИЗУЕТСЯ на реальные UGC-фото — модель спамит класс 'sink' на любом мелком контрастном паттерне (100+ ложных срабатываний на картинку). Причина: оба источника данных — чистые CAD-иконки/векторная графика, визуально гораздо дальше от реальных фото, чем даже основной датасет комнат.</w:t>
      </w:r>
    </w:p>
    <w:p>
      <w:pPr>
        <w:pStyle w:val="Heading1"/>
      </w:pPr>
      <w:r>
        <w:t>8. OCR-распознавание площади комнат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oc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Идея: на планах печатают площадь комнаты ("номер/площадь" дробью по центру), это можно прочитать OCR и привязать к полигону комнаты геометрически (число внутри маски = площадь, а не размер стены). Протестированы EasyOCR, PaddleOCR и Tesseract (только цифры) с разными вариантами предобработки.</w:t>
      </w:r>
    </w:p>
    <w:p>
      <w:r>
        <w:t>PaddleOCR БЕЗ дополнительной обработки дал лучший результат — 38.8% recall на честной ручной разметке, почти втрое больше EasyOCR baseline (13.4%). Контрастность (CLAHE) помогает EasyOCR, но ВРЕДИТ PaddleOCR (у него уже есть своя настроенная предобработка). Печатный шрифт на части реальных фото физически нечитаем ни одним движком — это потолок исходного качества снимка, а не ограничение алгоритма.</w:t>
      </w:r>
    </w:p>
    <w:p>
      <w:pPr>
        <w:pStyle w:val="Heading1"/>
      </w:pPr>
      <w:r>
        <w:t>9. Методологические решения</w:t>
      </w:r>
    </w:p>
    <w:p>
      <w:pPr>
        <w:pStyle w:val="ListBullet"/>
      </w:pPr>
      <w:r>
        <w:t>Единый train/valid split (80/20, seed=42) для всех моделей — честное сравнение.</w:t>
      </w:r>
    </w:p>
    <w:p>
      <w:pPr>
        <w:pStyle w:val="ListBullet"/>
      </w:pPr>
      <w:r>
        <w:t>«Мягкая» (lenient) оценка: living/bedroom вместо room, bathroom+restroom объединены — не наказывать модель за семантически корректные, но формально иные названия.</w:t>
      </w:r>
    </w:p>
    <w:p>
      <w:pPr>
        <w:pStyle w:val="ListBullet"/>
      </w:pPr>
      <w:r>
        <w:t>Confusion-матрица и раздельный учёт FP/FN по классам, а не только agregate mAP.</w:t>
      </w:r>
    </w:p>
    <w:p>
      <w:pPr>
        <w:pStyle w:val="ListBullet"/>
      </w:pPr>
      <w:r>
        <w:t>GT-vs-предсказание визуализации для всех тестовых картинок, а не выборочно.</w:t>
      </w:r>
    </w:p>
    <w:p>
      <w:pPr>
        <w:pStyle w:val="Heading1"/>
      </w:pPr>
      <w:r>
        <w:t>10. Открытые задачи</w:t>
      </w:r>
    </w:p>
    <w:p>
      <w:pPr>
        <w:pStyle w:val="ListBullet"/>
      </w:pPr>
      <w:r>
        <w:t>RF-DETR переобучается на новых аугментированных данных (wall_styles/furniture/wall_morph аугментации от коллеги) — ожидаем сокращение domain gap.</w:t>
      </w:r>
    </w:p>
    <w:p>
      <w:pPr>
        <w:pStyle w:val="ListBullet"/>
      </w:pPr>
      <w:r>
        <w:t>FloorPlanCAD не подключён — не найден маппинг semantic-id → класс (список классов зашит в SVG-картинку как контуры, не как текст).</w:t>
      </w:r>
    </w:p>
    <w:p>
      <w:pPr>
        <w:pStyle w:val="ListBullet"/>
      </w:pPr>
      <w:r>
        <w:t>SAM fine-tuning требует батчинга (уже добавлен в код) — предыдущая попытка не завершила даже одну эпоху за 4+ часа без него.</w:t>
      </w:r>
    </w:p>
    <w:p>
      <w:pPr>
        <w:pStyle w:val="ListBullet"/>
      </w:pPr>
      <w:r>
        <w:t>Furniture-детектор нуждается в данных ближе к реальным фото или сильных аугментациях, иначе не может использоваться в реранкере.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