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31315"/>
          <w:sz w:val="40"/>
        </w:rPr>
        <w:t>FullForce.digital — Campaign Asset Sheet</w:t>
      </w:r>
    </w:p>
    <w:p>
      <w:pPr>
        <w:spacing w:after="480"/>
      </w:pPr>
      <w:r>
        <w:rPr>
          <w:rFonts w:ascii="Arial" w:hAnsi="Arial"/>
          <w:i/>
          <w:color w:val="7A7876"/>
          <w:sz w:val="20"/>
        </w:rPr>
        <w:t>Product: Regenerating Night Cream 50ml  |  Season: Winter 2025  |  Brand: FullCosmetics</w:t>
      </w:r>
    </w:p>
    <w:p>
      <w:pPr>
        <w:spacing w:after="240"/>
      </w:pPr>
      <w:r>
        <w:rPr>
          <w:rFonts w:ascii="Arial" w:hAnsi="Arial"/>
          <w:b/>
          <w:color w:val="C3955A"/>
          <w:sz w:val="28"/>
        </w:rPr>
        <w:t>1. Final Copywriting Components</w:t>
      </w:r>
    </w:p>
    <w:tbl>
      <w:tblPr>
        <w:tblStyle w:val="LightShading-Accent1"/>
        <w:tblW w:type="auto" w:w="0"/>
        <w:tblLook w:firstColumn="1" w:firstRow="1" w:lastColumn="0" w:lastRow="0" w:noHBand="0" w:noVBand="1" w:val="04A0"/>
      </w:tblPr>
      <w:tblGrid>
        <w:gridCol w:w="4680"/>
        <w:gridCol w:w="4680"/>
      </w:tblGrid>
      <w:tr>
        <w:tc>
          <w:tcPr>
            <w:tcW w:type="dxa" w:w="4680"/>
          </w:tcPr>
          <w:p>
            <w:r>
              <w:rPr>
                <w:rFonts w:ascii="Arial" w:hAnsi="Arial"/>
                <w:b/>
                <w:sz w:val="22"/>
              </w:rPr>
              <w:t>Component</w:t>
            </w:r>
          </w:p>
        </w:tc>
        <w:tc>
          <w:tcPr>
            <w:tcW w:type="dxa" w:w="4680"/>
          </w:tcPr>
          <w:p>
            <w:r>
              <w:rPr>
                <w:rFonts w:ascii="Arial" w:hAnsi="Arial"/>
                <w:b/>
                <w:sz w:val="22"/>
              </w:rPr>
              <w:t>Content Text</w:t>
            </w:r>
          </w:p>
        </w:tc>
      </w:tr>
      <w:tr>
        <w:tc>
          <w:tcPr>
            <w:tcW w:type="dxa" w:w="4680"/>
          </w:tcPr>
          <w:p>
            <w:pPr>
              <w:spacing w:before="120" w:after="120"/>
            </w:pPr>
            <w:r>
              <w:rPr>
                <w:rFonts w:ascii="Arial" w:hAnsi="Arial"/>
                <w:color w:val="131315"/>
                <w:sz w:val="21"/>
              </w:rPr>
              <w:t>Top Label</w:t>
            </w:r>
          </w:p>
        </w:tc>
        <w:tc>
          <w:tcPr>
            <w:tcW w:type="dxa" w:w="4680"/>
          </w:tcPr>
          <w:p>
            <w:pPr>
              <w:spacing w:before="120" w:after="120"/>
            </w:pPr>
            <w:r>
              <w:rPr>
                <w:rFonts w:ascii="Arial" w:hAnsi="Arial"/>
                <w:color w:val="131315"/>
                <w:sz w:val="21"/>
              </w:rPr>
              <w:t>Winter Ritual</w:t>
            </w:r>
          </w:p>
        </w:tc>
      </w:tr>
      <w:tr>
        <w:tc>
          <w:tcPr>
            <w:tcW w:type="dxa" w:w="4680"/>
          </w:tcPr>
          <w:p>
            <w:pPr>
              <w:spacing w:before="120" w:after="120"/>
            </w:pPr>
            <w:r>
              <w:rPr>
                <w:rFonts w:ascii="Arial" w:hAnsi="Arial"/>
                <w:color w:val="131315"/>
                <w:sz w:val="21"/>
              </w:rPr>
              <w:t>Headline</w:t>
            </w:r>
          </w:p>
        </w:tc>
        <w:tc>
          <w:tcPr>
            <w:tcW w:type="dxa" w:w="4680"/>
          </w:tcPr>
          <w:p>
            <w:pPr>
              <w:spacing w:before="120" w:after="120"/>
            </w:pPr>
            <w:r>
              <w:rPr>
                <w:rFonts w:ascii="Arial" w:hAnsi="Arial"/>
                <w:color w:val="131315"/>
                <w:sz w:val="21"/>
              </w:rPr>
              <w:t>Deep Regeneration, Every Night</w:t>
            </w:r>
          </w:p>
        </w:tc>
      </w:tr>
      <w:tr>
        <w:tc>
          <w:tcPr>
            <w:tcW w:type="dxa" w:w="4680"/>
          </w:tcPr>
          <w:p>
            <w:pPr>
              <w:spacing w:before="120" w:after="120"/>
            </w:pPr>
            <w:r>
              <w:rPr>
                <w:rFonts w:ascii="Arial" w:hAnsi="Arial"/>
                <w:color w:val="131315"/>
                <w:sz w:val="21"/>
              </w:rPr>
              <w:t>Description / Subheadline</w:t>
            </w:r>
          </w:p>
        </w:tc>
        <w:tc>
          <w:tcPr>
            <w:tcW w:type="dxa" w:w="4680"/>
          </w:tcPr>
          <w:p>
            <w:pPr>
              <w:spacing w:before="120" w:after="120"/>
            </w:pPr>
            <w:r>
              <w:rPr>
                <w:rFonts w:ascii="Arial" w:hAnsi="Arial"/>
                <w:color w:val="131315"/>
                <w:sz w:val="21"/>
              </w:rPr>
              <w:t>Clinically tested formula for radiant mornings</w:t>
            </w:r>
          </w:p>
        </w:tc>
      </w:tr>
    </w:tbl>
    <w:p>
      <w:pPr>
        <w:spacing w:after="480"/>
      </w:pPr>
    </w:p>
    <w:p>
      <w:pPr>
        <w:spacing w:after="160"/>
      </w:pPr>
      <w:r>
        <w:rPr>
          <w:rFonts w:ascii="Arial" w:hAnsi="Arial"/>
          <w:b/>
          <w:color w:val="C3955A"/>
          <w:sz w:val="28"/>
        </w:rPr>
        <w:t>2. Applied Image Prompt Context</w:t>
      </w:r>
    </w:p>
    <w:p>
      <w:pPr>
        <w:spacing w:after="240"/>
      </w:pPr>
      <w:r>
        <w:rPr>
          <w:rFonts w:ascii="Courier New" w:hAnsi="Courier New"/>
          <w:color w:val="131315"/>
          <w:sz w:val="19"/>
        </w:rPr>
        <w:t>Abstract tonal backdrop, painterly gradient wash, dominant deep forest green #1C3934 wall tone, rich near-black espresso #241515 shadow shift, soft directional raking light upper left, feathered penumbra, minimal contrast, canvas micrograin texture, brushed plaster matte finish, seamless cyclorama, zero defined seam, atmospheric falloff, neutral white studio lighting, completely empty, pack-shot ready, deep regeneration mood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