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31315"/>
          <w:sz w:val="40"/>
        </w:rPr>
        <w:t>FullForce.digital — Campaign Asset Sheet</w:t>
      </w:r>
    </w:p>
    <w:p>
      <w:pPr>
        <w:spacing w:after="480"/>
      </w:pPr>
      <w:r>
        <w:rPr>
          <w:rFonts w:ascii="Arial" w:hAnsi="Arial"/>
          <w:i/>
          <w:color w:val="7A7876"/>
          <w:sz w:val="20"/>
        </w:rPr>
        <w:t>Product: Regenerating Night Cream 50ml  |  Season: Winter 2025  |  Brand: FullCosmetics</w:t>
      </w:r>
    </w:p>
    <w:p>
      <w:pPr>
        <w:spacing w:after="240"/>
      </w:pPr>
      <w:r>
        <w:rPr>
          <w:rFonts w:ascii="Arial" w:hAnsi="Arial"/>
          <w:b/>
          <w:color w:val="C3955A"/>
          <w:sz w:val="28"/>
        </w:rPr>
        <w:t>1. Final Copywriting Components</w:t>
      </w:r>
    </w:p>
    <w:tbl>
      <w:tblPr>
        <w:tblStyle w:val="LightShading-Accent1"/>
        <w:tblW w:type="auto" w:w="0"/>
        <w:tblLook w:firstColumn="1" w:firstRow="1" w:lastColumn="0" w:lastRow="0" w:noHBand="0" w:noVBand="1" w:val="04A0"/>
      </w:tblPr>
      <w:tblGrid>
        <w:gridCol w:w="4680"/>
        <w:gridCol w:w="4680"/>
      </w:tblGrid>
      <w:tr>
        <w:tc>
          <w:tcPr>
            <w:tcW w:type="dxa" w:w="4680"/>
          </w:tcPr>
          <w:p>
            <w:r>
              <w:rPr>
                <w:rFonts w:ascii="Arial" w:hAnsi="Arial"/>
                <w:b/>
                <w:sz w:val="22"/>
              </w:rPr>
              <w:t>Component</w:t>
            </w:r>
          </w:p>
        </w:tc>
        <w:tc>
          <w:tcPr>
            <w:tcW w:type="dxa" w:w="4680"/>
          </w:tcPr>
          <w:p>
            <w:r>
              <w:rPr>
                <w:rFonts w:ascii="Arial" w:hAnsi="Arial"/>
                <w:b/>
                <w:sz w:val="22"/>
              </w:rPr>
              <w:t>Content Text</w:t>
            </w:r>
          </w:p>
        </w:tc>
      </w:tr>
      <w:tr>
        <w:tc>
          <w:tcPr>
            <w:tcW w:type="dxa" w:w="4680"/>
          </w:tcPr>
          <w:p>
            <w:pPr>
              <w:spacing w:before="120" w:after="120"/>
            </w:pPr>
            <w:r>
              <w:rPr>
                <w:rFonts w:ascii="Arial" w:hAnsi="Arial"/>
                <w:color w:val="131315"/>
                <w:sz w:val="21"/>
              </w:rPr>
              <w:t>Top Label</w:t>
            </w:r>
          </w:p>
        </w:tc>
        <w:tc>
          <w:tcPr>
            <w:tcW w:type="dxa" w:w="4680"/>
          </w:tcPr>
          <w:p>
            <w:pPr>
              <w:spacing w:before="120" w:after="120"/>
            </w:pPr>
            <w:r>
              <w:rPr>
                <w:rFonts w:ascii="Arial" w:hAnsi="Arial"/>
                <w:color w:val="131315"/>
                <w:sz w:val="21"/>
              </w:rPr>
              <w:t>Winter Skin Renewal</w:t>
            </w:r>
          </w:p>
        </w:tc>
      </w:tr>
      <w:tr>
        <w:tc>
          <w:tcPr>
            <w:tcW w:type="dxa" w:w="4680"/>
          </w:tcPr>
          <w:p>
            <w:pPr>
              <w:spacing w:before="120" w:after="120"/>
            </w:pPr>
            <w:r>
              <w:rPr>
                <w:rFonts w:ascii="Arial" w:hAnsi="Arial"/>
                <w:color w:val="131315"/>
                <w:sz w:val="21"/>
              </w:rPr>
              <w:t>Headline</w:t>
            </w:r>
          </w:p>
        </w:tc>
        <w:tc>
          <w:tcPr>
            <w:tcW w:type="dxa" w:w="4680"/>
          </w:tcPr>
          <w:p>
            <w:pPr>
              <w:spacing w:before="120" w:after="120"/>
            </w:pPr>
            <w:r>
              <w:rPr>
                <w:rFonts w:ascii="Arial" w:hAnsi="Arial"/>
                <w:color w:val="131315"/>
                <w:sz w:val="21"/>
              </w:rPr>
              <w:t>Regenerating Night Cream: Unlock Radiant Morning Skins</w:t>
            </w:r>
          </w:p>
        </w:tc>
      </w:tr>
      <w:tr>
        <w:tc>
          <w:tcPr>
            <w:tcW w:type="dxa" w:w="4680"/>
          </w:tcPr>
          <w:p>
            <w:pPr>
              <w:spacing w:before="120" w:after="120"/>
            </w:pPr>
            <w:r>
              <w:rPr>
                <w:rFonts w:ascii="Arial" w:hAnsi="Arial"/>
                <w:color w:val="131315"/>
                <w:sz w:val="21"/>
              </w:rPr>
              <w:t>Description / Subheadline</w:t>
            </w:r>
          </w:p>
        </w:tc>
        <w:tc>
          <w:tcPr>
            <w:tcW w:type="dxa" w:w="4680"/>
          </w:tcPr>
          <w:p>
            <w:pPr>
              <w:spacing w:before="120" w:after="120"/>
            </w:pPr>
            <w:r>
              <w:rPr>
                <w:rFonts w:ascii="Arial" w:hAnsi="Arial"/>
                <w:color w:val="131315"/>
                <w:sz w:val="21"/>
              </w:rPr>
              <w:t>Deep regeneration overnight with clinically tested, high-performance formula for luminous complexion</w:t>
            </w:r>
          </w:p>
        </w:tc>
      </w:tr>
    </w:tbl>
    <w:p>
      <w:pPr>
        <w:spacing w:after="480"/>
      </w:pPr>
    </w:p>
    <w:p>
      <w:pPr>
        <w:spacing w:after="160"/>
      </w:pPr>
      <w:r>
        <w:rPr>
          <w:rFonts w:ascii="Arial" w:hAnsi="Arial"/>
          <w:b/>
          <w:color w:val="C3955A"/>
          <w:sz w:val="28"/>
        </w:rPr>
        <w:t>2. Applied Image Prompt Context</w:t>
      </w:r>
    </w:p>
    <w:p>
      <w:pPr>
        <w:spacing w:after="240"/>
      </w:pPr>
      <w:r>
        <w:rPr>
          <w:rFonts w:ascii="Courier New" w:hAnsi="Courier New"/>
          <w:color w:val="131315"/>
          <w:sz w:val="19"/>
        </w:rPr>
        <w:t>Abstract tonal backdrop, painterly gradient wash, dominant deep forest green #1C3934 wall tone, secondary obsidian black #131315 shadow field, soft directional raking light, seamless microcement surface, feathered penumbra, subtle canvas micrograin texture, low contrast atmospheric falloff, no defined seam, zero yellow cast, cyclorama studio, completely empty, sophisticated winter ritual mood, pack-shot ready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