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709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BLZ depletion experiment -FEMALES</w:t>
      </w:r>
      <w:r w:rsidDel="00000000" w:rsidR="00000000" w:rsidRPr="00000000">
        <w:rPr>
          <w:rtl w:val="0"/>
        </w:rPr>
        <w:br w:type="textWrapping"/>
        <w:t xml:space="preserve">sequencing date: 30.04.2021</w:t>
      </w:r>
    </w:p>
    <w:p w:rsidR="00000000" w:rsidDel="00000000" w:rsidP="00000000" w:rsidRDefault="00000000" w:rsidRPr="00000000" w14:paraId="00000002">
      <w:pPr>
        <w:ind w:left="709" w:firstLine="0"/>
        <w:rPr/>
      </w:pPr>
      <w:r w:rsidDel="00000000" w:rsidR="00000000" w:rsidRPr="00000000">
        <w:rPr>
          <w:rtl w:val="0"/>
        </w:rPr>
        <w:t xml:space="preserve">Sequencing platform: Novaseq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02965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6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26" w:firstLine="568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999999999998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2268"/>
        <w:gridCol w:w="2127"/>
        <w:gridCol w:w="2268"/>
        <w:gridCol w:w="2268"/>
        <w:tblGridChange w:id="0">
          <w:tblGrid>
            <w:gridCol w:w="1276"/>
            <w:gridCol w:w="2268"/>
            <w:gridCol w:w="2127"/>
            <w:gridCol w:w="2268"/>
            <w:gridCol w:w="2268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Samples: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CTRL Y1  (Ab #1)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CTRL O1  (Ab #2)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BLZ+7  Y1  (Ab #3)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BLZ+7  O1  (Ab #4)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CTRL Y2  (Ab #1)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CTRL O2  (Ab #2)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BLZ+7  Y2  (Ab #3)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BLZ+7  O2  (Ab #4)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" w:hRule="atLeast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Rep3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CTRL Y3  (Ab #1)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CTRL O3  (Ab #2)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BLZ+7  Y3  (Ab #3)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BLZ+7  O3  (Ab #4)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CTRL Y4  (Ab #1)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CTRL O4  (Ab #2)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BLZ+7  Y4  (Ab #3)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BLZ+7  O4  (Ab #4)</w:t>
            </w:r>
          </w:p>
        </w:tc>
      </w:tr>
      <w:tr>
        <w:trPr>
          <w:trHeight w:val="567" w:hRule="atLeast"/>
        </w:trPr>
        <w:tc>
          <w:tcPr>
            <w:gridSpan w:val="5"/>
            <w:vAlign w:val="bottom"/>
          </w:tcPr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Libraries (Sample from each condition hashed and pooled in one library)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RNA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Rep1 (Index D1)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Rep2 (Index D2)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Rep3 (+ CTRL O4)* (Index D3)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Rep4 (- CTRL O4)*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(Index D4)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protein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Rep1 (Index D5)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Rep2 (Index D6)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Rep3 (+ CTRL O4)* 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(Index D5)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Rep4 (- CTRL O4)*</w:t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(Index D4)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*Sample CTRL O4 was mistakenly loaded together with Rep3 samples. Thus, the resulting library – Rep3, consists of two samples tagged with same hash antibody – CTRL O3 and CTRL O4, that will be indistinguishable and thus will form one pooled replicate. </w:t>
            </w:r>
          </w:p>
        </w:tc>
      </w:tr>
    </w:tbl>
    <w:p w:rsidR="00000000" w:rsidDel="00000000" w:rsidP="00000000" w:rsidRDefault="00000000" w:rsidRPr="00000000" w14:paraId="00000035">
      <w:pPr>
        <w:spacing w:befor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of stained surface proteins:</w:t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693"/>
        <w:gridCol w:w="1559"/>
        <w:gridCol w:w="2127"/>
        <w:tblGridChange w:id="0">
          <w:tblGrid>
            <w:gridCol w:w="3681"/>
            <w:gridCol w:w="2693"/>
            <w:gridCol w:w="1559"/>
            <w:gridCol w:w="2127"/>
          </w:tblGrid>
        </w:tblGridChange>
      </w:tblGrid>
      <w:tr>
        <w:trPr>
          <w:trHeight w:val="288" w:hRule="atLeast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Antibody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Barcode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Source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TotalSeq™-B0301 anti-mouse Hashtag 1 Antibody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(Ab #1)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ACCCACCAGTAAGAC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Biolegend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HTO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TotalSeq™-B0302 anti-mouse Hashtag 2 Antibody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(Ab #2)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GGTCGAGAGCATTCA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Biolegend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HTO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TotalSeq™-A0303 anti-mouse Hashtag 3 Antibody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(Ab #3)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CTTGCCGCATGTCAT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Biolegend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HTO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TotalSeq™-B0304 anti-mouse Hashtag 4 Antibody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(Ab #4)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AAAGCATTCTTCACG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Biolegend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HTO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microglia depleting agent BLZ945 was administered for 3 weeks along with peanut butter vehicle. Controls were given peanut butter only (CTRL). Next, microglia were allowed to recover for a period of 7 days (BLZ +7 )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Whole brains (excluding cerebellum) were dissected and dissociated. Next, microglia cells were FACS sorted prior to 10x experiment.   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targeted 11 000 cells per library, which corresponds to 2 750 cells per sample.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microglia cells isolated from BLZ+7 O4 was very low, which may indicate poor recovery rate in this animal. Sill, we were able to load 3 000 cells for this sample.</w:t>
      </w:r>
    </w:p>
    <w:sectPr>
      <w:pgSz w:h="16838" w:w="11906" w:orient="portrait"/>
      <w:pgMar w:bottom="1417" w:top="1417" w:left="993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39"/>
    <w:rsid w:val="007C74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cze">
    <w:name w:val="Hyperlink"/>
    <w:basedOn w:val="Domylnaczcionkaakapitu"/>
    <w:uiPriority w:val="99"/>
    <w:unhideWhenUsed w:val="1"/>
    <w:rsid w:val="00B5391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B5391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0aseb1JAsEcRWA8JaLUayT+NHA==">AMUW2mVCEDJkRmhzKAt9ErA5o90a6GvmyOqkVWRR1zxZRWoddjv2g0EEUuWkp6gd7owAy+bb6DZESg0Xq4Vqhd5OXnqVJf5sgo+9S+anAuvqdxPz/FbSVU0=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2021-06-01T13:33:00Z</dcterms:created>
  <dc:creator>Natalia Ochocka</dc:creator>
</cp:coreProperties>
</file>