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Meta"/>
      </w:pPr>
      <w:r>
        <w:t>INFORME TÉCNICO  /  PRUEBAS DE RENDIMIENTO</w:t>
      </w:r>
    </w:p>
    <w:p>
      <w:pPr>
        <w:pStyle w:val="MainReportTitle"/>
      </w:pPr>
      <w:r>
        <w:t>DATAMARCA</w:t>
      </w:r>
    </w:p>
    <w:p>
      <w:pPr>
        <w:pStyle w:val="Subtitle"/>
      </w:pPr>
      <w:r>
        <w:t>5.1  Ejecución de pruebas ante incrementos de volumen</w:t>
      </w:r>
    </w:p>
    <w:p>
      <w:pPr>
        <w:pStyle w:val="ReportMeta"/>
      </w:pPr>
      <w:r>
        <w:t>Proyecto BIG-DATA  ·  Apache Spark 3.5.6  ·  Ejecución local en macOS</w:t>
      </w:r>
    </w:p>
    <w:p>
      <w:pPr>
        <w:pStyle w:val="ReportMeta"/>
      </w:pPr>
      <w:r>
        <w:t>Fecha de ejecución: 28 de octubre de 2026  |  Modalidad: benchmark aislado y reproducible</w:t>
      </w:r>
    </w:p>
    <w:p>
      <w:pPr>
        <w:pStyle w:val="Heading1"/>
      </w:pPr>
      <w:r>
        <w:t>Resumen ejecutivo</w:t>
      </w:r>
    </w:p>
    <w:p>
      <w:r>
        <w:t>Se ejecutaron cinco escenarios de carga con 5.000, 10.000, 25.000, 50.000 y 90.000 registros por cada una de las dos fuentes (transacciones y logs de comercio electrónico). Cada escenario tuvo dos repeticiones, para un total de diez pruebas comparativas; adicionalmente se realizó una prueba piloto de 5.000 registros por fuente.</w:t>
      </w:r>
    </w:p>
    <w:p>
      <w:r>
        <w:t>Las once ejecuciones finalizaron con estado «ok» y la comprobación de integridad activada. En el escenario máximo se procesaron 180.000 registros de entrada y se conservaron 90.000 transacciones después del join, con igualdad entre la suma de montos antes y después del cruce. La segunda repetición del escenario máximo tardó 9,960 s; la mediana de ambas repeticiones fue 13,298 s.</w:t>
      </w:r>
    </w:p>
    <w:p>
      <w:r>
        <w:t>El principal hallazgo por fases es el peso de Gold (agregaciones y persistencia) en las ejecuciones estabilizadas. Se observaron advertencias recurrentes de ventanas sin partición y de caché ya existente. Estas señales justifican revisión técnica, pero no constituyen por sí mismas fallos funcionales ni prueban un cuello de botella dominante a mayor escala.</w:t>
      </w:r>
    </w:p>
    <w:p>
      <w:pPr>
        <w:pStyle w:val="Heading1"/>
      </w:pPr>
      <w:r>
        <w:t>1. Objetivo y alcance</w:t>
      </w:r>
    </w:p>
    <w:p>
      <w:r>
        <w:t>Evaluar el comportamiento temporal y la consistencia del pipeline DATAMARCA ante aumentos progresivos del volumen de entrada, utilizando las funciones existentes del repositorio y sin modificar el código fuente ni los datos persistidos del proyecto.</w:t>
      </w:r>
    </w:p>
    <w:p>
      <w:pPr>
        <w:pStyle w:val="Heading1"/>
      </w:pPr>
      <w:r>
        <w:t>2. Entorno y procedimiento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/>
        </w:trPr>
        <w:tc>
          <w:tcPr>
            <w:tcW w:type="dxa" w:w="223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200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Configuración observada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Equipo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Mac Apple Silicon; 8 GB de RAM; 8 CPU lógicas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Software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Python 3.11.7; Java 11; PySpark 3.5.6; PyArrow 21.0.0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Ejecución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Spark local[2]; 8 particiones de shuffle; formato Parquet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Fuentes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CSV de transacciones y JSON de logs, con 5.000 registros originales por fuente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Escenarios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5.000 / 10.000 / 25.000 / 50.000 / 90.000 por fuente; dos repeticiones cada uno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Aislamiento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Archivos de trabajo temporales fuera del repositorio; métricas CSV externas</w:t>
            </w:r>
          </w:p>
        </w:tc>
      </w:tr>
    </w:tbl>
    <w:p>
      <w:pPr>
        <w:spacing w:before="160"/>
      </w:pPr>
      <w:r>
        <w:t>Para ampliar los escenarios se replicaron registros de las fuentes originales, asignando identificadores únicos de transacción y evento; los identificadores de usuario y otras características se conservaron. Por ello, se trata de datos sintéticos escalados, no de nuevas observaciones independientes. La carga se ejecutó con las funciones del proyecto para ingestión y calidad, limpieza, persistencia Silver, join, agregaciones y persistencia Gold.</w:t>
      </w:r>
    </w:p>
    <w:p>
      <w:r>
        <w:t>El tiempo total se midió dentro de cada ejecución del pipeline, no incluye necesariamente la creación de SparkSession ni la generación previa de archivos sintéticos. Las fases medidas fueron: ingestión/calidad, limpieza, Silver, join y Gold. La métrica de transacciones por segundo divide las transacciones procesadas entre el tiempo total; no suma ambas fuentes.</w:t>
      </w:r>
    </w:p>
    <w:p>
      <w:pPr>
        <w:pStyle w:val="Heading1"/>
      </w:pPr>
      <w:r>
        <w:t>3. Resultados de las ejecuciones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blHeader/>
        </w:trPr>
        <w:tc>
          <w:tcPr>
            <w:tcW w:type="dxa" w:w="151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Filas por fuente</w:t>
            </w:r>
          </w:p>
        </w:tc>
        <w:tc>
          <w:tcPr>
            <w:tcW w:type="dxa" w:w="1584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Total entrada</w:t>
            </w:r>
          </w:p>
        </w:tc>
        <w:tc>
          <w:tcPr>
            <w:tcW w:type="dxa" w:w="1584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Rep. 1 (s)</w:t>
            </w:r>
          </w:p>
        </w:tc>
        <w:tc>
          <w:tcPr>
            <w:tcW w:type="dxa" w:w="1584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Rep. 2 (s)</w:t>
            </w:r>
          </w:p>
        </w:tc>
        <w:tc>
          <w:tcPr>
            <w:tcW w:type="dxa" w:w="1584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Mediana (s)</w:t>
            </w:r>
          </w:p>
        </w:tc>
        <w:tc>
          <w:tcPr>
            <w:tcW w:type="dxa" w:w="151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Integridad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5.000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14,185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7,133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10,659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Correcta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20.000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7,099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6,600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6,850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Correcta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25.000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50.000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7,226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7,098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7,162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Correcta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50.000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100.000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13,931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8,204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11,067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Correcta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90.000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180.000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16,635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9,960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13,298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Correcta</w:t>
            </w:r>
          </w:p>
        </w:tc>
      </w:tr>
    </w:tbl>
    <w:p>
      <w:pPr>
        <w:spacing w:before="2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036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marca_5_1_tiem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03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Comparación entre mediana de dos repeticiones y segunda ejecución de cada escenario.</w:t>
      </w:r>
    </w:p>
    <w:p>
      <w:r>
        <w:t>El tiempo mediano disminuye entre 5.000 y 10.000 filas por fuente, efecto que no debe interpretarse como una mejora causada por añadir registros: la primera repetición del escenario base contiene un costo de calentamiento considerable. En la segunda repetición, el tiempo pasa de 7,133 s (5.000) a 9,960 s (90.000), incremento de 39,6 % ante un volumen de entrada 18 veces mayor. El resultado describe este entorno y rango, sin permitir extrapolación a cargas de producción.</w:t>
      </w:r>
    </w:p>
    <w:p>
      <w:r>
        <w:br w:type="page"/>
      </w:r>
    </w:p>
    <w:p>
      <w:pPr>
        <w:pStyle w:val="Heading1"/>
      </w:pPr>
      <w:r>
        <w:t>4. Desglose por fase</w:t>
      </w:r>
    </w:p>
    <w:p>
      <w:r>
        <w:t>La tabla siguiente presenta exclusivamente la segunda repetición de cada escenario, útil como comparación exploratoria después de la primera ejecución de cada sesión. Los tiempos están expresados en segundos.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blHeader/>
        </w:trPr>
        <w:tc>
          <w:tcPr>
            <w:tcW w:type="dxa" w:w="1656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Filas/fuente</w:t>
            </w:r>
          </w:p>
        </w:tc>
        <w:tc>
          <w:tcPr>
            <w:tcW w:type="dxa" w:w="151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Ingestión</w:t>
            </w:r>
          </w:p>
        </w:tc>
        <w:tc>
          <w:tcPr>
            <w:tcW w:type="dxa" w:w="151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Limpieza</w:t>
            </w:r>
          </w:p>
        </w:tc>
        <w:tc>
          <w:tcPr>
            <w:tcW w:type="dxa" w:w="151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Silver</w:t>
            </w:r>
          </w:p>
        </w:tc>
        <w:tc>
          <w:tcPr>
            <w:tcW w:type="dxa" w:w="151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Join</w:t>
            </w:r>
          </w:p>
        </w:tc>
        <w:tc>
          <w:tcPr>
            <w:tcW w:type="dxa" w:w="151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Gold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5.000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1,151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0,350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1,619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0,505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3,508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0,988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0,357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1,563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0,481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3,211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25.000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1,282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0,406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1,699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0,481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3,229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50.000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1,823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0,533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1,731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0,721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3,396</w:t>
            </w:r>
          </w:p>
        </w:tc>
      </w:tr>
      <w:tr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90.000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2,550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0,773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2,076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0,874</w:t>
            </w:r>
          </w:p>
        </w:tc>
        <w:tc>
          <w:tcPr>
            <w:tcW w:type="dxa" w:w="161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3,687</w:t>
            </w:r>
          </w:p>
        </w:tc>
      </w:tr>
    </w:tbl>
    <w:p>
      <w:pPr>
        <w:spacing w:before="2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173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marca_5_1_etap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17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Composición del tiempo total por fase en la segunda repetición.</w:t>
      </w:r>
    </w:p>
    <w:p>
      <w:r>
        <w:t>Gold fue la fase de mayor duración en los cinco escenarios de segunda repetición: de 3,211 a 3,687 s. En 90.000 registros por fuente representó aproximadamente 37,0 % del tiempo total (3,687/9,960 s), seguida de ingestión/calidad con 25,6 %. La limpieza y el join tuvieron una contribución menor dentro del rango medido. El análisis es descriptivo; no separa cómputo de agregaciones de escritura de cada tabla Gold.</w:t>
      </w:r>
    </w:p>
    <w:p>
      <w:r>
        <w:t>La productividad observada en la segunda repetición pasó de 701 a 9.036 transacciones por segundo entre el escenario mínimo y el máximo. Esta tasa usa únicamente transacciones en el numerador y debe interpretarse junto con el tiempo total y la naturaleza sintética de los datos.</w:t>
      </w:r>
    </w:p>
    <w:p>
      <w:pPr>
        <w:pStyle w:val="Heading1"/>
      </w:pPr>
      <w:r>
        <w:t>5. Calidad e integridad</w:t>
      </w:r>
    </w:p>
    <w:p>
      <w:r>
        <w:t>En los cinco escenarios, los conteos de transacciones y logs válidos coincidieron con los conteos de entrada; no se enviaron registros a cuarentena. El join produjo tantas filas como transacciones limpias y mantuvo la suma de amount_cop. La comprobación del benchmark cubre conteos y montos; no constituye una auditoría completa de equivalencia semántica de todas las columnas.</w:t>
      </w:r>
    </w:p>
    <w:p>
      <w:r>
        <w:t>Se reportaron advertencias T-D02 para product_category (19,66 % de las transacciones) y T-D04 para montos extremos (aproximadamente 0,96 %–1,10 % según escenario). Son advertencias de calidad, no rechazos. Dado que los datos fueron replicados, su frecuencia no debe interpretarse como una estimación independiente de la calidad de una población mayor.</w:t>
      </w:r>
    </w:p>
    <w:p>
      <w:pPr>
        <w:pStyle w:val="Heading1"/>
      </w:pPr>
      <w:r>
        <w:t>6. Advertencias y oportunidades de mejora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/>
        </w:trPr>
        <w:tc>
          <w:tcPr>
            <w:tcW w:type="dxa" w:w="2880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Hallazgo</w:t>
            </w:r>
          </w:p>
        </w:tc>
        <w:tc>
          <w:tcPr>
            <w:tcW w:type="dxa" w:w="6552"/>
            <w:vAlign w:val="center"/>
            <w:shd w:fill="173B5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Interpretación y acción recomendada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WindowExec: No Partition Defined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Revisar las ventanas de ranking/top y su plan físico con explain(). Determinar si requieren una ventana global por definición de negocio; no añadir particiones sin validar el resultado.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CacheManager: already cached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Revisar los puntos de cache()/persist() y unpersist() para evitar materializaciones redundantes.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Calentamiento entre repeticiones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Separar arranque/caliente; realizar más repeticiones por escenario y alternar el orden de tamaños.</w:t>
            </w:r>
          </w:p>
        </w:tc>
      </w:tr>
      <w:tr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Gold concentra tiempo</w:t>
            </w:r>
          </w:p>
        </w:tc>
        <w:tc>
          <w:tcPr>
            <w:tcW w:type="dxa" w:w="48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before="20"/>
            </w:pPr>
            <w:r>
              <w:rPr>
                <w:sz w:val="17"/>
              </w:rPr>
              <w:t>Perfilar por agregado y por escritura Gold; evaluar cantidad de acciones Spark, recomputaciones y particionado de salida.</w:t>
            </w:r>
          </w:p>
        </w:tc>
      </w:tr>
    </w:tbl>
    <w:p>
      <w:pPr>
        <w:pStyle w:val="Heading1"/>
      </w:pPr>
      <w:r>
        <w:t>7. Limitaciones de la evaluación</w:t>
      </w:r>
    </w:p>
    <w:p>
      <w:pPr>
        <w:pStyle w:val="ListBullet"/>
        <w:spacing w:after="60"/>
      </w:pPr>
      <w:r>
        <w:t>Se usaron dos repeticiones por tamaño y una única máquina local; no hay intervalos de confianza ni evidencia sobre comportamiento en un clúster.</w:t>
      </w:r>
    </w:p>
    <w:p>
      <w:pPr>
        <w:pStyle w:val="ListBullet"/>
        <w:spacing w:after="60"/>
      </w:pPr>
      <w:r>
        <w:t>Los escenarios de 50.000 y 90.000 se ejecutaron en sesiones separadas de Spark. La mediana combina una ejecución inicial y otra posterior, por lo que el calentamiento influye en la comparación.</w:t>
      </w:r>
    </w:p>
    <w:p>
      <w:pPr>
        <w:pStyle w:val="ListBullet"/>
        <w:spacing w:after="60"/>
      </w:pPr>
      <w:r>
        <w:t>La ampliación sintética replica registros y conserva la distribución temporal, usuarios y categorías originales; no simula necesariamente cardinalidades, skew o diversidad de datos de producción.</w:t>
      </w:r>
    </w:p>
    <w:p>
      <w:pPr>
        <w:pStyle w:val="ListBullet"/>
        <w:spacing w:after="60"/>
      </w:pPr>
      <w:r>
        <w:t>No se capturaron métricas de memoria pico, CPU, spill, número de tareas o tamaño físico de Parquet; no se pueden atribuir causalmente los cambios a un recurso específico.</w:t>
      </w:r>
    </w:p>
    <w:p>
      <w:pPr>
        <w:pStyle w:val="ListBullet"/>
        <w:spacing w:after="60"/>
      </w:pPr>
      <w:r>
        <w:t>Las pruebas se realizaron con Parquet y Spark local; los resultados no deben atribuirse a Azure, Delta Lake ni a un entorno distribuido si estos no fueron ejecutados.</w:t>
      </w:r>
    </w:p>
    <w:p>
      <w:pPr>
        <w:pStyle w:val="Heading1"/>
      </w:pPr>
      <w:r>
        <w:t>8. Conclusiones y recomendaciones</w:t>
      </w:r>
    </w:p>
    <w:p>
      <w:r>
        <w:t>Dentro del entorno de prueba, DATAMARCA completó satisfactoriamente el procesamiento de hasta 180.000 registros de entrada sin rechazos críticos y manteniendo las comprobaciones de conteos y montos del join. El tiempo de la segunda repetición del escenario máximo fue de 9,960 s. Estos resultados sustentan viabilidad funcional y un comportamiento temporal favorable para el rango estudiado, no una garantía de escalabilidad ilimitada.</w:t>
      </w:r>
    </w:p>
    <w:p>
      <w:r>
        <w:t>Como trabajo posterior se recomienda: (1) perfilar las salidas Gold y sus operaciones de ventana; (2) revisar el ciclo de vida de caché; (3) ejecutar una campaña de benchmarking más robusta con repeticiones adicionales, orden aleatorio de tamaños y métricas Spark; y (4) validar la escalabilidad en infraestructura equivalente a producción. Las recomendaciones no requieren alterar el repositorio para documentar la presente entrega.</w:t>
      </w:r>
    </w:p>
    <w:p>
      <w:pPr>
        <w:pStyle w:val="Heading1"/>
      </w:pPr>
      <w:r>
        <w:t>9. Trazabilidad de evidencias</w:t>
      </w:r>
    </w:p>
    <w:p>
      <w:r>
        <w:t>Archivos de resultados: benchmark_datamarca_5_1.csv (piloto); benchmark_datamarca_5_1_escalado.csv (5.000–25.000); benchmark_datamarca_5_1_50000.csv; benchmark_datamarca_5_1_90000.csv. Se adjunta adicionalmente DATAMARCA_5_1_resultados_consolidados.csv con las once filas y referencia al archivo de origen.</w:t>
      </w:r>
    </w:p>
    <w:p>
      <w:r>
        <w:t>Instrumento: benchmark_5_1.py, ejecutado fuera del repositorio y sobre los módulos locales del proyecto BIG-DATA. No se realizaron operaciones git add, commit o push, ni modificaciones del código del repositorio durante esta evaluación.</w:t>
      </w:r>
    </w:p>
    <w:sectPr w:rsidR="00FC693F" w:rsidRPr="0006063C" w:rsidSect="00034616">
      <w:footerReference w:type="default" r:id="rId9"/>
      <w:pgSz w:w="12240" w:h="15840"/>
      <w:pgMar w:top="1123" w:right="1267" w:bottom="1008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D8792"/>
        <w:sz w:val="16"/>
      </w:rPr>
      <w:t>DATAMARCA  |  Evaluación de rendimiento 5.1  |  28 de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264" w:lineRule="auto"/>
    </w:pPr>
    <w:rPr>
      <w:rFonts w:ascii="Carlito" w:hAnsi="Carlito"/>
      <w:color w:val="2734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rlito" w:hAnsi="Carlito"/>
      <w:b/>
      <w:bCs/>
      <w:color w:val="173B5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0A7C8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73B5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Carlito" w:hAnsi="Carlito"/>
      <w:i/>
      <w:color w:val="5A6875"/>
      <w:sz w:val="17"/>
    </w:rPr>
  </w:style>
  <w:style w:type="paragraph" w:customStyle="1" w:styleId="MainReportTitle">
    <w:name w:val="Main Report Title"/>
    <w:pPr>
      <w:spacing w:after="240"/>
    </w:pPr>
    <w:rPr>
      <w:rFonts w:ascii="Carlito" w:hAnsi="Carlito"/>
      <w:b/>
      <w:color w:val="173B59"/>
      <w:sz w:val="46"/>
    </w:rPr>
  </w:style>
  <w:style w:type="paragraph" w:customStyle="1" w:styleId="ReportMeta">
    <w:name w:val="Report Meta"/>
    <w:pPr>
      <w:spacing w:after="100"/>
    </w:pPr>
    <w:rPr>
      <w:rFonts w:ascii="Carlito" w:hAnsi="Carlito"/>
      <w:color w:val="5566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