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Meta"/>
      </w:pPr>
      <w:r>
        <w:t>INFORME TÉCNICO  /  PRUEBAS DE RENDIMIENTO</w:t>
      </w:r>
    </w:p>
    <w:p>
      <w:pPr>
        <w:pStyle w:val="MainReportTitle"/>
      </w:pPr>
      <w:r>
        <w:t>DATAMARCA</w:t>
      </w:r>
    </w:p>
    <w:p>
      <w:pPr>
        <w:pStyle w:val="Subtitle"/>
      </w:pPr>
      <w:r>
        <w:t>5.1  Ejecución de pruebas ante incrementos de volumen</w:t>
      </w:r>
    </w:p>
    <w:p>
      <w:pPr>
        <w:pStyle w:val="ReportMeta"/>
      </w:pPr>
      <w:r>
        <w:t>Proyecto BIG-DATA  ·  Apache Spark 3.5.6  ·  Ejecución local en macOS</w:t>
      </w:r>
    </w:p>
    <w:p>
      <w:pPr>
        <w:pStyle w:val="ReportMeta"/>
      </w:pPr>
      <w:r>
        <w:t>Fecha de actualización: 30 de octubre de 2026  |  Modalidad: benchmark local, comparación de particiones</w:t>
      </w:r>
    </w:p>
    <w:p>
      <w:pPr>
        <w:pStyle w:val="Heading1"/>
      </w:pPr>
      <w:r>
        <w:t>Resumen ejecutivo</w:t>
      </w:r>
    </w:p>
    <w:p>
      <w:r>
        <w:t>Se amplió la evaluación de DATAMARCA con cinco volúmenes (5.000, 10.000, 25.000, 50.000 y 90.000 registros por fuente) y dos configuraciones de spark.sql.shuffle.partitions (8 y 200). La campaña comparativa comprende 20 ejecuciones: dos repeticiones por combinación. Se conservaron, además, dos pilotos de 5.000 registros por fuente, separados de las medianas principales.</w:t>
      </w:r>
    </w:p>
    <w:p>
      <w:r>
        <w:t>Las 22 ejecuciones registradas terminaron con estado «ok» e integridad True. Para 90.000 registros por fuente (180.000 registros de entrada), la mediana del tiempo total fue de 9,359 s con 8 particiones frente a 46,629 s con 200. En los cinco tamaños, 8 particiones registró menor tiempo mediano; las reducciones observadas estuvieron entre 65,9 % y 79,9 %.</w:t>
      </w:r>
    </w:p>
    <w:p>
      <w:r>
        <w:t>El beneficio de reducir particiones es un hallazgo empírico de este entorno local, no una regla universal. Los tiempos con 8 particiones no crecieron monótonamente con el volumen; el calentamiento de Spark y las características de los datos replicados limitan la interpretación de escalabilidad. Se observaron advertencias WindowExec sobre operaciones de ventana sin partición explícita.</w:t>
      </w:r>
    </w:p>
    <w:p>
      <w:pPr>
        <w:pStyle w:val="Heading1"/>
      </w:pPr>
      <w:r>
        <w:t>1. Objetivo y alcance</w:t>
      </w:r>
    </w:p>
    <w:p>
      <w:r>
        <w:t>Comparar el comportamiento temporal y la consistencia del pipeline DATAMARCA al aumentar el volumen de entrada, contrastando 8 y 200 particiones de shuffle bajo el mismo benchmark y sin modificar las fuentes originales ni los datos persistidos del proyecto.</w:t>
      </w:r>
    </w:p>
    <w:p>
      <w:pPr>
        <w:pStyle w:val="Heading1"/>
      </w:pPr>
      <w:r>
        <w:t>2. Entorno y procedimiento</w:t>
      </w:r>
    </w:p>
    <w:tbl>
      <w:tblPr>
        <w:tblStyle w:val="TableGrid"/>
        <w:tblW w:type="auto" w:w="0"/>
        <w:jc w:val="center"/>
        <w:tblLook w:firstColumn="1" w:firstRow="1" w:lastColumn="0" w:lastRow="0" w:noHBand="0" w:noVBand="1" w:val="04A0"/>
      </w:tblPr>
      <w:tblGrid>
        <w:gridCol w:w="4853"/>
        <w:gridCol w:w="4853"/>
      </w:tblGrid>
      <w:tr>
        <w:trPr>
          <w:tblHeader/>
        </w:trPr>
        <w:tc>
          <w:tcPr>
            <w:tcW w:type="dxa" w:w="2232"/>
            <w:vAlign w:val="center"/>
            <w:shd w:fill="173B59"/>
            <w:tcMar>
              <w:top w:w="100" w:type="dxa"/>
              <w:bottom w:w="100" w:type="dxa"/>
              <w:left w:w="100" w:type="dxa"/>
              <w:right w:w="100" w:type="dxa"/>
            </w:tcMar>
          </w:tcPr>
          <w:p>
            <w:r>
              <w:rPr>
                <w:b/>
                <w:color w:val="FFFFFF"/>
                <w:sz w:val="17"/>
              </w:rPr>
              <w:t>Elemento</w:t>
            </w:r>
          </w:p>
        </w:tc>
        <w:tc>
          <w:tcPr>
            <w:tcW w:type="dxa" w:w="7200"/>
            <w:vAlign w:val="center"/>
            <w:shd w:fill="173B59"/>
            <w:tcMar>
              <w:top w:w="100" w:type="dxa"/>
              <w:bottom w:w="100" w:type="dxa"/>
              <w:left w:w="100" w:type="dxa"/>
              <w:right w:w="100" w:type="dxa"/>
            </w:tcMar>
          </w:tcPr>
          <w:p>
            <w:r>
              <w:rPr>
                <w:b/>
                <w:color w:val="FFFFFF"/>
                <w:sz w:val="17"/>
              </w:rPr>
              <w:t>Configuración observada</w:t>
            </w:r>
          </w:p>
        </w:tc>
      </w:tr>
      <w:tr>
        <w:tc>
          <w:tcPr>
            <w:tcW w:type="dxa" w:w="4853"/>
            <w:vAlign w:val="center"/>
            <w:tcMar>
              <w:top w:w="75" w:type="dxa"/>
              <w:bottom w:w="75" w:type="dxa"/>
              <w:left w:w="90" w:type="dxa"/>
              <w:right w:w="90" w:type="dxa"/>
            </w:tcMar>
          </w:tcPr>
          <w:p>
            <w:pPr>
              <w:spacing w:after="0" w:before="20"/>
            </w:pPr>
            <w:r>
              <w:rPr>
                <w:sz w:val="17"/>
              </w:rPr>
              <w:t>Equipo</w:t>
            </w:r>
          </w:p>
        </w:tc>
        <w:tc>
          <w:tcPr>
            <w:tcW w:type="dxa" w:w="4853"/>
            <w:vAlign w:val="center"/>
            <w:tcMar>
              <w:top w:w="75" w:type="dxa"/>
              <w:bottom w:w="75" w:type="dxa"/>
              <w:left w:w="90" w:type="dxa"/>
              <w:right w:w="90" w:type="dxa"/>
            </w:tcMar>
          </w:tcPr>
          <w:p>
            <w:pPr>
              <w:spacing w:after="0" w:before="20"/>
            </w:pPr>
            <w:r>
              <w:rPr>
                <w:sz w:val="17"/>
              </w:rPr>
              <w:t>Mac Apple Silicon (equipo local descrito en la evaluación inicial)</w:t>
            </w:r>
          </w:p>
        </w:tc>
      </w:tr>
      <w:tr>
        <w:tc>
          <w:tcPr>
            <w:tcW w:type="dxa" w:w="4853"/>
            <w:vAlign w:val="center"/>
            <w:tcMar>
              <w:top w:w="75" w:type="dxa"/>
              <w:bottom w:w="75" w:type="dxa"/>
              <w:left w:w="90" w:type="dxa"/>
              <w:right w:w="90" w:type="dxa"/>
            </w:tcMar>
          </w:tcPr>
          <w:p>
            <w:pPr>
              <w:spacing w:after="0" w:before="20"/>
            </w:pPr>
            <w:r>
              <w:rPr>
                <w:sz w:val="17"/>
              </w:rPr>
              <w:t>Software</w:t>
            </w:r>
          </w:p>
        </w:tc>
        <w:tc>
          <w:tcPr>
            <w:tcW w:type="dxa" w:w="4853"/>
            <w:vAlign w:val="center"/>
            <w:tcMar>
              <w:top w:w="75" w:type="dxa"/>
              <w:bottom w:w="75" w:type="dxa"/>
              <w:left w:w="90" w:type="dxa"/>
              <w:right w:w="90" w:type="dxa"/>
            </w:tcMar>
          </w:tcPr>
          <w:p>
            <w:pPr>
              <w:spacing w:after="0" w:before="20"/>
            </w:pPr>
            <w:r>
              <w:rPr>
                <w:sz w:val="17"/>
              </w:rPr>
              <w:t>Python 3.11.7; Java 11; PySpark 3.5.6; PyArrow 21.0.0</w:t>
            </w:r>
          </w:p>
        </w:tc>
      </w:tr>
      <w:tr>
        <w:tc>
          <w:tcPr>
            <w:tcW w:type="dxa" w:w="4853"/>
            <w:vAlign w:val="center"/>
            <w:tcMar>
              <w:top w:w="75" w:type="dxa"/>
              <w:bottom w:w="75" w:type="dxa"/>
              <w:left w:w="90" w:type="dxa"/>
              <w:right w:w="90" w:type="dxa"/>
            </w:tcMar>
          </w:tcPr>
          <w:p>
            <w:pPr>
              <w:spacing w:after="0" w:before="20"/>
            </w:pPr>
            <w:r>
              <w:rPr>
                <w:sz w:val="17"/>
              </w:rPr>
              <w:t>Ejecución</w:t>
            </w:r>
          </w:p>
        </w:tc>
        <w:tc>
          <w:tcPr>
            <w:tcW w:type="dxa" w:w="4853"/>
            <w:vAlign w:val="center"/>
            <w:tcMar>
              <w:top w:w="75" w:type="dxa"/>
              <w:bottom w:w="75" w:type="dxa"/>
              <w:left w:w="90" w:type="dxa"/>
              <w:right w:w="90" w:type="dxa"/>
            </w:tcMar>
          </w:tcPr>
          <w:p>
            <w:pPr>
              <w:spacing w:after="0" w:before="20"/>
            </w:pPr>
            <w:r>
              <w:rPr>
                <w:sz w:val="17"/>
              </w:rPr>
              <w:t>Spark local[2]; shuffle solicitado: 8 y 200; salida Parquet</w:t>
            </w:r>
          </w:p>
        </w:tc>
      </w:tr>
      <w:tr>
        <w:tc>
          <w:tcPr>
            <w:tcW w:type="dxa" w:w="4853"/>
            <w:vAlign w:val="center"/>
            <w:tcMar>
              <w:top w:w="75" w:type="dxa"/>
              <w:bottom w:w="75" w:type="dxa"/>
              <w:left w:w="90" w:type="dxa"/>
              <w:right w:w="90" w:type="dxa"/>
            </w:tcMar>
          </w:tcPr>
          <w:p>
            <w:pPr>
              <w:spacing w:after="0" w:before="20"/>
            </w:pPr>
            <w:r>
              <w:rPr>
                <w:sz w:val="17"/>
              </w:rPr>
              <w:t>Fuentes</w:t>
            </w:r>
          </w:p>
        </w:tc>
        <w:tc>
          <w:tcPr>
            <w:tcW w:type="dxa" w:w="4853"/>
            <w:vAlign w:val="center"/>
            <w:tcMar>
              <w:top w:w="75" w:type="dxa"/>
              <w:bottom w:w="75" w:type="dxa"/>
              <w:left w:w="90" w:type="dxa"/>
              <w:right w:w="90" w:type="dxa"/>
            </w:tcMar>
          </w:tcPr>
          <w:p>
            <w:pPr>
              <w:spacing w:after="0" w:before="20"/>
            </w:pPr>
            <w:r>
              <w:rPr>
                <w:sz w:val="17"/>
              </w:rPr>
              <w:t>CSV de transacciones y JSON de logs; 5.000 filas originales por fuente</w:t>
            </w:r>
          </w:p>
        </w:tc>
      </w:tr>
      <w:tr>
        <w:tc>
          <w:tcPr>
            <w:tcW w:type="dxa" w:w="4853"/>
            <w:vAlign w:val="center"/>
            <w:tcMar>
              <w:top w:w="75" w:type="dxa"/>
              <w:bottom w:w="75" w:type="dxa"/>
              <w:left w:w="90" w:type="dxa"/>
              <w:right w:w="90" w:type="dxa"/>
            </w:tcMar>
          </w:tcPr>
          <w:p>
            <w:pPr>
              <w:spacing w:after="0" w:before="20"/>
            </w:pPr>
            <w:r>
              <w:rPr>
                <w:sz w:val="17"/>
              </w:rPr>
              <w:t>Escenarios</w:t>
            </w:r>
          </w:p>
        </w:tc>
        <w:tc>
          <w:tcPr>
            <w:tcW w:type="dxa" w:w="4853"/>
            <w:vAlign w:val="center"/>
            <w:tcMar>
              <w:top w:w="75" w:type="dxa"/>
              <w:bottom w:w="75" w:type="dxa"/>
              <w:left w:w="90" w:type="dxa"/>
              <w:right w:w="90" w:type="dxa"/>
            </w:tcMar>
          </w:tcPr>
          <w:p>
            <w:pPr>
              <w:spacing w:after="0" w:before="20"/>
            </w:pPr>
            <w:r>
              <w:rPr>
                <w:sz w:val="17"/>
              </w:rPr>
              <w:t>5.000 / 10.000 / 25.000 / 50.000 / 90.000 por fuente; 2 repeticiones por configuración</w:t>
            </w:r>
          </w:p>
        </w:tc>
      </w:tr>
      <w:tr>
        <w:tc>
          <w:tcPr>
            <w:tcW w:type="dxa" w:w="4853"/>
            <w:vAlign w:val="center"/>
            <w:tcMar>
              <w:top w:w="75" w:type="dxa"/>
              <w:bottom w:w="75" w:type="dxa"/>
              <w:left w:w="90" w:type="dxa"/>
              <w:right w:w="90" w:type="dxa"/>
            </w:tcMar>
          </w:tcPr>
          <w:p>
            <w:pPr>
              <w:spacing w:after="0" w:before="20"/>
            </w:pPr>
            <w:r>
              <w:rPr>
                <w:sz w:val="17"/>
              </w:rPr>
              <w:t>Aislamiento</w:t>
            </w:r>
          </w:p>
        </w:tc>
        <w:tc>
          <w:tcPr>
            <w:tcW w:type="dxa" w:w="4853"/>
            <w:vAlign w:val="center"/>
            <w:tcMar>
              <w:top w:w="75" w:type="dxa"/>
              <w:bottom w:w="75" w:type="dxa"/>
              <w:left w:w="90" w:type="dxa"/>
              <w:right w:w="90" w:type="dxa"/>
            </w:tcMar>
          </w:tcPr>
          <w:p>
            <w:pPr>
              <w:spacing w:after="0" w:before="20"/>
            </w:pPr>
            <w:r>
              <w:rPr>
                <w:sz w:val="17"/>
              </w:rPr>
              <w:t>Archivos temporales fuera del repositorio; CSV de resultados en el directorio personal</w:t>
            </w:r>
          </w:p>
        </w:tc>
      </w:tr>
    </w:tbl>
    <w:p>
      <w:pPr>
        <w:spacing w:before="160"/>
      </w:pPr>
      <w:r>
        <w:t>Los escenarios se construyeron replicando los archivos originales de transacciones (CSV) y logs (JSON), con identificadores de evento/transacción diferenciados. Se conservaron otras distribuciones de los datos base, por lo que la ampliación es sintética y no equivale a observar nuevas transacciones independientes. El benchmark utiliza módulos del proyecto para validar, limpiar, cruzar, agregar y escribir salidas Silver/Gold en Parquet local.</w:t>
      </w:r>
    </w:p>
    <w:p>
      <w:r>
        <w:t>La configuración se pasó mediante la variable SHUFFLE_PARTITIONS=8 o SHUFFLE_PARTITIONS=200 al ejecutar python src/main.py --benchmark. El tiempo total informado se mide dentro del benchmark y no incluye necesariamente la creación de SparkSession ni la generación de archivos sintéticos. Las etapas son ingestión/calidad, limpieza, Silver, join y Gold. Cada combinación se ejecutó dos veces; las dos pruebas piloto se identifican por separado.</w:t>
      </w:r>
    </w:p>
    <w:p>
      <w:pPr>
        <w:pStyle w:val="Heading1"/>
      </w:pPr>
      <w:r>
        <w:t>3. Resultados de las ejecuciones</w:t>
      </w:r>
    </w:p>
    <w:tbl>
      <w:tblPr>
        <w:tblStyle w:val="TableGrid"/>
        <w:tblW w:type="auto" w:w="0"/>
        <w:jc w:val="center"/>
        <w:tblLook w:firstColumn="1" w:firstRow="1" w:lastColumn="0" w:lastRow="0" w:noHBand="0" w:noVBand="1" w:val="04A0"/>
      </w:tblPr>
      <w:tblGrid>
        <w:gridCol w:w="1618"/>
        <w:gridCol w:w="1618"/>
        <w:gridCol w:w="1618"/>
        <w:gridCol w:w="1618"/>
        <w:gridCol w:w="1618"/>
        <w:gridCol w:w="1618"/>
      </w:tblGrid>
      <w:tr>
        <w:trPr>
          <w:tblHeader/>
        </w:trPr>
        <w:tc>
          <w:tcPr>
            <w:tcW w:type="dxa" w:w="1512"/>
            <w:vAlign w:val="center"/>
            <w:shd w:fill="173B59"/>
            <w:tcMar>
              <w:top w:w="100" w:type="dxa"/>
              <w:bottom w:w="100" w:type="dxa"/>
              <w:left w:w="100" w:type="dxa"/>
              <w:right w:w="100" w:type="dxa"/>
            </w:tcMar>
          </w:tcPr>
          <w:p>
            <w:r>
              <w:rPr>
                <w:b/>
                <w:color w:val="FFFFFF"/>
                <w:sz w:val="17"/>
              </w:rPr>
              <w:t>Filas/fuente</w:t>
            </w:r>
          </w:p>
        </w:tc>
        <w:tc>
          <w:tcPr>
            <w:tcW w:type="dxa" w:w="1584"/>
            <w:vAlign w:val="center"/>
            <w:shd w:fill="173B59"/>
            <w:tcMar>
              <w:top w:w="100" w:type="dxa"/>
              <w:bottom w:w="100" w:type="dxa"/>
              <w:left w:w="100" w:type="dxa"/>
              <w:right w:w="100" w:type="dxa"/>
            </w:tcMar>
          </w:tcPr>
          <w:p>
            <w:r>
              <w:rPr>
                <w:b/>
                <w:color w:val="FFFFFF"/>
                <w:sz w:val="17"/>
              </w:rPr>
              <w:t>Total entrada</w:t>
            </w:r>
          </w:p>
        </w:tc>
        <w:tc>
          <w:tcPr>
            <w:tcW w:type="dxa" w:w="1584"/>
            <w:vAlign w:val="center"/>
            <w:shd w:fill="173B59"/>
            <w:tcMar>
              <w:top w:w="100" w:type="dxa"/>
              <w:bottom w:w="100" w:type="dxa"/>
              <w:left w:w="100" w:type="dxa"/>
              <w:right w:w="100" w:type="dxa"/>
            </w:tcMar>
          </w:tcPr>
          <w:p>
            <w:r>
              <w:rPr>
                <w:b/>
                <w:color w:val="FFFFFF"/>
                <w:sz w:val="17"/>
              </w:rPr>
              <w:t>Mediana 8 (s)</w:t>
            </w:r>
          </w:p>
        </w:tc>
        <w:tc>
          <w:tcPr>
            <w:tcW w:type="dxa" w:w="1584"/>
            <w:vAlign w:val="center"/>
            <w:shd w:fill="173B59"/>
            <w:tcMar>
              <w:top w:w="100" w:type="dxa"/>
              <w:bottom w:w="100" w:type="dxa"/>
              <w:left w:w="100" w:type="dxa"/>
              <w:right w:w="100" w:type="dxa"/>
            </w:tcMar>
          </w:tcPr>
          <w:p>
            <w:r>
              <w:rPr>
                <w:b/>
                <w:color w:val="FFFFFF"/>
                <w:sz w:val="17"/>
              </w:rPr>
              <w:t>Mediana 200 (s)</w:t>
            </w:r>
          </w:p>
        </w:tc>
        <w:tc>
          <w:tcPr>
            <w:tcW w:type="dxa" w:w="1584"/>
            <w:vAlign w:val="center"/>
            <w:shd w:fill="173B59"/>
            <w:tcMar>
              <w:top w:w="100" w:type="dxa"/>
              <w:bottom w:w="100" w:type="dxa"/>
              <w:left w:w="100" w:type="dxa"/>
              <w:right w:w="100" w:type="dxa"/>
            </w:tcMar>
          </w:tcPr>
          <w:p>
            <w:r>
              <w:rPr>
                <w:b/>
                <w:color w:val="FFFFFF"/>
                <w:sz w:val="17"/>
              </w:rPr>
              <w:t>Ahorro</w:t>
            </w:r>
          </w:p>
        </w:tc>
        <w:tc>
          <w:tcPr>
            <w:tcW w:type="dxa" w:w="1512"/>
            <w:vAlign w:val="center"/>
            <w:shd w:fill="173B59"/>
            <w:tcMar>
              <w:top w:w="100" w:type="dxa"/>
              <w:bottom w:w="100" w:type="dxa"/>
              <w:left w:w="100" w:type="dxa"/>
              <w:right w:w="100" w:type="dxa"/>
            </w:tcMar>
          </w:tcPr>
          <w:p>
            <w:r>
              <w:rPr>
                <w:b/>
                <w:color w:val="FFFFFF"/>
                <w:sz w:val="17"/>
              </w:rPr>
              <w:t>Integridad</w:t>
            </w:r>
          </w:p>
        </w:tc>
      </w:tr>
      <w:tr>
        <w:tc>
          <w:tcPr>
            <w:tcW w:type="dxa" w:w="1618"/>
            <w:vAlign w:val="center"/>
            <w:tcMar>
              <w:top w:w="75" w:type="dxa"/>
              <w:bottom w:w="75" w:type="dxa"/>
              <w:left w:w="90" w:type="dxa"/>
              <w:right w:w="90" w:type="dxa"/>
            </w:tcMar>
          </w:tcPr>
          <w:p>
            <w:pPr>
              <w:spacing w:after="0" w:before="20"/>
            </w:pPr>
            <w:r>
              <w:rPr>
                <w:sz w:val="17"/>
              </w:rPr>
              <w:t>5.000</w:t>
            </w:r>
          </w:p>
        </w:tc>
        <w:tc>
          <w:tcPr>
            <w:tcW w:type="dxa" w:w="1618"/>
            <w:vAlign w:val="center"/>
            <w:tcMar>
              <w:top w:w="75" w:type="dxa"/>
              <w:bottom w:w="75" w:type="dxa"/>
              <w:left w:w="90" w:type="dxa"/>
              <w:right w:w="90" w:type="dxa"/>
            </w:tcMar>
          </w:tcPr>
          <w:p>
            <w:pPr>
              <w:spacing w:after="0" w:before="20"/>
            </w:pPr>
            <w:r>
              <w:rPr>
                <w:sz w:val="17"/>
              </w:rPr>
              <w:t>10.000</w:t>
            </w:r>
          </w:p>
        </w:tc>
        <w:tc>
          <w:tcPr>
            <w:tcW w:type="dxa" w:w="1618"/>
            <w:vAlign w:val="center"/>
            <w:tcMar>
              <w:top w:w="75" w:type="dxa"/>
              <w:bottom w:w="75" w:type="dxa"/>
              <w:left w:w="90" w:type="dxa"/>
              <w:right w:w="90" w:type="dxa"/>
            </w:tcMar>
          </w:tcPr>
          <w:p>
            <w:pPr>
              <w:spacing w:after="0" w:before="20"/>
            </w:pPr>
            <w:r>
              <w:rPr>
                <w:sz w:val="17"/>
              </w:rPr>
              <w:t>10,752</w:t>
            </w:r>
          </w:p>
        </w:tc>
        <w:tc>
          <w:tcPr>
            <w:tcW w:type="dxa" w:w="1618"/>
            <w:vAlign w:val="center"/>
            <w:tcMar>
              <w:top w:w="75" w:type="dxa"/>
              <w:bottom w:w="75" w:type="dxa"/>
              <w:left w:w="90" w:type="dxa"/>
              <w:right w:w="90" w:type="dxa"/>
            </w:tcMar>
          </w:tcPr>
          <w:p>
            <w:pPr>
              <w:spacing w:after="0" w:before="20"/>
            </w:pPr>
            <w:r>
              <w:rPr>
                <w:sz w:val="17"/>
              </w:rPr>
              <w:t>31,570</w:t>
            </w:r>
          </w:p>
        </w:tc>
        <w:tc>
          <w:tcPr>
            <w:tcW w:type="dxa" w:w="1618"/>
            <w:vAlign w:val="center"/>
            <w:tcMar>
              <w:top w:w="75" w:type="dxa"/>
              <w:bottom w:w="75" w:type="dxa"/>
              <w:left w:w="90" w:type="dxa"/>
              <w:right w:w="90" w:type="dxa"/>
            </w:tcMar>
          </w:tcPr>
          <w:p>
            <w:pPr>
              <w:spacing w:after="0" w:before="20"/>
            </w:pPr>
            <w:r>
              <w:rPr>
                <w:sz w:val="17"/>
              </w:rPr>
              <w:t>65,9 %</w:t>
            </w:r>
          </w:p>
        </w:tc>
        <w:tc>
          <w:tcPr>
            <w:tcW w:type="dxa" w:w="1618"/>
            <w:vAlign w:val="center"/>
            <w:tcMar>
              <w:top w:w="75" w:type="dxa"/>
              <w:bottom w:w="75" w:type="dxa"/>
              <w:left w:w="90" w:type="dxa"/>
              <w:right w:w="90" w:type="dxa"/>
            </w:tcMar>
          </w:tcPr>
          <w:p>
            <w:pPr>
              <w:spacing w:after="0" w:before="20"/>
            </w:pPr>
            <w:r>
              <w:rPr>
                <w:sz w:val="17"/>
              </w:rPr>
              <w:t>Correcta</w:t>
            </w:r>
          </w:p>
        </w:tc>
      </w:tr>
      <w:tr>
        <w:tc>
          <w:tcPr>
            <w:tcW w:type="dxa" w:w="1618"/>
            <w:vAlign w:val="center"/>
            <w:tcMar>
              <w:top w:w="75" w:type="dxa"/>
              <w:bottom w:w="75" w:type="dxa"/>
              <w:left w:w="90" w:type="dxa"/>
              <w:right w:w="90" w:type="dxa"/>
            </w:tcMar>
          </w:tcPr>
          <w:p>
            <w:pPr>
              <w:spacing w:after="0" w:before="20"/>
            </w:pPr>
            <w:r>
              <w:rPr>
                <w:sz w:val="17"/>
              </w:rPr>
              <w:t>10.000</w:t>
            </w:r>
          </w:p>
        </w:tc>
        <w:tc>
          <w:tcPr>
            <w:tcW w:type="dxa" w:w="1618"/>
            <w:vAlign w:val="center"/>
            <w:tcMar>
              <w:top w:w="75" w:type="dxa"/>
              <w:bottom w:w="75" w:type="dxa"/>
              <w:left w:w="90" w:type="dxa"/>
              <w:right w:w="90" w:type="dxa"/>
            </w:tcMar>
          </w:tcPr>
          <w:p>
            <w:pPr>
              <w:spacing w:after="0" w:before="20"/>
            </w:pPr>
            <w:r>
              <w:rPr>
                <w:sz w:val="17"/>
              </w:rPr>
              <w:t>20.000</w:t>
            </w:r>
          </w:p>
        </w:tc>
        <w:tc>
          <w:tcPr>
            <w:tcW w:type="dxa" w:w="1618"/>
            <w:vAlign w:val="center"/>
            <w:tcMar>
              <w:top w:w="75" w:type="dxa"/>
              <w:bottom w:w="75" w:type="dxa"/>
              <w:left w:w="90" w:type="dxa"/>
              <w:right w:w="90" w:type="dxa"/>
            </w:tcMar>
          </w:tcPr>
          <w:p>
            <w:pPr>
              <w:spacing w:after="0" w:before="20"/>
            </w:pPr>
            <w:r>
              <w:rPr>
                <w:sz w:val="17"/>
              </w:rPr>
              <w:t>11,431</w:t>
            </w:r>
          </w:p>
        </w:tc>
        <w:tc>
          <w:tcPr>
            <w:tcW w:type="dxa" w:w="1618"/>
            <w:vAlign w:val="center"/>
            <w:tcMar>
              <w:top w:w="75" w:type="dxa"/>
              <w:bottom w:w="75" w:type="dxa"/>
              <w:left w:w="90" w:type="dxa"/>
              <w:right w:w="90" w:type="dxa"/>
            </w:tcMar>
          </w:tcPr>
          <w:p>
            <w:pPr>
              <w:spacing w:after="0" w:before="20"/>
            </w:pPr>
            <w:r>
              <w:rPr>
                <w:sz w:val="17"/>
              </w:rPr>
              <w:t>34,914</w:t>
            </w:r>
          </w:p>
        </w:tc>
        <w:tc>
          <w:tcPr>
            <w:tcW w:type="dxa" w:w="1618"/>
            <w:vAlign w:val="center"/>
            <w:tcMar>
              <w:top w:w="75" w:type="dxa"/>
              <w:bottom w:w="75" w:type="dxa"/>
              <w:left w:w="90" w:type="dxa"/>
              <w:right w:w="90" w:type="dxa"/>
            </w:tcMar>
          </w:tcPr>
          <w:p>
            <w:pPr>
              <w:spacing w:after="0" w:before="20"/>
            </w:pPr>
            <w:r>
              <w:rPr>
                <w:sz w:val="17"/>
              </w:rPr>
              <w:t>67,3 %</w:t>
            </w:r>
          </w:p>
        </w:tc>
        <w:tc>
          <w:tcPr>
            <w:tcW w:type="dxa" w:w="1618"/>
            <w:vAlign w:val="center"/>
            <w:tcMar>
              <w:top w:w="75" w:type="dxa"/>
              <w:bottom w:w="75" w:type="dxa"/>
              <w:left w:w="90" w:type="dxa"/>
              <w:right w:w="90" w:type="dxa"/>
            </w:tcMar>
          </w:tcPr>
          <w:p>
            <w:pPr>
              <w:spacing w:after="0" w:before="20"/>
            </w:pPr>
            <w:r>
              <w:rPr>
                <w:sz w:val="17"/>
              </w:rPr>
              <w:t>Correcta</w:t>
            </w:r>
          </w:p>
        </w:tc>
      </w:tr>
      <w:tr>
        <w:tc>
          <w:tcPr>
            <w:tcW w:type="dxa" w:w="1618"/>
            <w:vAlign w:val="center"/>
            <w:tcMar>
              <w:top w:w="75" w:type="dxa"/>
              <w:bottom w:w="75" w:type="dxa"/>
              <w:left w:w="90" w:type="dxa"/>
              <w:right w:w="90" w:type="dxa"/>
            </w:tcMar>
          </w:tcPr>
          <w:p>
            <w:pPr>
              <w:spacing w:after="0" w:before="20"/>
            </w:pPr>
            <w:r>
              <w:rPr>
                <w:sz w:val="17"/>
              </w:rPr>
              <w:t>25.000</w:t>
            </w:r>
          </w:p>
        </w:tc>
        <w:tc>
          <w:tcPr>
            <w:tcW w:type="dxa" w:w="1618"/>
            <w:vAlign w:val="center"/>
            <w:tcMar>
              <w:top w:w="75" w:type="dxa"/>
              <w:bottom w:w="75" w:type="dxa"/>
              <w:left w:w="90" w:type="dxa"/>
              <w:right w:w="90" w:type="dxa"/>
            </w:tcMar>
          </w:tcPr>
          <w:p>
            <w:pPr>
              <w:spacing w:after="0" w:before="20"/>
            </w:pPr>
            <w:r>
              <w:rPr>
                <w:sz w:val="17"/>
              </w:rPr>
              <w:t>50.000</w:t>
            </w:r>
          </w:p>
        </w:tc>
        <w:tc>
          <w:tcPr>
            <w:tcW w:type="dxa" w:w="1618"/>
            <w:vAlign w:val="center"/>
            <w:tcMar>
              <w:top w:w="75" w:type="dxa"/>
              <w:bottom w:w="75" w:type="dxa"/>
              <w:left w:w="90" w:type="dxa"/>
              <w:right w:w="90" w:type="dxa"/>
            </w:tcMar>
          </w:tcPr>
          <w:p>
            <w:pPr>
              <w:spacing w:after="0" w:before="20"/>
            </w:pPr>
            <w:r>
              <w:rPr>
                <w:sz w:val="17"/>
              </w:rPr>
              <w:t>7,903</w:t>
            </w:r>
          </w:p>
        </w:tc>
        <w:tc>
          <w:tcPr>
            <w:tcW w:type="dxa" w:w="1618"/>
            <w:vAlign w:val="center"/>
            <w:tcMar>
              <w:top w:w="75" w:type="dxa"/>
              <w:bottom w:w="75" w:type="dxa"/>
              <w:left w:w="90" w:type="dxa"/>
              <w:right w:w="90" w:type="dxa"/>
            </w:tcMar>
          </w:tcPr>
          <w:p>
            <w:pPr>
              <w:spacing w:after="0" w:before="20"/>
            </w:pPr>
            <w:r>
              <w:rPr>
                <w:sz w:val="17"/>
              </w:rPr>
              <w:t>35,273</w:t>
            </w:r>
          </w:p>
        </w:tc>
        <w:tc>
          <w:tcPr>
            <w:tcW w:type="dxa" w:w="1618"/>
            <w:vAlign w:val="center"/>
            <w:tcMar>
              <w:top w:w="75" w:type="dxa"/>
              <w:bottom w:w="75" w:type="dxa"/>
              <w:left w:w="90" w:type="dxa"/>
              <w:right w:w="90" w:type="dxa"/>
            </w:tcMar>
          </w:tcPr>
          <w:p>
            <w:pPr>
              <w:spacing w:after="0" w:before="20"/>
            </w:pPr>
            <w:r>
              <w:rPr>
                <w:sz w:val="17"/>
              </w:rPr>
              <w:t>77,6 %</w:t>
            </w:r>
          </w:p>
        </w:tc>
        <w:tc>
          <w:tcPr>
            <w:tcW w:type="dxa" w:w="1618"/>
            <w:vAlign w:val="center"/>
            <w:tcMar>
              <w:top w:w="75" w:type="dxa"/>
              <w:bottom w:w="75" w:type="dxa"/>
              <w:left w:w="90" w:type="dxa"/>
              <w:right w:w="90" w:type="dxa"/>
            </w:tcMar>
          </w:tcPr>
          <w:p>
            <w:pPr>
              <w:spacing w:after="0" w:before="20"/>
            </w:pPr>
            <w:r>
              <w:rPr>
                <w:sz w:val="17"/>
              </w:rPr>
              <w:t>Correcta</w:t>
            </w:r>
          </w:p>
        </w:tc>
      </w:tr>
      <w:tr>
        <w:tc>
          <w:tcPr>
            <w:tcW w:type="dxa" w:w="1618"/>
            <w:vAlign w:val="center"/>
            <w:tcMar>
              <w:top w:w="75" w:type="dxa"/>
              <w:bottom w:w="75" w:type="dxa"/>
              <w:left w:w="90" w:type="dxa"/>
              <w:right w:w="90" w:type="dxa"/>
            </w:tcMar>
          </w:tcPr>
          <w:p>
            <w:pPr>
              <w:spacing w:after="0" w:before="20"/>
            </w:pPr>
            <w:r>
              <w:rPr>
                <w:sz w:val="17"/>
              </w:rPr>
              <w:t>50.000</w:t>
            </w:r>
          </w:p>
        </w:tc>
        <w:tc>
          <w:tcPr>
            <w:tcW w:type="dxa" w:w="1618"/>
            <w:vAlign w:val="center"/>
            <w:tcMar>
              <w:top w:w="75" w:type="dxa"/>
              <w:bottom w:w="75" w:type="dxa"/>
              <w:left w:w="90" w:type="dxa"/>
              <w:right w:w="90" w:type="dxa"/>
            </w:tcMar>
          </w:tcPr>
          <w:p>
            <w:pPr>
              <w:spacing w:after="0" w:before="20"/>
            </w:pPr>
            <w:r>
              <w:rPr>
                <w:sz w:val="17"/>
              </w:rPr>
              <w:t>100.000</w:t>
            </w:r>
          </w:p>
        </w:tc>
        <w:tc>
          <w:tcPr>
            <w:tcW w:type="dxa" w:w="1618"/>
            <w:vAlign w:val="center"/>
            <w:tcMar>
              <w:top w:w="75" w:type="dxa"/>
              <w:bottom w:w="75" w:type="dxa"/>
              <w:left w:w="90" w:type="dxa"/>
              <w:right w:w="90" w:type="dxa"/>
            </w:tcMar>
          </w:tcPr>
          <w:p>
            <w:pPr>
              <w:spacing w:after="0" w:before="20"/>
            </w:pPr>
            <w:r>
              <w:rPr>
                <w:sz w:val="17"/>
              </w:rPr>
              <w:t>12,056</w:t>
            </w:r>
          </w:p>
        </w:tc>
        <w:tc>
          <w:tcPr>
            <w:tcW w:type="dxa" w:w="1618"/>
            <w:vAlign w:val="center"/>
            <w:tcMar>
              <w:top w:w="75" w:type="dxa"/>
              <w:bottom w:w="75" w:type="dxa"/>
              <w:left w:w="90" w:type="dxa"/>
              <w:right w:w="90" w:type="dxa"/>
            </w:tcMar>
          </w:tcPr>
          <w:p>
            <w:pPr>
              <w:spacing w:after="0" w:before="20"/>
            </w:pPr>
            <w:r>
              <w:rPr>
                <w:sz w:val="17"/>
              </w:rPr>
              <w:t>45,801</w:t>
            </w:r>
          </w:p>
        </w:tc>
        <w:tc>
          <w:tcPr>
            <w:tcW w:type="dxa" w:w="1618"/>
            <w:vAlign w:val="center"/>
            <w:tcMar>
              <w:top w:w="75" w:type="dxa"/>
              <w:bottom w:w="75" w:type="dxa"/>
              <w:left w:w="90" w:type="dxa"/>
              <w:right w:w="90" w:type="dxa"/>
            </w:tcMar>
          </w:tcPr>
          <w:p>
            <w:pPr>
              <w:spacing w:after="0" w:before="20"/>
            </w:pPr>
            <w:r>
              <w:rPr>
                <w:sz w:val="17"/>
              </w:rPr>
              <w:t>73,7 %</w:t>
            </w:r>
          </w:p>
        </w:tc>
        <w:tc>
          <w:tcPr>
            <w:tcW w:type="dxa" w:w="1618"/>
            <w:vAlign w:val="center"/>
            <w:tcMar>
              <w:top w:w="75" w:type="dxa"/>
              <w:bottom w:w="75" w:type="dxa"/>
              <w:left w:w="90" w:type="dxa"/>
              <w:right w:w="90" w:type="dxa"/>
            </w:tcMar>
          </w:tcPr>
          <w:p>
            <w:pPr>
              <w:spacing w:after="0" w:before="20"/>
            </w:pPr>
            <w:r>
              <w:rPr>
                <w:sz w:val="17"/>
              </w:rPr>
              <w:t>Correcta</w:t>
            </w:r>
          </w:p>
        </w:tc>
      </w:tr>
      <w:tr>
        <w:tc>
          <w:tcPr>
            <w:tcW w:type="dxa" w:w="1618"/>
            <w:vAlign w:val="center"/>
            <w:tcMar>
              <w:top w:w="75" w:type="dxa"/>
              <w:bottom w:w="75" w:type="dxa"/>
              <w:left w:w="90" w:type="dxa"/>
              <w:right w:w="90" w:type="dxa"/>
            </w:tcMar>
          </w:tcPr>
          <w:p>
            <w:pPr>
              <w:spacing w:after="0" w:before="20"/>
            </w:pPr>
            <w:r>
              <w:rPr>
                <w:sz w:val="17"/>
              </w:rPr>
              <w:t>90.000</w:t>
            </w:r>
          </w:p>
        </w:tc>
        <w:tc>
          <w:tcPr>
            <w:tcW w:type="dxa" w:w="1618"/>
            <w:vAlign w:val="center"/>
            <w:tcMar>
              <w:top w:w="75" w:type="dxa"/>
              <w:bottom w:w="75" w:type="dxa"/>
              <w:left w:w="90" w:type="dxa"/>
              <w:right w:w="90" w:type="dxa"/>
            </w:tcMar>
          </w:tcPr>
          <w:p>
            <w:pPr>
              <w:spacing w:after="0" w:before="20"/>
            </w:pPr>
            <w:r>
              <w:rPr>
                <w:sz w:val="17"/>
              </w:rPr>
              <w:t>180.000</w:t>
            </w:r>
          </w:p>
        </w:tc>
        <w:tc>
          <w:tcPr>
            <w:tcW w:type="dxa" w:w="1618"/>
            <w:vAlign w:val="center"/>
            <w:tcMar>
              <w:top w:w="75" w:type="dxa"/>
              <w:bottom w:w="75" w:type="dxa"/>
              <w:left w:w="90" w:type="dxa"/>
              <w:right w:w="90" w:type="dxa"/>
            </w:tcMar>
          </w:tcPr>
          <w:p>
            <w:pPr>
              <w:spacing w:after="0" w:before="20"/>
            </w:pPr>
            <w:r>
              <w:rPr>
                <w:sz w:val="17"/>
              </w:rPr>
              <w:t>9,359</w:t>
            </w:r>
          </w:p>
        </w:tc>
        <w:tc>
          <w:tcPr>
            <w:tcW w:type="dxa" w:w="1618"/>
            <w:vAlign w:val="center"/>
            <w:tcMar>
              <w:top w:w="75" w:type="dxa"/>
              <w:bottom w:w="75" w:type="dxa"/>
              <w:left w:w="90" w:type="dxa"/>
              <w:right w:w="90" w:type="dxa"/>
            </w:tcMar>
          </w:tcPr>
          <w:p>
            <w:pPr>
              <w:spacing w:after="0" w:before="20"/>
            </w:pPr>
            <w:r>
              <w:rPr>
                <w:sz w:val="17"/>
              </w:rPr>
              <w:t>46,629</w:t>
            </w:r>
          </w:p>
        </w:tc>
        <w:tc>
          <w:tcPr>
            <w:tcW w:type="dxa" w:w="1618"/>
            <w:vAlign w:val="center"/>
            <w:tcMar>
              <w:top w:w="75" w:type="dxa"/>
              <w:bottom w:w="75" w:type="dxa"/>
              <w:left w:w="90" w:type="dxa"/>
              <w:right w:w="90" w:type="dxa"/>
            </w:tcMar>
          </w:tcPr>
          <w:p>
            <w:pPr>
              <w:spacing w:after="0" w:before="20"/>
            </w:pPr>
            <w:r>
              <w:rPr>
                <w:sz w:val="17"/>
              </w:rPr>
              <w:t>79,9 %</w:t>
            </w:r>
          </w:p>
        </w:tc>
        <w:tc>
          <w:tcPr>
            <w:tcW w:type="dxa" w:w="1618"/>
            <w:vAlign w:val="center"/>
            <w:tcMar>
              <w:top w:w="75" w:type="dxa"/>
              <w:bottom w:w="75" w:type="dxa"/>
              <w:left w:w="90" w:type="dxa"/>
              <w:right w:w="90" w:type="dxa"/>
            </w:tcMar>
          </w:tcPr>
          <w:p>
            <w:pPr>
              <w:spacing w:after="0" w:before="20"/>
            </w:pPr>
            <w:r>
              <w:rPr>
                <w:sz w:val="17"/>
              </w:rPr>
              <w:t>Correcta</w:t>
            </w:r>
          </w:p>
        </w:tc>
      </w:tr>
    </w:tbl>
    <w:p>
      <w:pPr>
        <w:spacing w:before="240" w:after="40"/>
        <w:jc w:val="center"/>
      </w:pPr>
      <w:r>
        <w:drawing>
          <wp:inline xmlns:a="http://schemas.openxmlformats.org/drawingml/2006/main" xmlns:pic="http://schemas.openxmlformats.org/drawingml/2006/picture">
            <wp:extent cx="5349240" cy="2235461"/>
            <wp:docPr id="3" name="Picture 3"/>
            <wp:cNvGraphicFramePr>
              <a:graphicFrameLocks noChangeAspect="1"/>
            </wp:cNvGraphicFramePr>
            <a:graphic>
              <a:graphicData uri="http://schemas.openxmlformats.org/drawingml/2006/picture">
                <pic:pic>
                  <pic:nvPicPr>
                    <pic:cNvPr id="0" name="datamarca_5_1_tiempos.png"/>
                    <pic:cNvPicPr/>
                  </pic:nvPicPr>
                  <pic:blipFill>
                    <a:blip r:embed="rId12"/>
                    <a:stretch>
                      <a:fillRect/>
                    </a:stretch>
                  </pic:blipFill>
                  <pic:spPr>
                    <a:xfrm>
                      <a:off x="0" y="0"/>
                      <a:ext cx="5349240" cy="2235461"/>
                    </a:xfrm>
                    <a:prstGeom prst="rect"/>
                  </pic:spPr>
                </pic:pic>
              </a:graphicData>
            </a:graphic>
          </wp:inline>
        </w:drawing>
      </w:r>
    </w:p>
    <w:p>
      <w:pPr>
        <w:pStyle w:val="FigureCaption"/>
        <w:jc w:val="center"/>
      </w:pPr>
      <w:r>
        <w:t>Figura 1. Mediana de tiempo total por volumen y configuración de shuffle (n=2 por punto).</w:t>
      </w:r>
    </w:p>
    <w:p>
      <w:r>
        <w:t>Para 5.000 filas por fuente, la mediana fue de 10,752 s con 8 particiones y 31,570 s con 200; para 90.000, de 9,359 s y 46,629 s, respectivamente. El tiempo de 8 particiones fluctúa entre tamaños y no permite inferir escalado lineal ni una mejora causada por aumentar los datos. Las mediciones incluyen variación entre primera y segunda repetición, y el orden de configuraciones no fue aleatorizado.</w:t>
      </w:r>
    </w:p>
    <w:p>
      <w:pPr>
        <w:jc w:val="center"/>
      </w:pPr>
      <w:r>
        <w:drawing>
          <wp:inline xmlns:a="http://schemas.openxmlformats.org/drawingml/2006/main" xmlns:pic="http://schemas.openxmlformats.org/drawingml/2006/picture">
            <wp:extent cx="3703320" cy="1265170"/>
            <wp:docPr id="5" name="Picture 5"/>
            <wp:cNvGraphicFramePr>
              <a:graphicFrameLocks noChangeAspect="1"/>
            </wp:cNvGraphicFramePr>
            <a:graphic>
              <a:graphicData uri="http://schemas.openxmlformats.org/drawingml/2006/picture">
                <pic:pic>
                  <pic:nvPicPr>
                    <pic:cNvPr id="0" name="datamarca_5_1_rendimiento.png"/>
                    <pic:cNvPicPr/>
                  </pic:nvPicPr>
                  <pic:blipFill>
                    <a:blip r:embed="rId14"/>
                    <a:stretch>
                      <a:fillRect/>
                    </a:stretch>
                  </pic:blipFill>
                  <pic:spPr>
                    <a:xfrm>
                      <a:off x="0" y="0"/>
                      <a:ext cx="3703320" cy="1265170"/>
                    </a:xfrm>
                    <a:prstGeom prst="rect"/>
                  </pic:spPr>
                </pic:pic>
              </a:graphicData>
            </a:graphic>
          </wp:inline>
        </w:drawing>
      </w:r>
    </w:p>
    <w:p>
      <w:pPr>
        <w:pStyle w:val="FigureCaption"/>
      </w:pPr>
      <w:r>
        <w:t>Figura 2. Factor de aceleración mediano de 8 frente a 200 particiones.</w:t>
      </w:r>
    </w:p>
    <w:p/>
    <w:p>
      <w:pPr>
        <w:pStyle w:val="Heading1"/>
      </w:pPr>
      <w:r>
        <w:t>4. Desglose por fase</w:t>
      </w:r>
    </w:p>
    <w:p>
      <w:r>
        <w:t>El cuadro muestra las medianas de duración de cada etapa para la configuración de 8 particiones. Son medianas calculadas por fase de forma independiente y no necesariamente suman exactamente la mediana del tiempo total. La figura siguiente contrasta las fases de 8 y 200 particiones en el volumen máximo.</w:t>
      </w:r>
    </w:p>
    <w:tbl>
      <w:tblPr>
        <w:tblStyle w:val="TableGrid"/>
        <w:tblW w:type="auto" w:w="0"/>
        <w:jc w:val="center"/>
        <w:tblLook w:firstColumn="1" w:firstRow="1" w:lastColumn="0" w:lastRow="0" w:noHBand="0" w:noVBand="1" w:val="04A0"/>
      </w:tblPr>
      <w:tblGrid>
        <w:gridCol w:w="1618"/>
        <w:gridCol w:w="1618"/>
        <w:gridCol w:w="1618"/>
        <w:gridCol w:w="1618"/>
        <w:gridCol w:w="1618"/>
        <w:gridCol w:w="1618"/>
      </w:tblGrid>
      <w:tr>
        <w:trPr>
          <w:tblHeader/>
        </w:trPr>
        <w:tc>
          <w:tcPr>
            <w:tcW w:type="dxa" w:w="1656"/>
            <w:vAlign w:val="center"/>
            <w:shd w:fill="173B59"/>
            <w:tcMar>
              <w:top w:w="100" w:type="dxa"/>
              <w:bottom w:w="100" w:type="dxa"/>
              <w:left w:w="100" w:type="dxa"/>
              <w:right w:w="100" w:type="dxa"/>
            </w:tcMar>
          </w:tcPr>
          <w:p>
            <w:r>
              <w:rPr>
                <w:b/>
                <w:color w:val="FFFFFF"/>
                <w:sz w:val="17"/>
              </w:rPr>
              <w:t>Filas/fuente</w:t>
            </w:r>
          </w:p>
        </w:tc>
        <w:tc>
          <w:tcPr>
            <w:tcW w:type="dxa" w:w="1512"/>
            <w:vAlign w:val="center"/>
            <w:shd w:fill="173B59"/>
            <w:tcMar>
              <w:top w:w="100" w:type="dxa"/>
              <w:bottom w:w="100" w:type="dxa"/>
              <w:left w:w="100" w:type="dxa"/>
              <w:right w:w="100" w:type="dxa"/>
            </w:tcMar>
          </w:tcPr>
          <w:p>
            <w:r>
              <w:rPr>
                <w:b/>
                <w:color w:val="FFFFFF"/>
                <w:sz w:val="17"/>
              </w:rPr>
              <w:t>Ingestión</w:t>
            </w:r>
          </w:p>
        </w:tc>
        <w:tc>
          <w:tcPr>
            <w:tcW w:type="dxa" w:w="1512"/>
            <w:vAlign w:val="center"/>
            <w:shd w:fill="173B59"/>
            <w:tcMar>
              <w:top w:w="100" w:type="dxa"/>
              <w:bottom w:w="100" w:type="dxa"/>
              <w:left w:w="100" w:type="dxa"/>
              <w:right w:w="100" w:type="dxa"/>
            </w:tcMar>
          </w:tcPr>
          <w:p>
            <w:r>
              <w:rPr>
                <w:b/>
                <w:color w:val="FFFFFF"/>
                <w:sz w:val="17"/>
              </w:rPr>
              <w:t>Limpieza</w:t>
            </w:r>
          </w:p>
        </w:tc>
        <w:tc>
          <w:tcPr>
            <w:tcW w:type="dxa" w:w="1512"/>
            <w:vAlign w:val="center"/>
            <w:shd w:fill="173B59"/>
            <w:tcMar>
              <w:top w:w="100" w:type="dxa"/>
              <w:bottom w:w="100" w:type="dxa"/>
              <w:left w:w="100" w:type="dxa"/>
              <w:right w:w="100" w:type="dxa"/>
            </w:tcMar>
          </w:tcPr>
          <w:p>
            <w:r>
              <w:rPr>
                <w:b/>
                <w:color w:val="FFFFFF"/>
                <w:sz w:val="17"/>
              </w:rPr>
              <w:t>Silver</w:t>
            </w:r>
          </w:p>
        </w:tc>
        <w:tc>
          <w:tcPr>
            <w:tcW w:type="dxa" w:w="1512"/>
            <w:vAlign w:val="center"/>
            <w:shd w:fill="173B59"/>
            <w:tcMar>
              <w:top w:w="100" w:type="dxa"/>
              <w:bottom w:w="100" w:type="dxa"/>
              <w:left w:w="100" w:type="dxa"/>
              <w:right w:w="100" w:type="dxa"/>
            </w:tcMar>
          </w:tcPr>
          <w:p>
            <w:r>
              <w:rPr>
                <w:b/>
                <w:color w:val="FFFFFF"/>
                <w:sz w:val="17"/>
              </w:rPr>
              <w:t>Join</w:t>
            </w:r>
          </w:p>
        </w:tc>
        <w:tc>
          <w:tcPr>
            <w:tcW w:type="dxa" w:w="1512"/>
            <w:vAlign w:val="center"/>
            <w:shd w:fill="173B59"/>
            <w:tcMar>
              <w:top w:w="100" w:type="dxa"/>
              <w:bottom w:w="100" w:type="dxa"/>
              <w:left w:w="100" w:type="dxa"/>
              <w:right w:w="100" w:type="dxa"/>
            </w:tcMar>
          </w:tcPr>
          <w:p>
            <w:r>
              <w:rPr>
                <w:b/>
                <w:color w:val="FFFFFF"/>
                <w:sz w:val="17"/>
              </w:rPr>
              <w:t>Gold</w:t>
            </w:r>
          </w:p>
        </w:tc>
      </w:tr>
      <w:tr>
        <w:tc>
          <w:tcPr>
            <w:tcW w:type="dxa" w:w="1618"/>
            <w:vAlign w:val="center"/>
            <w:tcMar>
              <w:top w:w="75" w:type="dxa"/>
              <w:bottom w:w="75" w:type="dxa"/>
              <w:left w:w="90" w:type="dxa"/>
              <w:right w:w="90" w:type="dxa"/>
            </w:tcMar>
          </w:tcPr>
          <w:p>
            <w:pPr>
              <w:spacing w:after="0" w:before="20"/>
            </w:pPr>
            <w:r>
              <w:rPr>
                <w:sz w:val="17"/>
              </w:rPr>
              <w:t>5.000</w:t>
            </w:r>
          </w:p>
        </w:tc>
        <w:tc>
          <w:tcPr>
            <w:tcW w:type="dxa" w:w="1618"/>
            <w:vAlign w:val="center"/>
            <w:tcMar>
              <w:top w:w="75" w:type="dxa"/>
              <w:bottom w:w="75" w:type="dxa"/>
              <w:left w:w="90" w:type="dxa"/>
              <w:right w:w="90" w:type="dxa"/>
            </w:tcMar>
          </w:tcPr>
          <w:p>
            <w:pPr>
              <w:spacing w:after="0" w:before="20"/>
            </w:pPr>
            <w:r>
              <w:rPr>
                <w:sz w:val="17"/>
              </w:rPr>
              <w:t>2,986</w:t>
            </w:r>
          </w:p>
        </w:tc>
        <w:tc>
          <w:tcPr>
            <w:tcW w:type="dxa" w:w="1618"/>
            <w:vAlign w:val="center"/>
            <w:tcMar>
              <w:top w:w="75" w:type="dxa"/>
              <w:bottom w:w="75" w:type="dxa"/>
              <w:left w:w="90" w:type="dxa"/>
              <w:right w:w="90" w:type="dxa"/>
            </w:tcMar>
          </w:tcPr>
          <w:p>
            <w:pPr>
              <w:spacing w:after="0" w:before="20"/>
            </w:pPr>
            <w:r>
              <w:rPr>
                <w:sz w:val="17"/>
              </w:rPr>
              <w:t>0,481</w:t>
            </w:r>
          </w:p>
        </w:tc>
        <w:tc>
          <w:tcPr>
            <w:tcW w:type="dxa" w:w="1618"/>
            <w:vAlign w:val="center"/>
            <w:tcMar>
              <w:top w:w="75" w:type="dxa"/>
              <w:bottom w:w="75" w:type="dxa"/>
              <w:left w:w="90" w:type="dxa"/>
              <w:right w:w="90" w:type="dxa"/>
            </w:tcMar>
          </w:tcPr>
          <w:p>
            <w:pPr>
              <w:spacing w:after="0" w:before="20"/>
            </w:pPr>
            <w:r>
              <w:rPr>
                <w:sz w:val="17"/>
              </w:rPr>
              <w:t>2,331</w:t>
            </w:r>
          </w:p>
        </w:tc>
        <w:tc>
          <w:tcPr>
            <w:tcW w:type="dxa" w:w="1618"/>
            <w:vAlign w:val="center"/>
            <w:tcMar>
              <w:top w:w="75" w:type="dxa"/>
              <w:bottom w:w="75" w:type="dxa"/>
              <w:left w:w="90" w:type="dxa"/>
              <w:right w:w="90" w:type="dxa"/>
            </w:tcMar>
          </w:tcPr>
          <w:p>
            <w:pPr>
              <w:spacing w:after="0" w:before="20"/>
            </w:pPr>
            <w:r>
              <w:rPr>
                <w:sz w:val="17"/>
              </w:rPr>
              <w:t>0,633</w:t>
            </w:r>
          </w:p>
        </w:tc>
        <w:tc>
          <w:tcPr>
            <w:tcW w:type="dxa" w:w="1618"/>
            <w:vAlign w:val="center"/>
            <w:tcMar>
              <w:top w:w="75" w:type="dxa"/>
              <w:bottom w:w="75" w:type="dxa"/>
              <w:left w:w="90" w:type="dxa"/>
              <w:right w:w="90" w:type="dxa"/>
            </w:tcMar>
          </w:tcPr>
          <w:p>
            <w:pPr>
              <w:spacing w:after="0" w:before="20"/>
            </w:pPr>
            <w:r>
              <w:rPr>
                <w:sz w:val="17"/>
              </w:rPr>
              <w:t>4,320</w:t>
            </w:r>
          </w:p>
        </w:tc>
      </w:tr>
      <w:tr>
        <w:tc>
          <w:tcPr>
            <w:tcW w:type="dxa" w:w="1618"/>
            <w:vAlign w:val="center"/>
            <w:tcMar>
              <w:top w:w="75" w:type="dxa"/>
              <w:bottom w:w="75" w:type="dxa"/>
              <w:left w:w="90" w:type="dxa"/>
              <w:right w:w="90" w:type="dxa"/>
            </w:tcMar>
          </w:tcPr>
          <w:p>
            <w:pPr>
              <w:spacing w:after="0" w:before="20"/>
            </w:pPr>
            <w:r>
              <w:rPr>
                <w:sz w:val="17"/>
              </w:rPr>
              <w:t>10.000</w:t>
            </w:r>
          </w:p>
        </w:tc>
        <w:tc>
          <w:tcPr>
            <w:tcW w:type="dxa" w:w="1618"/>
            <w:vAlign w:val="center"/>
            <w:tcMar>
              <w:top w:w="75" w:type="dxa"/>
              <w:bottom w:w="75" w:type="dxa"/>
              <w:left w:w="90" w:type="dxa"/>
              <w:right w:w="90" w:type="dxa"/>
            </w:tcMar>
          </w:tcPr>
          <w:p>
            <w:pPr>
              <w:spacing w:after="0" w:before="20"/>
            </w:pPr>
            <w:r>
              <w:rPr>
                <w:sz w:val="17"/>
              </w:rPr>
              <w:t>3,262</w:t>
            </w:r>
          </w:p>
        </w:tc>
        <w:tc>
          <w:tcPr>
            <w:tcW w:type="dxa" w:w="1618"/>
            <w:vAlign w:val="center"/>
            <w:tcMar>
              <w:top w:w="75" w:type="dxa"/>
              <w:bottom w:w="75" w:type="dxa"/>
              <w:left w:w="90" w:type="dxa"/>
              <w:right w:w="90" w:type="dxa"/>
            </w:tcMar>
          </w:tcPr>
          <w:p>
            <w:pPr>
              <w:spacing w:after="0" w:before="20"/>
            </w:pPr>
            <w:r>
              <w:rPr>
                <w:sz w:val="17"/>
              </w:rPr>
              <w:t>0,567</w:t>
            </w:r>
          </w:p>
        </w:tc>
        <w:tc>
          <w:tcPr>
            <w:tcW w:type="dxa" w:w="1618"/>
            <w:vAlign w:val="center"/>
            <w:tcMar>
              <w:top w:w="75" w:type="dxa"/>
              <w:bottom w:w="75" w:type="dxa"/>
              <w:left w:w="90" w:type="dxa"/>
              <w:right w:w="90" w:type="dxa"/>
            </w:tcMar>
          </w:tcPr>
          <w:p>
            <w:pPr>
              <w:spacing w:after="0" w:before="20"/>
            </w:pPr>
            <w:r>
              <w:rPr>
                <w:sz w:val="17"/>
              </w:rPr>
              <w:t>2,721</w:t>
            </w:r>
          </w:p>
        </w:tc>
        <w:tc>
          <w:tcPr>
            <w:tcW w:type="dxa" w:w="1618"/>
            <w:vAlign w:val="center"/>
            <w:tcMar>
              <w:top w:w="75" w:type="dxa"/>
              <w:bottom w:w="75" w:type="dxa"/>
              <w:left w:w="90" w:type="dxa"/>
              <w:right w:w="90" w:type="dxa"/>
            </w:tcMar>
          </w:tcPr>
          <w:p>
            <w:pPr>
              <w:spacing w:after="0" w:before="20"/>
            </w:pPr>
            <w:r>
              <w:rPr>
                <w:sz w:val="17"/>
              </w:rPr>
              <w:t>0,754</w:t>
            </w:r>
          </w:p>
        </w:tc>
        <w:tc>
          <w:tcPr>
            <w:tcW w:type="dxa" w:w="1618"/>
            <w:vAlign w:val="center"/>
            <w:tcMar>
              <w:top w:w="75" w:type="dxa"/>
              <w:bottom w:w="75" w:type="dxa"/>
              <w:left w:w="90" w:type="dxa"/>
              <w:right w:w="90" w:type="dxa"/>
            </w:tcMar>
          </w:tcPr>
          <w:p>
            <w:pPr>
              <w:spacing w:after="0" w:before="20"/>
            </w:pPr>
            <w:r>
              <w:rPr>
                <w:sz w:val="17"/>
              </w:rPr>
              <w:t>4,127</w:t>
            </w:r>
          </w:p>
        </w:tc>
      </w:tr>
      <w:tr>
        <w:tc>
          <w:tcPr>
            <w:tcW w:type="dxa" w:w="1618"/>
            <w:vAlign w:val="center"/>
            <w:tcMar>
              <w:top w:w="75" w:type="dxa"/>
              <w:bottom w:w="75" w:type="dxa"/>
              <w:left w:w="90" w:type="dxa"/>
              <w:right w:w="90" w:type="dxa"/>
            </w:tcMar>
          </w:tcPr>
          <w:p>
            <w:pPr>
              <w:spacing w:after="0" w:before="20"/>
            </w:pPr>
            <w:r>
              <w:rPr>
                <w:sz w:val="17"/>
              </w:rPr>
              <w:t>25.000</w:t>
            </w:r>
          </w:p>
        </w:tc>
        <w:tc>
          <w:tcPr>
            <w:tcW w:type="dxa" w:w="1618"/>
            <w:vAlign w:val="center"/>
            <w:tcMar>
              <w:top w:w="75" w:type="dxa"/>
              <w:bottom w:w="75" w:type="dxa"/>
              <w:left w:w="90" w:type="dxa"/>
              <w:right w:w="90" w:type="dxa"/>
            </w:tcMar>
          </w:tcPr>
          <w:p>
            <w:pPr>
              <w:spacing w:after="0" w:before="20"/>
            </w:pPr>
            <w:r>
              <w:rPr>
                <w:sz w:val="17"/>
              </w:rPr>
              <w:t>1,312</w:t>
            </w:r>
          </w:p>
        </w:tc>
        <w:tc>
          <w:tcPr>
            <w:tcW w:type="dxa" w:w="1618"/>
            <w:vAlign w:val="center"/>
            <w:tcMar>
              <w:top w:w="75" w:type="dxa"/>
              <w:bottom w:w="75" w:type="dxa"/>
              <w:left w:w="90" w:type="dxa"/>
              <w:right w:w="90" w:type="dxa"/>
            </w:tcMar>
          </w:tcPr>
          <w:p>
            <w:pPr>
              <w:spacing w:after="0" w:before="20"/>
            </w:pPr>
            <w:r>
              <w:rPr>
                <w:sz w:val="17"/>
              </w:rPr>
              <w:t>0,449</w:t>
            </w:r>
          </w:p>
        </w:tc>
        <w:tc>
          <w:tcPr>
            <w:tcW w:type="dxa" w:w="1618"/>
            <w:vAlign w:val="center"/>
            <w:tcMar>
              <w:top w:w="75" w:type="dxa"/>
              <w:bottom w:w="75" w:type="dxa"/>
              <w:left w:w="90" w:type="dxa"/>
              <w:right w:w="90" w:type="dxa"/>
            </w:tcMar>
          </w:tcPr>
          <w:p>
            <w:pPr>
              <w:spacing w:after="0" w:before="20"/>
            </w:pPr>
            <w:r>
              <w:rPr>
                <w:sz w:val="17"/>
              </w:rPr>
              <w:t>1,730</w:t>
            </w:r>
          </w:p>
        </w:tc>
        <w:tc>
          <w:tcPr>
            <w:tcW w:type="dxa" w:w="1618"/>
            <w:vAlign w:val="center"/>
            <w:tcMar>
              <w:top w:w="75" w:type="dxa"/>
              <w:bottom w:w="75" w:type="dxa"/>
              <w:left w:w="90" w:type="dxa"/>
              <w:right w:w="90" w:type="dxa"/>
            </w:tcMar>
          </w:tcPr>
          <w:p>
            <w:pPr>
              <w:spacing w:after="0" w:before="20"/>
            </w:pPr>
            <w:r>
              <w:rPr>
                <w:sz w:val="17"/>
              </w:rPr>
              <w:t>0,592</w:t>
            </w:r>
          </w:p>
        </w:tc>
        <w:tc>
          <w:tcPr>
            <w:tcW w:type="dxa" w:w="1618"/>
            <w:vAlign w:val="center"/>
            <w:tcMar>
              <w:top w:w="75" w:type="dxa"/>
              <w:bottom w:w="75" w:type="dxa"/>
              <w:left w:w="90" w:type="dxa"/>
              <w:right w:w="90" w:type="dxa"/>
            </w:tcMar>
          </w:tcPr>
          <w:p>
            <w:pPr>
              <w:spacing w:after="0" w:before="20"/>
            </w:pPr>
            <w:r>
              <w:rPr>
                <w:sz w:val="17"/>
              </w:rPr>
              <w:t>3,820</w:t>
            </w:r>
          </w:p>
        </w:tc>
      </w:tr>
      <w:tr>
        <w:tc>
          <w:tcPr>
            <w:tcW w:type="dxa" w:w="1618"/>
            <w:vAlign w:val="center"/>
            <w:tcMar>
              <w:top w:w="75" w:type="dxa"/>
              <w:bottom w:w="75" w:type="dxa"/>
              <w:left w:w="90" w:type="dxa"/>
              <w:right w:w="90" w:type="dxa"/>
            </w:tcMar>
          </w:tcPr>
          <w:p>
            <w:pPr>
              <w:spacing w:after="0" w:before="20"/>
            </w:pPr>
            <w:r>
              <w:rPr>
                <w:sz w:val="17"/>
              </w:rPr>
              <w:t>50.000</w:t>
            </w:r>
          </w:p>
        </w:tc>
        <w:tc>
          <w:tcPr>
            <w:tcW w:type="dxa" w:w="1618"/>
            <w:vAlign w:val="center"/>
            <w:tcMar>
              <w:top w:w="75" w:type="dxa"/>
              <w:bottom w:w="75" w:type="dxa"/>
              <w:left w:w="90" w:type="dxa"/>
              <w:right w:w="90" w:type="dxa"/>
            </w:tcMar>
          </w:tcPr>
          <w:p>
            <w:pPr>
              <w:spacing w:after="0" w:before="20"/>
            </w:pPr>
            <w:r>
              <w:rPr>
                <w:sz w:val="17"/>
              </w:rPr>
              <w:t>4,025</w:t>
            </w:r>
          </w:p>
        </w:tc>
        <w:tc>
          <w:tcPr>
            <w:tcW w:type="dxa" w:w="1618"/>
            <w:vAlign w:val="center"/>
            <w:tcMar>
              <w:top w:w="75" w:type="dxa"/>
              <w:bottom w:w="75" w:type="dxa"/>
              <w:left w:w="90" w:type="dxa"/>
              <w:right w:w="90" w:type="dxa"/>
            </w:tcMar>
          </w:tcPr>
          <w:p>
            <w:pPr>
              <w:spacing w:after="0" w:before="20"/>
            </w:pPr>
            <w:r>
              <w:rPr>
                <w:sz w:val="17"/>
              </w:rPr>
              <w:t>0,702</w:t>
            </w:r>
          </w:p>
        </w:tc>
        <w:tc>
          <w:tcPr>
            <w:tcW w:type="dxa" w:w="1618"/>
            <w:vAlign w:val="center"/>
            <w:tcMar>
              <w:top w:w="75" w:type="dxa"/>
              <w:bottom w:w="75" w:type="dxa"/>
              <w:left w:w="90" w:type="dxa"/>
              <w:right w:w="90" w:type="dxa"/>
            </w:tcMar>
          </w:tcPr>
          <w:p>
            <w:pPr>
              <w:spacing w:after="0" w:before="20"/>
            </w:pPr>
            <w:r>
              <w:rPr>
                <w:sz w:val="17"/>
              </w:rPr>
              <w:t>2,549</w:t>
            </w:r>
          </w:p>
        </w:tc>
        <w:tc>
          <w:tcPr>
            <w:tcW w:type="dxa" w:w="1618"/>
            <w:vAlign w:val="center"/>
            <w:tcMar>
              <w:top w:w="75" w:type="dxa"/>
              <w:bottom w:w="75" w:type="dxa"/>
              <w:left w:w="90" w:type="dxa"/>
              <w:right w:w="90" w:type="dxa"/>
            </w:tcMar>
          </w:tcPr>
          <w:p>
            <w:pPr>
              <w:spacing w:after="0" w:before="20"/>
            </w:pPr>
            <w:r>
              <w:rPr>
                <w:sz w:val="17"/>
              </w:rPr>
              <w:t>0,825</w:t>
            </w:r>
          </w:p>
        </w:tc>
        <w:tc>
          <w:tcPr>
            <w:tcW w:type="dxa" w:w="1618"/>
            <w:vAlign w:val="center"/>
            <w:tcMar>
              <w:top w:w="75" w:type="dxa"/>
              <w:bottom w:w="75" w:type="dxa"/>
              <w:left w:w="90" w:type="dxa"/>
              <w:right w:w="90" w:type="dxa"/>
            </w:tcMar>
          </w:tcPr>
          <w:p>
            <w:pPr>
              <w:spacing w:after="0" w:before="20"/>
            </w:pPr>
            <w:r>
              <w:rPr>
                <w:sz w:val="17"/>
              </w:rPr>
              <w:t>3,954</w:t>
            </w:r>
          </w:p>
        </w:tc>
      </w:tr>
      <w:tr>
        <w:tc>
          <w:tcPr>
            <w:tcW w:type="dxa" w:w="1618"/>
            <w:vAlign w:val="center"/>
            <w:tcMar>
              <w:top w:w="75" w:type="dxa"/>
              <w:bottom w:w="75" w:type="dxa"/>
              <w:left w:w="90" w:type="dxa"/>
              <w:right w:w="90" w:type="dxa"/>
            </w:tcMar>
          </w:tcPr>
          <w:p>
            <w:pPr>
              <w:spacing w:after="0" w:before="20"/>
            </w:pPr>
            <w:r>
              <w:rPr>
                <w:sz w:val="17"/>
              </w:rPr>
              <w:t>90.000</w:t>
            </w:r>
          </w:p>
        </w:tc>
        <w:tc>
          <w:tcPr>
            <w:tcW w:type="dxa" w:w="1618"/>
            <w:vAlign w:val="center"/>
            <w:tcMar>
              <w:top w:w="75" w:type="dxa"/>
              <w:bottom w:w="75" w:type="dxa"/>
              <w:left w:w="90" w:type="dxa"/>
              <w:right w:w="90" w:type="dxa"/>
            </w:tcMar>
          </w:tcPr>
          <w:p>
            <w:pPr>
              <w:spacing w:after="0" w:before="20"/>
            </w:pPr>
            <w:r>
              <w:rPr>
                <w:sz w:val="17"/>
              </w:rPr>
              <w:t>2,162</w:t>
            </w:r>
          </w:p>
        </w:tc>
        <w:tc>
          <w:tcPr>
            <w:tcW w:type="dxa" w:w="1618"/>
            <w:vAlign w:val="center"/>
            <w:tcMar>
              <w:top w:w="75" w:type="dxa"/>
              <w:bottom w:w="75" w:type="dxa"/>
              <w:left w:w="90" w:type="dxa"/>
              <w:right w:w="90" w:type="dxa"/>
            </w:tcMar>
          </w:tcPr>
          <w:p>
            <w:pPr>
              <w:spacing w:after="0" w:before="20"/>
            </w:pPr>
            <w:r>
              <w:rPr>
                <w:sz w:val="17"/>
              </w:rPr>
              <w:t>0,675</w:t>
            </w:r>
          </w:p>
        </w:tc>
        <w:tc>
          <w:tcPr>
            <w:tcW w:type="dxa" w:w="1618"/>
            <w:vAlign w:val="center"/>
            <w:tcMar>
              <w:top w:w="75" w:type="dxa"/>
              <w:bottom w:w="75" w:type="dxa"/>
              <w:left w:w="90" w:type="dxa"/>
              <w:right w:w="90" w:type="dxa"/>
            </w:tcMar>
          </w:tcPr>
          <w:p>
            <w:pPr>
              <w:spacing w:after="0" w:before="20"/>
            </w:pPr>
            <w:r>
              <w:rPr>
                <w:sz w:val="17"/>
              </w:rPr>
              <w:t>2,019</w:t>
            </w:r>
          </w:p>
        </w:tc>
        <w:tc>
          <w:tcPr>
            <w:tcW w:type="dxa" w:w="1618"/>
            <w:vAlign w:val="center"/>
            <w:tcMar>
              <w:top w:w="75" w:type="dxa"/>
              <w:bottom w:w="75" w:type="dxa"/>
              <w:left w:w="90" w:type="dxa"/>
              <w:right w:w="90" w:type="dxa"/>
            </w:tcMar>
          </w:tcPr>
          <w:p>
            <w:pPr>
              <w:spacing w:after="0" w:before="20"/>
            </w:pPr>
            <w:r>
              <w:rPr>
                <w:sz w:val="17"/>
              </w:rPr>
              <w:t>0,859</w:t>
            </w:r>
          </w:p>
        </w:tc>
        <w:tc>
          <w:tcPr>
            <w:tcW w:type="dxa" w:w="1618"/>
            <w:vAlign w:val="center"/>
            <w:tcMar>
              <w:top w:w="75" w:type="dxa"/>
              <w:bottom w:w="75" w:type="dxa"/>
              <w:left w:w="90" w:type="dxa"/>
              <w:right w:w="90" w:type="dxa"/>
            </w:tcMar>
          </w:tcPr>
          <w:p>
            <w:pPr>
              <w:spacing w:after="0" w:before="20"/>
            </w:pPr>
            <w:r>
              <w:rPr>
                <w:sz w:val="17"/>
              </w:rPr>
              <w:t>3,643</w:t>
            </w:r>
          </w:p>
        </w:tc>
      </w:tr>
    </w:tbl>
    <w:p>
      <w:pPr>
        <w:spacing w:before="240" w:after="40"/>
        <w:jc w:val="center"/>
      </w:pPr>
      <w:r>
        <w:drawing>
          <wp:inline xmlns:a="http://schemas.openxmlformats.org/drawingml/2006/main" xmlns:pic="http://schemas.openxmlformats.org/drawingml/2006/picture">
            <wp:extent cx="5349240" cy="2187295"/>
            <wp:docPr id="4" name="Picture 4"/>
            <wp:cNvGraphicFramePr>
              <a:graphicFrameLocks noChangeAspect="1"/>
            </wp:cNvGraphicFramePr>
            <a:graphic>
              <a:graphicData uri="http://schemas.openxmlformats.org/drawingml/2006/picture">
                <pic:pic>
                  <pic:nvPicPr>
                    <pic:cNvPr id="0" name="datamarca_5_1_etapas.png"/>
                    <pic:cNvPicPr/>
                  </pic:nvPicPr>
                  <pic:blipFill>
                    <a:blip r:embed="rId13"/>
                    <a:stretch>
                      <a:fillRect/>
                    </a:stretch>
                  </pic:blipFill>
                  <pic:spPr>
                    <a:xfrm>
                      <a:off x="0" y="0"/>
                      <a:ext cx="5349240" cy="2187295"/>
                    </a:xfrm>
                    <a:prstGeom prst="rect"/>
                  </pic:spPr>
                </pic:pic>
              </a:graphicData>
            </a:graphic>
          </wp:inline>
        </w:drawing>
      </w:r>
    </w:p>
    <w:p>
      <w:pPr>
        <w:pStyle w:val="FigureCaption"/>
        <w:jc w:val="center"/>
      </w:pPr>
      <w:r>
        <w:t>Figura 3. Desglose de tiempos por etapa para 90.000 filas por fuente; medianas de dos repeticiones.</w:t>
      </w:r>
    </w:p>
    <w:p>
      <w:r>
        <w:t>En el escenario de 90.000 filas por fuente, la fase Gold tuvo una mediana de 3,643 s con 8 particiones y 27,013 s con 200. Equivale aproximadamente al 38,9 % y 57,9 % de sus respectivas medianas de tiempo total. El mayor costo de Gold bajo 200 particiones sugiere un foco de perfilado, pero no demuestra por sí solo qué operación física explica la diferencia.</w:t>
      </w:r>
    </w:p>
    <w:p>
      <w:r>
        <w:t>La productividad (transacciones de entrada divididas por tiempo total) también aumenta con 8 particiones en este equipo. No obstante, las diferencias entre ejecuciones, la posible adaptación de Spark y la reutilización de patrones sintéticos impiden extrapolar estos valores a un clúster o a cargas de producción.</w:t>
      </w:r>
    </w:p>
    <w:p>
      <w:pPr>
        <w:pStyle w:val="Heading1"/>
      </w:pPr>
      <w:r>
        <w:t>5. Calidad e integridad</w:t>
      </w:r>
    </w:p>
    <w:p>
      <w:r>
        <w:t>En las 22 ejecuciones, los CSV registran status=ok e integrity_ok=True. Los conteos de transacciones y logs válidos coinciden con los de entrada; el join conserva el número de transacciones y la suma amount_tx coincide con amount_join. Esta verificación cubre los invariantes incluidos en el benchmark, pero no certifica toda la semántica del pipeline de producción.</w:t>
      </w:r>
    </w:p>
    <w:p>
      <w:r>
        <w:t>Las advertencias de calidad descritas en el informe inicial (por ejemplo, categorías o montos atípicos) no se cuantifican en los ocho CSV de esta campaña. Por ello, aquí no se atribuyen nuevas tasas de advertencia. La ausencia de fallos de integridad no equivale a ausencia de observaciones de calidad.</w:t>
      </w:r>
    </w:p>
    <w:p>
      <w:pPr>
        <w:pStyle w:val="Heading1"/>
      </w:pPr>
      <w:r>
        <w:t>6. Advertencias y oportunidades de mejora</w:t>
      </w:r>
    </w:p>
    <w:tbl>
      <w:tblPr>
        <w:tblStyle w:val="TableGrid"/>
        <w:tblW w:type="auto" w:w="0"/>
        <w:jc w:val="center"/>
        <w:tblLook w:firstColumn="1" w:firstRow="1" w:lastColumn="0" w:lastRow="0" w:noHBand="0" w:noVBand="1" w:val="04A0"/>
      </w:tblPr>
      <w:tblGrid>
        <w:gridCol w:w="4853"/>
        <w:gridCol w:w="4853"/>
      </w:tblGrid>
      <w:tr>
        <w:trPr>
          <w:tblHeader/>
        </w:trPr>
        <w:tc>
          <w:tcPr>
            <w:tcW w:type="dxa" w:w="2880"/>
            <w:vAlign w:val="center"/>
            <w:shd w:fill="173B59"/>
            <w:tcMar>
              <w:top w:w="100" w:type="dxa"/>
              <w:bottom w:w="100" w:type="dxa"/>
              <w:left w:w="100" w:type="dxa"/>
              <w:right w:w="100" w:type="dxa"/>
            </w:tcMar>
          </w:tcPr>
          <w:p>
            <w:r>
              <w:rPr>
                <w:b/>
                <w:color w:val="FFFFFF"/>
                <w:sz w:val="17"/>
              </w:rPr>
              <w:t>Hallazgo</w:t>
            </w:r>
          </w:p>
        </w:tc>
        <w:tc>
          <w:tcPr>
            <w:tcW w:type="dxa" w:w="6552"/>
            <w:vAlign w:val="center"/>
            <w:shd w:fill="173B59"/>
            <w:tcMar>
              <w:top w:w="100" w:type="dxa"/>
              <w:bottom w:w="100" w:type="dxa"/>
              <w:left w:w="100" w:type="dxa"/>
              <w:right w:w="100" w:type="dxa"/>
            </w:tcMar>
          </w:tcPr>
          <w:p>
            <w:r>
              <w:rPr>
                <w:b/>
                <w:color w:val="FFFFFF"/>
                <w:sz w:val="17"/>
              </w:rPr>
              <w:t>Interpretación y acción recomendada</w:t>
            </w:r>
          </w:p>
        </w:tc>
      </w:tr>
      <w:tr>
        <w:tc>
          <w:tcPr>
            <w:tcW w:type="dxa" w:w="4853"/>
            <w:vAlign w:val="center"/>
            <w:tcMar>
              <w:top w:w="75" w:type="dxa"/>
              <w:bottom w:w="75" w:type="dxa"/>
              <w:left w:w="90" w:type="dxa"/>
              <w:right w:w="90" w:type="dxa"/>
            </w:tcMar>
          </w:tcPr>
          <w:p>
            <w:pPr>
              <w:spacing w:after="0" w:before="20"/>
            </w:pPr>
            <w:r>
              <w:rPr>
                <w:sz w:val="17"/>
              </w:rPr>
              <w:t>WindowExec sin partición</w:t>
            </w:r>
          </w:p>
        </w:tc>
        <w:tc>
          <w:tcPr>
            <w:tcW w:type="dxa" w:w="4853"/>
            <w:vAlign w:val="center"/>
            <w:tcMar>
              <w:top w:w="75" w:type="dxa"/>
              <w:bottom w:w="75" w:type="dxa"/>
              <w:left w:w="90" w:type="dxa"/>
              <w:right w:w="90" w:type="dxa"/>
            </w:tcMar>
          </w:tcPr>
          <w:p>
            <w:pPr>
              <w:spacing w:after="0" w:before="20"/>
            </w:pPr>
            <w:r>
              <w:rPr>
                <w:sz w:val="17"/>
              </w:rPr>
              <w:t>Revisar operaciones de ventana y plan físico; puede forzar procesamiento en una partición.</w:t>
            </w:r>
          </w:p>
        </w:tc>
      </w:tr>
      <w:tr>
        <w:tc>
          <w:tcPr>
            <w:tcW w:type="dxa" w:w="4853"/>
            <w:vAlign w:val="center"/>
            <w:tcMar>
              <w:top w:w="75" w:type="dxa"/>
              <w:bottom w:w="75" w:type="dxa"/>
              <w:left w:w="90" w:type="dxa"/>
              <w:right w:w="90" w:type="dxa"/>
            </w:tcMar>
          </w:tcPr>
          <w:p>
            <w:pPr>
              <w:spacing w:after="0" w:before="20"/>
            </w:pPr>
            <w:r>
              <w:rPr>
                <w:sz w:val="17"/>
              </w:rPr>
              <w:t>Variabilidad entre repeticiones</w:t>
            </w:r>
          </w:p>
        </w:tc>
        <w:tc>
          <w:tcPr>
            <w:tcW w:type="dxa" w:w="4853"/>
            <w:vAlign w:val="center"/>
            <w:tcMar>
              <w:top w:w="75" w:type="dxa"/>
              <w:bottom w:w="75" w:type="dxa"/>
              <w:left w:w="90" w:type="dxa"/>
              <w:right w:w="90" w:type="dxa"/>
            </w:tcMar>
          </w:tcPr>
          <w:p>
            <w:pPr>
              <w:spacing w:after="0" w:before="20"/>
            </w:pPr>
            <w:r>
              <w:rPr>
                <w:sz w:val="17"/>
              </w:rPr>
              <w:t>Separar corridas frías/calientes y aleatorizar orden; comparar más de dos repeticiones.</w:t>
            </w:r>
          </w:p>
        </w:tc>
      </w:tr>
      <w:tr>
        <w:tc>
          <w:tcPr>
            <w:tcW w:type="dxa" w:w="4853"/>
            <w:vAlign w:val="center"/>
            <w:tcMar>
              <w:top w:w="75" w:type="dxa"/>
              <w:bottom w:w="75" w:type="dxa"/>
              <w:left w:w="90" w:type="dxa"/>
              <w:right w:w="90" w:type="dxa"/>
            </w:tcMar>
          </w:tcPr>
          <w:p>
            <w:pPr>
              <w:spacing w:after="0" w:before="20"/>
            </w:pPr>
            <w:r>
              <w:rPr>
                <w:sz w:val="17"/>
              </w:rPr>
              <w:t>Gold más costoso con 200</w:t>
            </w:r>
          </w:p>
        </w:tc>
        <w:tc>
          <w:tcPr>
            <w:tcW w:type="dxa" w:w="4853"/>
            <w:vAlign w:val="center"/>
            <w:tcMar>
              <w:top w:w="75" w:type="dxa"/>
              <w:bottom w:w="75" w:type="dxa"/>
              <w:left w:w="90" w:type="dxa"/>
              <w:right w:w="90" w:type="dxa"/>
            </w:tcMar>
          </w:tcPr>
          <w:p>
            <w:pPr>
              <w:spacing w:after="0" w:before="20"/>
            </w:pPr>
            <w:r>
              <w:rPr>
                <w:sz w:val="17"/>
              </w:rPr>
              <w:t>Perfilar agregaciones, acciones y escritura; revisar número de tareas y particiones efectivas.</w:t>
            </w:r>
          </w:p>
        </w:tc>
      </w:tr>
      <w:tr>
        <w:tc>
          <w:tcPr>
            <w:tcW w:type="dxa" w:w="4853"/>
            <w:vAlign w:val="center"/>
            <w:tcMar>
              <w:top w:w="75" w:type="dxa"/>
              <w:bottom w:w="75" w:type="dxa"/>
              <w:left w:w="90" w:type="dxa"/>
              <w:right w:w="90" w:type="dxa"/>
            </w:tcMar>
          </w:tcPr>
          <w:p>
            <w:pPr>
              <w:spacing w:after="0" w:before="20"/>
            </w:pPr>
            <w:r>
              <w:rPr>
                <w:sz w:val="17"/>
              </w:rPr>
              <w:t>Shuffle no es partición de salida</w:t>
            </w:r>
          </w:p>
        </w:tc>
        <w:tc>
          <w:tcPr>
            <w:tcW w:type="dxa" w:w="4853"/>
            <w:vAlign w:val="center"/>
            <w:tcMar>
              <w:top w:w="75" w:type="dxa"/>
              <w:bottom w:w="75" w:type="dxa"/>
              <w:left w:w="90" w:type="dxa"/>
              <w:right w:w="90" w:type="dxa"/>
            </w:tcMar>
          </w:tcPr>
          <w:p>
            <w:pPr>
              <w:spacing w:after="0" w:before="20"/>
            </w:pPr>
            <w:r>
              <w:rPr>
                <w:sz w:val="17"/>
              </w:rPr>
              <w:t>Las salidas Gold de una partición no verifican por sí solas el valor de shuffle; inspeccionar Spark UI.</w:t>
            </w:r>
          </w:p>
        </w:tc>
      </w:tr>
    </w:tbl>
    <w:p>
      <w:pPr>
        <w:pStyle w:val="Heading1"/>
      </w:pPr>
      <w:r>
        <w:t>7. Limitaciones de la evaluación</w:t>
      </w:r>
    </w:p>
    <w:p>
      <w:pPr>
        <w:pStyle w:val="ListBullet"/>
        <w:spacing w:after="60"/>
      </w:pPr>
      <w:r>
        <w:t>Se dispone de dos repeticiones comparativas por combinación, más dos pilotos de 5.000 filas; la muestra es pequeña y no se estiman intervalos de confianza.</w:t>
      </w:r>
    </w:p>
    <w:p>
      <w:pPr>
        <w:pStyle w:val="ListBullet"/>
        <w:spacing w:after="60"/>
      </w:pPr>
      <w:r>
        <w:t>Las configuraciones se ejecutaron en sesiones distintas y en un orden no aleatorizado; la variación entre repeticiones y el calentamiento de Spark pueden afectar la comparación.</w:t>
      </w:r>
    </w:p>
    <w:p>
      <w:pPr>
        <w:pStyle w:val="ListBullet"/>
        <w:spacing w:after="60"/>
      </w:pPr>
      <w:r>
        <w:t>La ampliación sintética repite patrones de transacciones, fechas, usuarios y categorías; no reproduce necesariamente la cardinalidad, el sesgo de claves o la variabilidad de un entorno real.</w:t>
      </w:r>
    </w:p>
    <w:p>
      <w:pPr>
        <w:pStyle w:val="ListBullet"/>
        <w:spacing w:after="60"/>
      </w:pPr>
      <w:r>
        <w:t>Los CSV registran tiempos por fase, pero no memoria pico, CPU, spill, distribución de tareas ni planes físicos; no es posible atribuir causalmente el resultado a un recurso concreto.</w:t>
      </w:r>
    </w:p>
    <w:p>
      <w:pPr>
        <w:pStyle w:val="ListBullet"/>
        <w:spacing w:after="60"/>
      </w:pPr>
      <w:r>
        <w:t>El experimento corresponde a Spark local y escritura Parquet; no valida directamente infraestructura Azure, Delta Lake ni escalabilidad distribuida. El conteo de particiones de los archivos Gold no equivale al valor configurado para shuffle.</w:t>
      </w:r>
    </w:p>
    <w:p>
      <w:pPr>
        <w:pStyle w:val="Heading1"/>
      </w:pPr>
      <w:r>
        <w:t>8. Conclusiones y recomendaciones</w:t>
      </w:r>
    </w:p>
    <w:p>
      <w:r>
        <w:t>DATAMARCA completó correctamente las 22 ejecuciones de esta campaña, incluyendo hasta 180.000 registros de entrada por escenario. En los cinco volúmenes, 8 particiones obtuvo menores tiempos medianos que 200, con reducciones observadas de 65,9 % a 79,9 %. La comparación es válida como evidencia local para esta configuración, sin establecer un óptimo general ni una curva de escalabilidad extrapolable.</w:t>
      </w:r>
    </w:p>
    <w:p>
      <w:r>
        <w:t>Se recomienda: (1) probar otras configuraciones intermedias (p. ej., 16, 32 y 64); (2) repetir las pruebas con orden aleatorizado y mayor número de corridas; (3) perfilar las operaciones de ventana y las escrituras Gold con explain() y Spark UI; (4) capturar CPU, memoria, spill y tareas; y (5) validar la configuración elegida con datos y recursos representativos de producción.</w:t>
      </w:r>
    </w:p>
    <w:p>
      <w:pPr>
        <w:pStyle w:val="Heading1"/>
      </w:pPr>
      <w:r>
        <w:t>9. Trazabilidad de evidencias</w:t>
      </w:r>
    </w:p>
    <w:p>
      <w:r>
        <w:t>Evidencias nuevas: DATAMARCA_5_1_resultados_consolidados.csv (22 filas, incluye pilotos y procedencia) y DATAMARCA_5_1_resumen_comparativo.csv (10 combinaciones, pilotos excluidos). Figuras: datamarca_5_1_tiempos.png, datamarca_5_1_rendimiento.png y datamarca_5_1_etapas.png. Los ocho CSV originales se conservaron como respaldo de los valores calculados.</w:t>
      </w:r>
    </w:p>
    <w:p>
      <w:r>
        <w:t>Instrumento: src/performance/benchmark_5_1.py, invocado mediante python src/main.py --benchmark con SHUFFLE_PARTITIONS=8 o 200. El código y el informe inicial ya se habían incorporado a la rama joel; esta actualización documental no modifica la rama main ni ejecuta operaciones de Git.</w:t>
      </w:r>
    </w:p>
    <w:p>
      <w:r>
        <w:br w:type="page"/>
      </w:r>
    </w:p>
    <w:p>
      <w:pPr>
        <w:pStyle w:val="Heading1"/>
      </w:pPr>
      <w:r>
        <w:t>Anexo A. Prueba P2: incremento de carga 3x</w:t>
      </w:r>
    </w:p>
    <w:p>
      <w:r>
        <w:t>Propósito. Complementar la evaluación de volumen del punto 5.1 con la comparación explícita exigida por la prueba P2 del diseño: una carga base (1x) frente a una carga triple (3x).</w:t>
      </w:r>
    </w:p>
    <w:p>
      <w:r>
        <w:t>Procedimiento. Se ejecutó el benchmark local en PySpark con 8 particiones de shuffle, dos repeticiones por volumen y archivos sintéticos derivados de las mismas fuentes CSV y JSON. La carga base fue de 5.000 transacciones y 5.000 logs; la carga 3x fue de 15.000 transacciones y 15.000 logs. Las mediciones P2 se almacenaron en un CSV independiente; no forman parte de las 22 corridas de la campaña comparativa principal.</w:t>
      </w:r>
    </w:p>
    <w:tbl>
      <w:tblPr>
        <w:tblStyle w:val="TableGrid"/>
        <w:tblW w:type="auto" w:w="0"/>
        <w:tblLook w:firstColumn="1" w:firstRow="1" w:lastColumn="0" w:lastRow="0" w:noHBand="0" w:noVBand="1" w:val="04A0"/>
      </w:tblPr>
      <w:tblGrid>
        <w:gridCol w:w="1941"/>
        <w:gridCol w:w="1941"/>
        <w:gridCol w:w="1941"/>
        <w:gridCol w:w="1941"/>
        <w:gridCol w:w="1941"/>
      </w:tblGrid>
      <w:tr>
        <w:tc>
          <w:tcPr>
            <w:tcW w:type="dxa" w:w="1941"/>
          </w:tcPr>
          <w:p>
            <w:r>
              <w:rPr>
                <w:sz w:val="17"/>
              </w:rPr>
              <w:t>Escenario</w:t>
            </w:r>
          </w:p>
        </w:tc>
        <w:tc>
          <w:tcPr>
            <w:tcW w:type="dxa" w:w="1941"/>
          </w:tcPr>
          <w:p>
            <w:r>
              <w:rPr>
                <w:sz w:val="17"/>
              </w:rPr>
              <w:t>Tx + logs</w:t>
            </w:r>
          </w:p>
        </w:tc>
        <w:tc>
          <w:tcPr>
            <w:tcW w:type="dxa" w:w="1941"/>
          </w:tcPr>
          <w:p>
            <w:r>
              <w:rPr>
                <w:sz w:val="17"/>
              </w:rPr>
              <w:t>Corrida 1 (s)</w:t>
            </w:r>
          </w:p>
        </w:tc>
        <w:tc>
          <w:tcPr>
            <w:tcW w:type="dxa" w:w="1941"/>
          </w:tcPr>
          <w:p>
            <w:r>
              <w:rPr>
                <w:sz w:val="17"/>
              </w:rPr>
              <w:t>Corrida 2 (s)</w:t>
            </w:r>
          </w:p>
        </w:tc>
        <w:tc>
          <w:tcPr>
            <w:tcW w:type="dxa" w:w="1941"/>
          </w:tcPr>
          <w:p>
            <w:r>
              <w:rPr>
                <w:sz w:val="17"/>
              </w:rPr>
              <w:t>Mediana (s)</w:t>
            </w:r>
          </w:p>
        </w:tc>
      </w:tr>
      <w:tr>
        <w:tc>
          <w:tcPr>
            <w:tcW w:type="dxa" w:w="1941"/>
          </w:tcPr>
          <w:p>
            <w:r>
              <w:rPr>
                <w:sz w:val="17"/>
              </w:rPr>
              <w:t>Base 1x</w:t>
            </w:r>
          </w:p>
        </w:tc>
        <w:tc>
          <w:tcPr>
            <w:tcW w:type="dxa" w:w="1941"/>
          </w:tcPr>
          <w:p>
            <w:r>
              <w:rPr>
                <w:sz w:val="17"/>
              </w:rPr>
              <w:t>5,000 + 5,000</w:t>
            </w:r>
          </w:p>
        </w:tc>
        <w:tc>
          <w:tcPr>
            <w:tcW w:type="dxa" w:w="1941"/>
          </w:tcPr>
          <w:p>
            <w:r>
              <w:rPr>
                <w:sz w:val="17"/>
              </w:rPr>
              <w:t>12.960</w:t>
            </w:r>
          </w:p>
        </w:tc>
        <w:tc>
          <w:tcPr>
            <w:tcW w:type="dxa" w:w="1941"/>
          </w:tcPr>
          <w:p>
            <w:r>
              <w:rPr>
                <w:sz w:val="17"/>
              </w:rPr>
              <w:t>7.471</w:t>
            </w:r>
          </w:p>
        </w:tc>
        <w:tc>
          <w:tcPr>
            <w:tcW w:type="dxa" w:w="1941"/>
          </w:tcPr>
          <w:p>
            <w:r>
              <w:rPr>
                <w:sz w:val="17"/>
              </w:rPr>
              <w:t>10.2155</w:t>
            </w:r>
          </w:p>
        </w:tc>
      </w:tr>
      <w:tr>
        <w:tc>
          <w:tcPr>
            <w:tcW w:type="dxa" w:w="1941"/>
          </w:tcPr>
          <w:p>
            <w:r>
              <w:rPr>
                <w:sz w:val="17"/>
              </w:rPr>
              <w:t>Carga 3x</w:t>
            </w:r>
          </w:p>
        </w:tc>
        <w:tc>
          <w:tcPr>
            <w:tcW w:type="dxa" w:w="1941"/>
          </w:tcPr>
          <w:p>
            <w:r>
              <w:rPr>
                <w:sz w:val="17"/>
              </w:rPr>
              <w:t>15,000 + 15,000</w:t>
            </w:r>
          </w:p>
        </w:tc>
        <w:tc>
          <w:tcPr>
            <w:tcW w:type="dxa" w:w="1941"/>
          </w:tcPr>
          <w:p>
            <w:r>
              <w:rPr>
                <w:sz w:val="17"/>
              </w:rPr>
              <w:t>6.881</w:t>
            </w:r>
          </w:p>
        </w:tc>
        <w:tc>
          <w:tcPr>
            <w:tcW w:type="dxa" w:w="1941"/>
          </w:tcPr>
          <w:p>
            <w:r>
              <w:rPr>
                <w:sz w:val="17"/>
              </w:rPr>
              <w:t>6.822</w:t>
            </w:r>
          </w:p>
        </w:tc>
        <w:tc>
          <w:tcPr>
            <w:tcW w:type="dxa" w:w="1941"/>
          </w:tcPr>
          <w:p>
            <w:r>
              <w:rPr>
                <w:sz w:val="17"/>
              </w:rPr>
              <w:t>6.8515</w:t>
            </w:r>
          </w:p>
        </w:tc>
      </w:tr>
    </w:tbl>
    <w:p>
      <w:pPr>
        <w:jc w:val="center"/>
      </w:pPr>
      <w:r>
        <w:drawing>
          <wp:inline xmlns:a="http://schemas.openxmlformats.org/drawingml/2006/main" xmlns:pic="http://schemas.openxmlformats.org/drawingml/2006/picture">
            <wp:extent cx="5303520" cy="2283941"/>
            <wp:docPr id="6" name="Picture 6"/>
            <wp:cNvGraphicFramePr>
              <a:graphicFrameLocks noChangeAspect="1"/>
            </wp:cNvGraphicFramePr>
            <a:graphic>
              <a:graphicData uri="http://schemas.openxmlformats.org/drawingml/2006/picture">
                <pic:pic>
                  <pic:nvPicPr>
                    <pic:cNvPr id="0" name="DATAMARCA_5_1_P2_3x_comparacion.png"/>
                    <pic:cNvPicPr/>
                  </pic:nvPicPr>
                  <pic:blipFill>
                    <a:blip r:embed="rId15"/>
                    <a:stretch>
                      <a:fillRect/>
                    </a:stretch>
                  </pic:blipFill>
                  <pic:spPr>
                    <a:xfrm>
                      <a:off x="0" y="0"/>
                      <a:ext cx="5303520" cy="2283941"/>
                    </a:xfrm>
                    <a:prstGeom prst="rect"/>
                  </pic:spPr>
                </pic:pic>
              </a:graphicData>
            </a:graphic>
          </wp:inline>
        </w:drawing>
      </w:r>
    </w:p>
    <w:p>
      <w:pPr>
        <w:pStyle w:val="FigureCaption"/>
      </w:pPr>
      <w:r>
        <w:t>Figura A1. Comparación P2 con dos ejecuciones por escenario; tiempo total mediano en segundos.</w:t>
      </w:r>
    </w:p>
    <w:p>
      <w:r>
        <w:t>Resultado observado. La mediana fue de 10.2155 s para 1x y 6.8515 s para 3x, una disminución relativa de 32.9 % en esta muestra. Las cuatro ejecuciones terminaron con estado ok e integrity_ok=True; coinciden los conteos de entrada y los del join, así como los montos agregados antes y después del join.</w:t>
      </w:r>
    </w:p>
    <w:p>
      <w:r>
        <w:t>Interpretación y límites. La ejecución exitosa de 3x constituye evidencia funcional de carga ampliada del prototipo local, no una demostración de capacidad para soportar picos de producción. El tiempo menor en 3x no demuestra escalabilidad superlineal ni un beneficio causal del aumento de datos: las primeras corridas pudieron verse afectadas por calentamiento, cachés y variación del sistema. El ensayo usa patrones sintéticos repetidos, un único equipo y solo dos repeticiones por volumen; no reproduce un entorno distribuido, las cifras de 50 millones de transacciones diarias ni los objetivos de disponibilidad y costos del diseño.</w:t>
      </w:r>
    </w:p>
    <w:p>
      <w:r>
        <w:t>Trazabilidad. Evidencia primaria: DATAMARCA_5_1_prueba_P2_3x.csv (4 corridas), generado con SHUFFLE_PARTITIONS=8 mediante src/main.py --benchmark --sizes 5000 15000 --repeats 2. La prueba se incorpora como anexo documental posterior a la campaña de 22 ejecuciones ya descrita en las secciones anteriores.</w:t>
      </w:r>
    </w:p>
    <w:sectPr w:rsidR="00FC693F" w:rsidRPr="0006063C" w:rsidSect="00034616">
      <w:footerReference w:type="default" r:id="rId9"/>
      <w:pgSz w:w="12240" w:h="15840"/>
      <w:pgMar w:top="1123" w:right="1267" w:bottom="1008"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D8792"/>
        <w:sz w:val="16"/>
      </w:rPr>
      <w:t>DATAMARCA  |  Evaluación de rendimiento 5.1  |  30 de octubre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120" w:line="264" w:lineRule="auto"/>
    </w:pPr>
    <w:rPr>
      <w:rFonts w:ascii="Carlito" w:hAnsi="Carlito"/>
      <w:color w:val="2734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rlito" w:hAnsi="Carlito"/>
      <w:b/>
      <w:bCs/>
      <w:color w:val="173B59"/>
      <w:sz w:val="27"/>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rlito" w:hAnsi="Carlito"/>
      <w:b/>
      <w:bCs/>
      <w:color w:val="0A7C8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b/>
      <w:color w:val="173B59"/>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pPr>
    <w:rPr>
      <w:rFonts w:ascii="Carlito" w:hAnsi="Carlito"/>
      <w:i/>
      <w:color w:val="5A6875"/>
      <w:sz w:val="17"/>
    </w:rPr>
  </w:style>
  <w:style w:type="paragraph" w:customStyle="1" w:styleId="MainReportTitle">
    <w:name w:val="Main Report Title"/>
    <w:pPr>
      <w:spacing w:after="240"/>
    </w:pPr>
    <w:rPr>
      <w:rFonts w:ascii="Carlito" w:hAnsi="Carlito"/>
      <w:b/>
      <w:color w:val="173B59"/>
      <w:sz w:val="46"/>
    </w:rPr>
  </w:style>
  <w:style w:type="paragraph" w:customStyle="1" w:styleId="ReportMeta">
    <w:name w:val="Report Meta"/>
    <w:pPr>
      <w:spacing w:after="100"/>
    </w:pPr>
    <w:rPr>
      <w:rFonts w:ascii="Carlito" w:hAnsi="Carlito"/>
      <w:color w:val="556678"/>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