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2C91"/>
          <w:sz w:val="26"/>
          <w:szCs w:val="26"/>
        </w:rPr>
        <w:t xml:space="preserve">INFORME GERENCIAL — Detección de Fraude con Tarjeta de Crédito</w:t>
      </w:r>
    </w:p>
    <w:p>
      <w:pPr>
        <w:spacing w:after="160"/>
      </w:pPr>
      <w:r>
        <w:rPr>
          <w:i/>
          <w:iCs/>
          <w:color w:val="555555"/>
          <w:sz w:val="16"/>
          <w:szCs w:val="16"/>
        </w:rPr>
        <w:t xml:space="preserve">Red de Tarjetas · Consultoría externa de analítica de fraude · Análisis sobre 284,807 transacciones reales de tarjetahabientes europeos (sep. 2013; 492 fraudes, 0.172%).</w:t>
      </w:r>
    </w:p>
    <w:p>
      <w:pPr>
        <w:pBdr>
          <w:bottom w:val="single" w:color="6B2C91" w:sz="6" w:space="2"/>
        </w:pBdr>
        <w:spacing w:after="60" w:before="120"/>
      </w:pPr>
      <w:r>
        <w:rPr>
          <w:b/>
          <w:bCs/>
          <w:color w:val="6B2C91"/>
          <w:sz w:val="22"/>
          <w:szCs w:val="22"/>
        </w:rPr>
        <w:t xml:space="preserve">Resumen ejecutivo</w:t>
      </w:r>
    </w:p>
    <w:p>
      <w:pPr>
        <w:spacing w:after="80"/>
      </w:pPr>
      <w:r>
        <w:rPr>
          <w:sz w:val="18"/>
          <w:szCs w:val="18"/>
        </w:rPr>
        <w:t xml:space="preserve">El sistema actual arriesga confundir "precisión aparente" con utilidad real. Con un prior de fraude de apenas 0.172%, incluso una regla de alerta con 82.3% de sensibilidad y 99.3% de especificidad deja una probabilidad posterior de fraude de solo 16.96%: de cada 6 alertas, 5 son falsas. La entropía casi nula de la variable objetivo (0.018 bits) confirma que un modelo "perezoso" que siempre prediga "legítima" ya logra 99.8% de exactitud, por lo que exactitud y precisión NO deben usarse para evaluar el sistema. La recomendación inmediata es rediseñar el criterio de éxito del modelo alrededor del recall (91.8% logrado con pesos balanceados) y tratar toda alerta como un candidato a revisión humana, nunca como bloqueo automático.</w:t>
      </w:r>
    </w:p>
    <w:p>
      <w:pPr>
        <w:pBdr>
          <w:bottom w:val="single" w:color="6B2C91" w:sz="6" w:space="2"/>
        </w:pBdr>
        <w:spacing w:after="60" w:before="120"/>
      </w:pPr>
      <w:r>
        <w:rPr>
          <w:b/>
          <w:bCs/>
          <w:color w:val="6B2C91"/>
          <w:sz w:val="22"/>
          <w:szCs w:val="22"/>
        </w:rPr>
        <w:t xml:space="preserve">Hallazgos por concepto estadístico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540"/>
      </w:tblGrid>
      <w:tr>
        <w:trPr>
          <w:tblHeader/>
        </w:trPr>
        <w:tc>
          <w:tcPr>
            <w:tcW w:type="dxa" w:w="1900"/>
            <w:shd w:fill="6B2C9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4200"/>
            <w:shd w:fill="6B2C9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Hallazgo (cifra propia)</w:t>
            </w:r>
          </w:p>
        </w:tc>
        <w:tc>
          <w:tcPr>
            <w:tcW w:type="dxa" w:w="3540"/>
            <w:shd w:fill="6B2C91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Implicación de negocio</w:t>
            </w:r>
          </w:p>
        </w:tc>
      </w:tr>
      <w:tr>
        <w:tc>
          <w:tcPr>
            <w:tcW w:type="dxa" w:w="19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Prob. condicional</w:t>
            </w:r>
          </w:p>
        </w:tc>
        <w:tc>
          <w:tcPr>
            <w:tcW w:type="dxa" w:w="42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P(Fraude)=0.173% (prior). P(Fraude|Monto&gt;$500)=0.383% (2.2x el prior); P(Fraude|Monto&gt;$1,000)=0.306%.</w:t>
            </w:r>
          </w:p>
        </w:tc>
        <w:tc>
          <w:tcPr>
            <w:tcW w:type="dxa" w:w="354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El monto por sí solo es una señal débil y no monótona: no sirve como único filtro de alerta.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Teorema de Bayes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Regla V14&lt;-3.0: sensibilidad 82.3%, especificidad 99.3%. Aun así, P(Fraude|Alerta)=16.96% vía Bayes.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Paradoja de precisión: de cada 6 alertas, 5 son falsas. Toda alerta debe pasar a revisión humana, no a bloqueo automático.</w:t>
            </w:r>
          </w:p>
        </w:tc>
      </w:tr>
      <w:tr>
        <w:tc>
          <w:tcPr>
            <w:tcW w:type="dxa" w:w="19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Verosimilitud / MLE</w:t>
            </w:r>
          </w:p>
        </w:tc>
        <w:tc>
          <w:tcPr>
            <w:tcW w:type="dxa" w:w="42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V14 ajustada por MLE: legítimas μ=0.01, σ=0.90; fraudes μ=-6.97, σ=4.27 (separación de ~7 desviaciones).</w:t>
            </w:r>
          </w:p>
        </w:tc>
        <w:tc>
          <w:tcPr>
            <w:tcW w:type="dxa" w:w="354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V14 es la señal individual más discriminante hallada; base cuantitativa para fijar el umbral de alerta.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Distribuciones paramétricas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QQ-plots de V14, V12 y V17 muestran buen ajuste central a Normal, con colas más pesadas que la Gaussiana (outliers en ambos extremos).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El supuesto Gaussiano es útil pero no perfecto: los casos extremos (colas) merecen reglas de negocio adicionales, no solo un modelo paramétrico.</w:t>
            </w:r>
          </w:p>
        </w:tc>
      </w:tr>
      <w:tr>
        <w:tc>
          <w:tcPr>
            <w:tcW w:type="dxa" w:w="19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Esperanza y Varianza</w:t>
            </w:r>
          </w:p>
        </w:tc>
        <w:tc>
          <w:tcPr>
            <w:tcW w:type="dxa" w:w="42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Monto promedio: legítimas $88.29 (var=62,553) vs. fraude $122.21 (var=65,886).</w:t>
            </w:r>
          </w:p>
        </w:tc>
        <w:tc>
          <w:tcPr>
            <w:tcW w:type="dxa" w:w="354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El fraude tiende a montos algo mayores, pero la dispersión es similar: el monto no es palanca principal de detección.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Independencia y Correlación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Componentes PCA prácticamente ortogonales entre sí (corr≈1e-16). Corr(Monto,Clase)=0.006; Corr(Tiempo,Clase)=-0.012.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Ninguna variable aislada correlaciona con el fraude: se requiere un modelo multivariado, no reglas de una sola variable.</w:t>
            </w:r>
          </w:p>
        </w:tc>
      </w:tr>
      <w:tr>
        <w:tc>
          <w:tcPr>
            <w:tcW w:type="dxa" w:w="19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Prior y Posterior</w:t>
            </w:r>
          </w:p>
        </w:tc>
        <w:tc>
          <w:tcPr>
            <w:tcW w:type="dxa" w:w="42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Prior 0.173% → Posterior 16.96% al combinar con la alerta V14&lt;-3.0 (Bayes).</w:t>
            </w:r>
          </w:p>
        </w:tc>
        <w:tc>
          <w:tcPr>
            <w:tcW w:type="dxa" w:w="354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Pieza central del caso de negocio: con un prior tan bajo, incluso pruebas muy buenas dejan mayoría de falsos positivos.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Entropía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H(Clase)=0.018 bits, frente a un máximo teórico de 1 bit si estuviera balanceada.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El problema es casi "trivial" en apariencia (siempre predecir "legítima" da 99.8% de exactitud); la exactitud NO es métrica útil aquí.</w:t>
            </w:r>
          </w:p>
        </w:tc>
      </w:tr>
      <w:tr>
        <w:tc>
          <w:tcPr>
            <w:tcW w:type="dxa" w:w="19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Entropía cruzada</w:t>
            </w:r>
          </w:p>
        </w:tc>
        <w:tc>
          <w:tcPr>
            <w:tcW w:type="dxa" w:w="420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Log-loss modelo estándar=0.0045 vs. modelo balanceado=0.1096; el balanceado detecta 91.8% de fraudes reales (recall).</w:t>
            </w:r>
          </w:p>
        </w:tc>
        <w:tc>
          <w:tcPr>
            <w:tcW w:type="dxa" w:w="3540"/>
            <w:shd w:fill="F2E9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Un menor log-loss/mayor "precisión" puede esconder un modelo inútil (recall≈0). El KPI de despliegue debe ser recall, no loss ni accuracy.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2C91"/>
                <w:sz w:val="16"/>
                <w:szCs w:val="16"/>
              </w:rPr>
              <w:t xml:space="preserve">Divergencia KL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Top informativas: V17 (9.11 bits), V12 (8.75), V14 (7.91), V10 (7.41), V16 (6.91). Menos informativas: V15, V13, V26, V20, V24 (&lt;0.12 bits).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Priorizar V17/V12/V14/V10/V16 en el monitoreo y en el rediseño del modelo; las 5 de menor KL aportan prácticamente ruido.</w:t>
            </w:r>
          </w:p>
        </w:tc>
      </w:tr>
    </w:tbl>
    <w:p>
      <w:pPr>
        <w:pBdr>
          <w:bottom w:val="single" w:color="6B2C91" w:sz="6" w:space="2"/>
        </w:pBdr>
        <w:spacing w:after="60" w:before="120"/>
      </w:pPr>
      <w:r>
        <w:rPr>
          <w:b/>
          <w:bCs/>
          <w:color w:val="6B2C91"/>
          <w:sz w:val="22"/>
          <w:szCs w:val="22"/>
        </w:rPr>
        <w:t xml:space="preserve">Recomendaciones accionables</w:t>
      </w:r>
    </w:p>
    <w:p>
      <w:pPr>
        <w:spacing w:after="80"/>
      </w:pPr>
      <w:r>
        <w:rPr>
          <w:sz w:val="18"/>
          <w:szCs w:val="18"/>
        </w:rPr>
        <w:t xml:space="preserve">1. Redefinir el KPI del modelo: usar recall (sensibilidad) y F1 como métricas de aceptación del modelo de producción, no exactitud ni log-loss por sí solos — ambas son engañosas bajo un desbalance de 1:578.</w:t>
      </w:r>
    </w:p>
    <w:p>
      <w:pPr>
        <w:spacing w:after="80"/>
      </w:pPr>
      <w:r>
        <w:rPr>
          <w:sz w:val="18"/>
          <w:szCs w:val="18"/>
        </w:rPr>
        <w:t xml:space="preserve">2. Alerta = revisión, no bloqueo: con un posterior real de 16.96% dado el disparo de la regla V14&lt;-3.0, cada alerta debe enrutarse a un analista humano o a una segunda señal, nunca a un rechazo automático de la transacción.</w:t>
      </w:r>
    </w:p>
    <w:p>
      <w:pPr>
        <w:spacing w:after="80"/>
      </w:pPr>
      <w:r>
        <w:rPr>
          <w:sz w:val="18"/>
          <w:szCs w:val="18"/>
        </w:rPr>
        <w:t xml:space="preserve">3. Priorizar 5 componentes en el monitoreo (V17, V12, V14, V10, V16, según divergencia KL) para el rediseño de reglas y reentrenamiento; despriorizar las de menor KL (V15, V13, V26, V20, V24).</w:t>
      </w:r>
    </w:p>
    <w:p>
      <w:pPr>
        <w:spacing w:after="80"/>
      </w:pPr>
      <w:r>
        <w:rPr>
          <w:sz w:val="18"/>
          <w:szCs w:val="18"/>
        </w:rPr>
        <w:t xml:space="preserve">4. Validar en producción antes de escalar: monitorear el posterior real (no solo sensibilidad/especificidad) en un piloto controlado, dado que el prior de fraude puede variar por temporada o canal.</w:t>
      </w:r>
    </w:p>
    <w:p>
      <w:pPr>
        <w:pBdr>
          <w:top w:val="single" w:color="CCCCCC" w:sz="4" w:space="4"/>
        </w:pBdr>
        <w:spacing w:before="120"/>
      </w:pPr>
      <w:r>
        <w:rPr>
          <w:i/>
          <w:iCs/>
          <w:color w:val="555555"/>
          <w:sz w:val="15"/>
          <w:szCs w:val="15"/>
        </w:rPr>
        <w:t xml:space="preserve">Metodología y fuente de datos: Análisis en Python (pandas, scipy, scikit-learn) sobre el dataset Credit Card Fraud Detection (ULB Machine Learning Group vía Kaggle), 284,807 transacciones, 30 variables (V1...V28 por PCA, Time, Amount) y variable objetivo Class. Partición 80/20 estratificada para el modelo predictivo. Código fuente y detalle de cálculos disponibles en el notebook adjunto.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2026-08-23T02:56:37.336Z</dcterms:created>
  <dcterms:modified xsi:type="dcterms:W3CDTF">2026-08-23T02:56:37.336Z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