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Informe de ejemplo (datos sintéticos)</w:t>
      </w:r>
    </w:p>
    <w:p>
      <w:r>
        <w:rPr>
          <w:i/>
        </w:rPr>
        <w:t>Generado el 22/10/2026</w:t>
      </w:r>
    </w:p>
    <w:p>
      <w:pPr>
        <w:pStyle w:val="Heading2"/>
      </w:pPr>
      <w:r>
        <w:rPr>
          <w:rFonts w:ascii="Times New Roman" w:hAnsi="Times New Roman"/>
          <w:color w:val="000000"/>
        </w:rPr>
        <w:t>Perfil de la base de datos</w:t>
      </w:r>
    </w:p>
    <w:p>
      <w:r>
        <w:rPr>
          <w:b/>
        </w:rPr>
        <w:t>Prueba aplicada:</w:t>
      </w:r>
      <w:r>
        <w:t xml:space="preserve"> Diagnóstico previo: tipos de variable, datos faltantes, distribución y atípicos</w:t>
      </w:r>
    </w:p>
    <w:p>
      <w:pPr>
        <w:keepNext/>
      </w:pPr>
      <w:r>
        <w:rPr>
          <w:b/>
        </w:rPr>
        <w:t>Tabla 1</w:t>
      </w:r>
    </w:p>
    <w:p>
      <w:pPr>
        <w:keepNext/>
      </w:pPr>
      <w:r>
        <w:rPr>
          <w:i/>
        </w:rPr>
        <w:t>Perfil de las variables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1"/>
        <w:gridCol w:w="1508"/>
        <w:gridCol w:w="691"/>
        <w:gridCol w:w="754"/>
        <w:gridCol w:w="691"/>
        <w:gridCol w:w="691"/>
        <w:gridCol w:w="691"/>
        <w:gridCol w:w="691"/>
        <w:gridCol w:w="1508"/>
        <w:gridCol w:w="1005"/>
      </w:tblGrid>
      <w:tr>
        <w:tc>
          <w:tcPr>
            <w:tcW w:type="dxa" w:w="1131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6"/>
              </w:rPr>
              <w:t>Variable</w:t>
            </w:r>
          </w:p>
        </w:tc>
        <w:tc>
          <w:tcPr>
            <w:tcW w:type="dxa" w:w="150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Tipo detectado</w:t>
            </w:r>
          </w:p>
        </w:tc>
        <w:tc>
          <w:tcPr>
            <w:tcW w:type="dxa" w:w="691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n válido</w:t>
            </w:r>
          </w:p>
        </w:tc>
        <w:tc>
          <w:tcPr>
            <w:tcW w:type="dxa" w:w="754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% faltante</w:t>
            </w:r>
          </w:p>
        </w:tc>
        <w:tc>
          <w:tcPr>
            <w:tcW w:type="dxa" w:w="691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91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DE</w:t>
            </w:r>
          </w:p>
        </w:tc>
        <w:tc>
          <w:tcPr>
            <w:tcW w:type="dxa" w:w="691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Asimetría</w:t>
            </w:r>
          </w:p>
        </w:tc>
        <w:tc>
          <w:tcPr>
            <w:tcW w:type="dxa" w:w="691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Curtosis</w:t>
            </w:r>
          </w:p>
        </w:tc>
        <w:tc>
          <w:tcPr>
            <w:tcW w:type="dxa" w:w="150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Normalidad</w:t>
            </w:r>
          </w:p>
        </w:tc>
        <w:tc>
          <w:tcPr>
            <w:tcW w:type="dxa" w:w="100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Atípicos (IQR)</w:t>
            </w:r>
          </w:p>
        </w:tc>
      </w:tr>
      <w:tr>
        <w:tc>
          <w:tcPr>
            <w:tcW w:type="dxa" w:w="1131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150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identificador (se ignora)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754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0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5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31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6"/>
              </w:rPr>
              <w:t>grupo</w:t>
            </w:r>
          </w:p>
        </w:tc>
        <w:tc>
          <w:tcPr>
            <w:tcW w:type="dxa" w:w="150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binaria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754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0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5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31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6"/>
              </w:rPr>
              <w:t>sexo</w:t>
            </w:r>
          </w:p>
        </w:tc>
        <w:tc>
          <w:tcPr>
            <w:tcW w:type="dxa" w:w="150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binaria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754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0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5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31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6"/>
              </w:rPr>
              <w:t>facultad</w:t>
            </w:r>
          </w:p>
        </w:tc>
        <w:tc>
          <w:tcPr>
            <w:tcW w:type="dxa" w:w="150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categórica (3 niveles)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754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0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5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31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6"/>
              </w:rPr>
              <w:t>edad</w:t>
            </w:r>
          </w:p>
        </w:tc>
        <w:tc>
          <w:tcPr>
            <w:tcW w:type="dxa" w:w="150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numérica continua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754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24.41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3.83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0.48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-0.03</w:t>
            </w:r>
          </w:p>
        </w:tc>
        <w:tc>
          <w:tcPr>
            <w:tcW w:type="dxa" w:w="150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K-S (Lilliefors): p = .009 (no normal)</w:t>
            </w:r>
          </w:p>
        </w:tc>
        <w:tc>
          <w:tcPr>
            <w:tcW w:type="dxa" w:w="1005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131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6"/>
              </w:rPr>
              <w:t>horas_estudio</w:t>
            </w:r>
          </w:p>
        </w:tc>
        <w:tc>
          <w:tcPr>
            <w:tcW w:type="dxa" w:w="150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numérica continua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145</w:t>
            </w:r>
          </w:p>
        </w:tc>
        <w:tc>
          <w:tcPr>
            <w:tcW w:type="dxa" w:w="754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3.33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6.34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2.89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0.84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0.71</w:t>
            </w:r>
          </w:p>
        </w:tc>
        <w:tc>
          <w:tcPr>
            <w:tcW w:type="dxa" w:w="150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K-S (Lilliefors): p = .046 (no normal)</w:t>
            </w:r>
          </w:p>
        </w:tc>
        <w:tc>
          <w:tcPr>
            <w:tcW w:type="dxa" w:w="1005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131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6"/>
              </w:rPr>
              <w:t>pretest</w:t>
            </w:r>
          </w:p>
        </w:tc>
        <w:tc>
          <w:tcPr>
            <w:tcW w:type="dxa" w:w="150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numérica continua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754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11.52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2.67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-0.25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-0.26</w:t>
            </w:r>
          </w:p>
        </w:tc>
        <w:tc>
          <w:tcPr>
            <w:tcW w:type="dxa" w:w="150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K-S (Lilliefors): p = .375 (normal)</w:t>
            </w:r>
          </w:p>
        </w:tc>
        <w:tc>
          <w:tcPr>
            <w:tcW w:type="dxa" w:w="1005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131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6"/>
              </w:rPr>
              <w:t>postest</w:t>
            </w:r>
          </w:p>
        </w:tc>
        <w:tc>
          <w:tcPr>
            <w:tcW w:type="dxa" w:w="150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numérica continua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754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12.78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3.26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0.19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-0.49</w:t>
            </w:r>
          </w:p>
        </w:tc>
        <w:tc>
          <w:tcPr>
            <w:tcW w:type="dxa" w:w="150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K-S (Lilliefors): p = .002 (no normal)</w:t>
            </w:r>
          </w:p>
        </w:tc>
        <w:tc>
          <w:tcPr>
            <w:tcW w:type="dxa" w:w="1005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1131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6"/>
              </w:rPr>
              <w:t>ansiedad</w:t>
            </w:r>
          </w:p>
        </w:tc>
        <w:tc>
          <w:tcPr>
            <w:tcW w:type="dxa" w:w="150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numérica continua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145</w:t>
            </w:r>
          </w:p>
        </w:tc>
        <w:tc>
          <w:tcPr>
            <w:tcW w:type="dxa" w:w="754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3.33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29.19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6.72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-0.16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-0.36</w:t>
            </w:r>
          </w:p>
        </w:tc>
        <w:tc>
          <w:tcPr>
            <w:tcW w:type="dxa" w:w="150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K-S (Lilliefors): p = .065 (normal)</w:t>
            </w:r>
          </w:p>
        </w:tc>
        <w:tc>
          <w:tcPr>
            <w:tcW w:type="dxa" w:w="1005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1131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6"/>
              </w:rPr>
              <w:t>satisfaccion</w:t>
            </w:r>
          </w:p>
        </w:tc>
        <w:tc>
          <w:tcPr>
            <w:tcW w:type="dxa" w:w="150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ordinal / Likert (posible)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754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3.35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0.90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-0.12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-0.14</w:t>
            </w:r>
          </w:p>
        </w:tc>
        <w:tc>
          <w:tcPr>
            <w:tcW w:type="dxa" w:w="150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K-S (Lilliefors): p &lt; .001 (no normal)</w:t>
            </w:r>
          </w:p>
        </w:tc>
        <w:tc>
          <w:tcPr>
            <w:tcW w:type="dxa" w:w="1005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31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6"/>
              </w:rPr>
              <w:t>satisf_1</w:t>
            </w:r>
          </w:p>
        </w:tc>
        <w:tc>
          <w:tcPr>
            <w:tcW w:type="dxa" w:w="150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ordinal / Likert (posible)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754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3.19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0.88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-0.25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-0.30</w:t>
            </w:r>
          </w:p>
        </w:tc>
        <w:tc>
          <w:tcPr>
            <w:tcW w:type="dxa" w:w="150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K-S (Lilliefors): p &lt; .001 (no normal)</w:t>
            </w:r>
          </w:p>
        </w:tc>
        <w:tc>
          <w:tcPr>
            <w:tcW w:type="dxa" w:w="1005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31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6"/>
              </w:rPr>
              <w:t>satisf_2</w:t>
            </w:r>
          </w:p>
        </w:tc>
        <w:tc>
          <w:tcPr>
            <w:tcW w:type="dxa" w:w="150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ordinal / Likert (posible)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754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3.07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0.84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0.21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-0.14</w:t>
            </w:r>
          </w:p>
        </w:tc>
        <w:tc>
          <w:tcPr>
            <w:tcW w:type="dxa" w:w="150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K-S (Lilliefors): p &lt; .001 (no normal)</w:t>
            </w:r>
          </w:p>
        </w:tc>
        <w:tc>
          <w:tcPr>
            <w:tcW w:type="dxa" w:w="1005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31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6"/>
              </w:rPr>
              <w:t>satisf_3</w:t>
            </w:r>
          </w:p>
        </w:tc>
        <w:tc>
          <w:tcPr>
            <w:tcW w:type="dxa" w:w="150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ordinal / Likert (posible)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754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3.19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0.81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-0.12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-0.21</w:t>
            </w:r>
          </w:p>
        </w:tc>
        <w:tc>
          <w:tcPr>
            <w:tcW w:type="dxa" w:w="150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K-S (Lilliefors): p &lt; .001 (no normal)</w:t>
            </w:r>
          </w:p>
        </w:tc>
        <w:tc>
          <w:tcPr>
            <w:tcW w:type="dxa" w:w="1005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31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6"/>
              </w:rPr>
              <w:t>satisf_4</w:t>
            </w:r>
          </w:p>
        </w:tc>
        <w:tc>
          <w:tcPr>
            <w:tcW w:type="dxa" w:w="150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ordinal / Likert (posible)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754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3.15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0.85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0.24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-0.06</w:t>
            </w:r>
          </w:p>
        </w:tc>
        <w:tc>
          <w:tcPr>
            <w:tcW w:type="dxa" w:w="150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K-S (Lilliefors): p &lt; .001 (no normal)</w:t>
            </w:r>
          </w:p>
        </w:tc>
        <w:tc>
          <w:tcPr>
            <w:tcW w:type="dxa" w:w="1005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31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6"/>
              </w:rPr>
              <w:t>satisf_5</w:t>
            </w:r>
          </w:p>
        </w:tc>
        <w:tc>
          <w:tcPr>
            <w:tcW w:type="dxa" w:w="150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ordinal / Likert (posible)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754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3.19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0.79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0.05</w:t>
            </w:r>
          </w:p>
        </w:tc>
        <w:tc>
          <w:tcPr>
            <w:tcW w:type="dxa" w:w="691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0.19</w:t>
            </w:r>
          </w:p>
        </w:tc>
        <w:tc>
          <w:tcPr>
            <w:tcW w:type="dxa" w:w="150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K-S (Lilliefors): p &lt; .001 (no normal)</w:t>
            </w:r>
          </w:p>
        </w:tc>
        <w:tc>
          <w:tcPr>
            <w:tcW w:type="dxa" w:w="1005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31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b w:val="0"/>
                <w:sz w:val="16"/>
              </w:rPr>
              <w:t>aprobado</w:t>
            </w:r>
          </w:p>
        </w:tc>
        <w:tc>
          <w:tcPr>
            <w:tcW w:type="dxa" w:w="1508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binaria</w:t>
            </w:r>
          </w:p>
        </w:tc>
        <w:tc>
          <w:tcPr>
            <w:tcW w:type="dxa" w:w="691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754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691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691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691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691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08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5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keepNext/>
      </w:pPr>
      <w:r>
        <w:rPr>
          <w:b/>
        </w:rPr>
        <w:t>Figura 1</w:t>
      </w:r>
    </w:p>
    <w:p>
      <w:pPr>
        <w:keepNext/>
      </w:pPr>
      <w:r>
        <w:rPr>
          <w:i/>
        </w:rPr>
        <w:t>Distribución de las variables numéricas principales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6486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erfil_distribu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48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Redacción de resultados</w:t>
      </w:r>
    </w:p>
    <w:p>
      <w:r>
        <w:t>La base de datos analizada estuvo conformada por 150 registros y 16 variables. Antes de los análisis inferenciales se revisaron los tipos de variable, los datos faltantes, los valores atípicos y el supuesto de normalidad de las variables numéricas.</w:t>
      </w:r>
    </w:p>
    <w:p>
      <w:pPr>
        <w:keepNext/>
      </w:pPr>
      <w:r>
        <w:rPr>
          <w:b/>
        </w:rPr>
        <w:t>Advertencias para el investigador</w:t>
      </w:r>
    </w:p>
    <w:p>
      <w:pPr>
        <w:pStyle w:val="ListBullet"/>
      </w:pPr>
      <w:r>
        <w:rPr>
          <w:sz w:val="22"/>
        </w:rPr>
        <w:t>'ansiedad' tiene 1 valor(es) atípico(s) (regla 1.5×IQR). Verifica si son errores de digitación antes de excluirlos.</w:t>
      </w:r>
    </w:p>
    <w:p>
      <w:pPr>
        <w:pStyle w:val="ListBullet"/>
      </w:pPr>
      <w:r>
        <w:rPr>
          <w:sz w:val="22"/>
        </w:rPr>
        <w:t>'edad' tiene 2 valor(es) atípico(s) (regla 1.5×IQR). Verifica si son errores de digitación antes de excluirlos.</w:t>
      </w:r>
    </w:p>
    <w:p>
      <w:pPr>
        <w:pStyle w:val="ListBullet"/>
      </w:pPr>
      <w:r>
        <w:rPr>
          <w:sz w:val="22"/>
        </w:rPr>
        <w:t>'horas_estudio' tiene 6 valor(es) atípico(s) (regla 1.5×IQR). Verifica si son errores de digitación antes de excluirlos.</w:t>
      </w:r>
    </w:p>
    <w:p>
      <w:pPr>
        <w:pStyle w:val="ListBullet"/>
      </w:pPr>
      <w:r>
        <w:rPr>
          <w:sz w:val="22"/>
        </w:rPr>
        <w:t>'satisf_1' parece una escala ordinal (pocos valores enteros). Para comparar grupos o correlacionar considera pruebas no paramétricas (ordinal=True).</w:t>
      </w:r>
    </w:p>
    <w:p>
      <w:pPr>
        <w:pStyle w:val="ListBullet"/>
      </w:pPr>
      <w:r>
        <w:rPr>
          <w:sz w:val="22"/>
        </w:rPr>
        <w:t>'satisf_2' parece una escala ordinal (pocos valores enteros). Para comparar grupos o correlacionar considera pruebas no paramétricas (ordinal=True).</w:t>
      </w:r>
    </w:p>
    <w:p>
      <w:pPr>
        <w:pStyle w:val="ListBullet"/>
      </w:pPr>
      <w:r>
        <w:rPr>
          <w:sz w:val="22"/>
        </w:rPr>
        <w:t>'satisf_3' parece una escala ordinal (pocos valores enteros). Para comparar grupos o correlacionar considera pruebas no paramétricas (ordinal=True).</w:t>
      </w:r>
    </w:p>
    <w:p>
      <w:pPr>
        <w:pStyle w:val="ListBullet"/>
      </w:pPr>
      <w:r>
        <w:rPr>
          <w:sz w:val="22"/>
        </w:rPr>
        <w:t>'satisf_4' parece una escala ordinal (pocos valores enteros). Para comparar grupos o correlacionar considera pruebas no paramétricas (ordinal=True).</w:t>
      </w:r>
    </w:p>
    <w:p>
      <w:pPr>
        <w:pStyle w:val="ListBullet"/>
      </w:pPr>
      <w:r>
        <w:rPr>
          <w:sz w:val="22"/>
        </w:rPr>
        <w:t>'satisf_5' parece una escala ordinal (pocos valores enteros). Para comparar grupos o correlacionar considera pruebas no paramétricas (ordinal=True).</w:t>
      </w:r>
    </w:p>
    <w:p>
      <w:pPr>
        <w:pStyle w:val="ListBullet"/>
      </w:pPr>
      <w:r>
        <w:rPr>
          <w:sz w:val="22"/>
        </w:rPr>
        <w:t>'satisfaccion' parece una escala ordinal (pocos valores enteros). Para comparar grupos o correlacionar considera pruebas no paramétricas (ordinal=True).</w:t>
      </w:r>
    </w:p>
    <w:p>
      <w:pPr>
        <w:pStyle w:val="Heading2"/>
      </w:pPr>
      <w:r>
        <w:rPr>
          <w:rFonts w:ascii="Times New Roman" w:hAnsi="Times New Roman"/>
          <w:color w:val="000000"/>
        </w:rPr>
        <w:t>Distribución de frecuencias de sexo</w:t>
      </w:r>
    </w:p>
    <w:p>
      <w:r>
        <w:rPr>
          <w:b/>
        </w:rPr>
        <w:t>Prueba aplicada:</w:t>
      </w:r>
      <w:r>
        <w:t xml:space="preserve"> Frecuencias y porcentajes</w:t>
      </w:r>
    </w:p>
    <w:p>
      <w:pPr>
        <w:keepNext/>
      </w:pPr>
      <w:r>
        <w:rPr>
          <w:b/>
        </w:rPr>
        <w:t>Tabla 2</w:t>
      </w:r>
    </w:p>
    <w:p>
      <w:pPr>
        <w:keepNext/>
      </w:pPr>
      <w:r>
        <w:rPr>
          <w:i/>
        </w:rPr>
        <w:t>Distribución de sexo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sexo</w:t>
            </w:r>
          </w:p>
        </w:tc>
        <w:tc>
          <w:tcPr>
            <w:tcW w:type="dxa" w:w="312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f</w:t>
            </w:r>
          </w:p>
        </w:tc>
        <w:tc>
          <w:tcPr>
            <w:tcW w:type="dxa" w:w="312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%</w:t>
            </w:r>
          </w:p>
        </w:tc>
      </w:tr>
      <w:tr>
        <w:tc>
          <w:tcPr>
            <w:tcW w:type="dxa" w:w="3120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Hombre</w:t>
            </w:r>
          </w:p>
        </w:tc>
        <w:tc>
          <w:tcPr>
            <w:tcW w:type="dxa" w:w="3120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64</w:t>
            </w:r>
          </w:p>
        </w:tc>
        <w:tc>
          <w:tcPr>
            <w:tcW w:type="dxa" w:w="3120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42.67</w:t>
            </w:r>
          </w:p>
        </w:tc>
      </w:tr>
      <w:tr>
        <w:tc>
          <w:tcPr>
            <w:tcW w:type="dxa" w:w="3120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Mujer</w:t>
            </w:r>
          </w:p>
        </w:tc>
        <w:tc>
          <w:tcPr>
            <w:tcW w:type="dxa" w:w="3120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86</w:t>
            </w:r>
          </w:p>
        </w:tc>
        <w:tc>
          <w:tcPr>
            <w:tcW w:type="dxa" w:w="3120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57.33</w:t>
            </w:r>
          </w:p>
        </w:tc>
      </w:tr>
      <w:tr>
        <w:tc>
          <w:tcPr>
            <w:tcW w:type="dxa" w:w="3120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Total</w:t>
            </w:r>
          </w:p>
        </w:tc>
        <w:tc>
          <w:tcPr>
            <w:tcW w:type="dxa" w:w="3120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150</w:t>
            </w:r>
          </w:p>
        </w:tc>
        <w:tc>
          <w:tcPr>
            <w:tcW w:type="dxa" w:w="3120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100.00</w:t>
            </w:r>
          </w:p>
        </w:tc>
      </w:tr>
    </w:tbl>
    <w:p/>
    <w:p>
      <w:pPr>
        <w:keepNext/>
      </w:pPr>
      <w:r>
        <w:rPr>
          <w:b/>
        </w:rPr>
        <w:t>Figura 2</w:t>
      </w:r>
    </w:p>
    <w:p>
      <w:pPr>
        <w:keepNext/>
      </w:pPr>
      <w:r>
        <w:rPr>
          <w:i/>
        </w:rPr>
        <w:t>Distribución porcentual de sexo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0110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rec_sex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01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Redacción de resultados</w:t>
      </w:r>
    </w:p>
    <w:p>
      <w:r>
        <w:t>Respecto a sexo, de los 150 casos válidos, la categoría más frecuente fue «Mujer» (</w:t>
      </w:r>
      <w:r>
        <w:rPr>
          <w:i/>
        </w:rPr>
        <w:t>f</w:t>
      </w:r>
      <w:r>
        <w:t xml:space="preserve"> = 86; 57.3%).</w:t>
      </w:r>
    </w:p>
    <w:p>
      <w:pPr>
        <w:pStyle w:val="Heading2"/>
      </w:pPr>
      <w:r>
        <w:rPr>
          <w:rFonts w:ascii="Times New Roman" w:hAnsi="Times New Roman"/>
          <w:color w:val="000000"/>
        </w:rPr>
        <w:t>Estadísticos descriptivos</w:t>
      </w:r>
    </w:p>
    <w:p>
      <w:r>
        <w:rPr>
          <w:b/>
        </w:rPr>
        <w:t>Prueba aplicada:</w:t>
      </w:r>
      <w:r>
        <w:t xml:space="preserve"> Medidas de tendencia central y dispersión</w:t>
      </w:r>
    </w:p>
    <w:p>
      <w:pPr>
        <w:keepNext/>
      </w:pPr>
      <w:r>
        <w:rPr>
          <w:b/>
        </w:rPr>
        <w:t>Tabla 3</w:t>
      </w:r>
    </w:p>
    <w:p>
      <w:pPr>
        <w:keepNext/>
      </w:pPr>
      <w:r>
        <w:rPr>
          <w:i/>
        </w:rPr>
        <w:t>Estadísticos descriptivos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86"/>
        <w:gridCol w:w="1000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128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6"/>
              </w:rPr>
              <w:t>Variable</w:t>
            </w:r>
          </w:p>
        </w:tc>
        <w:tc>
          <w:tcPr>
            <w:tcW w:type="dxa" w:w="100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grupo</w:t>
            </w:r>
          </w:p>
        </w:tc>
        <w:tc>
          <w:tcPr>
            <w:tcW w:type="dxa" w:w="78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78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78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DE</w:t>
            </w:r>
          </w:p>
        </w:tc>
        <w:tc>
          <w:tcPr>
            <w:tcW w:type="dxa" w:w="78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Mdn</w:t>
            </w:r>
          </w:p>
        </w:tc>
        <w:tc>
          <w:tcPr>
            <w:tcW w:type="dxa" w:w="78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RIC</w:t>
            </w:r>
          </w:p>
        </w:tc>
        <w:tc>
          <w:tcPr>
            <w:tcW w:type="dxa" w:w="78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Mín</w:t>
            </w:r>
          </w:p>
        </w:tc>
        <w:tc>
          <w:tcPr>
            <w:tcW w:type="dxa" w:w="78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Máx</w:t>
            </w:r>
          </w:p>
        </w:tc>
        <w:tc>
          <w:tcPr>
            <w:tcW w:type="dxa" w:w="78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Asimetría</w:t>
            </w:r>
          </w:p>
        </w:tc>
        <w:tc>
          <w:tcPr>
            <w:tcW w:type="dxa" w:w="78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Curtosis</w:t>
            </w:r>
          </w:p>
        </w:tc>
      </w:tr>
      <w:tr>
        <w:tc>
          <w:tcPr>
            <w:tcW w:type="dxa" w:w="1286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6"/>
              </w:rPr>
              <w:t>edad</w:t>
            </w:r>
          </w:p>
        </w:tc>
        <w:tc>
          <w:tcPr>
            <w:tcW w:type="dxa" w:w="1000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Control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24.27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3.69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24.00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5.00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18.00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36.00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0.632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0.41</w:t>
            </w:r>
          </w:p>
        </w:tc>
      </w:tr>
      <w:tr>
        <w:tc>
          <w:tcPr>
            <w:tcW w:type="dxa" w:w="1286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6"/>
              </w:rPr>
              <w:t>edad</w:t>
            </w:r>
          </w:p>
        </w:tc>
        <w:tc>
          <w:tcPr>
            <w:tcW w:type="dxa" w:w="1000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Experimental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24.56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3.97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24.00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5.50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18.00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36.00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0.346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-0.30</w:t>
            </w:r>
          </w:p>
        </w:tc>
      </w:tr>
      <w:tr>
        <w:tc>
          <w:tcPr>
            <w:tcW w:type="dxa" w:w="1286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6"/>
              </w:rPr>
              <w:t>horas_estudio</w:t>
            </w:r>
          </w:p>
        </w:tc>
        <w:tc>
          <w:tcPr>
            <w:tcW w:type="dxa" w:w="1000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Control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6.24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2.88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6.10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3.62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1.80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14.70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0.800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0.66</w:t>
            </w:r>
          </w:p>
        </w:tc>
      </w:tr>
      <w:tr>
        <w:tc>
          <w:tcPr>
            <w:tcW w:type="dxa" w:w="1286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6"/>
              </w:rPr>
              <w:t>horas_estudio</w:t>
            </w:r>
          </w:p>
        </w:tc>
        <w:tc>
          <w:tcPr>
            <w:tcW w:type="dxa" w:w="1000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Experimental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6.44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2.92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5.80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3.50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1.50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15.60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0.892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0.87</w:t>
            </w:r>
          </w:p>
        </w:tc>
      </w:tr>
      <w:tr>
        <w:tc>
          <w:tcPr>
            <w:tcW w:type="dxa" w:w="1286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6"/>
              </w:rPr>
              <w:t>pretest</w:t>
            </w:r>
          </w:p>
        </w:tc>
        <w:tc>
          <w:tcPr>
            <w:tcW w:type="dxa" w:w="1000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Control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11.84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2.45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11.60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3.35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4.10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16.50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-0.469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0.46</w:t>
            </w:r>
          </w:p>
        </w:tc>
      </w:tr>
      <w:tr>
        <w:tc>
          <w:tcPr>
            <w:tcW w:type="dxa" w:w="1286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6"/>
              </w:rPr>
              <w:t>pretest</w:t>
            </w:r>
          </w:p>
        </w:tc>
        <w:tc>
          <w:tcPr>
            <w:tcW w:type="dxa" w:w="1000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Experimental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11.20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2.86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11.20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4.25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5.10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17.80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-0.030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-0.60</w:t>
            </w:r>
          </w:p>
        </w:tc>
      </w:tr>
      <w:tr>
        <w:tc>
          <w:tcPr>
            <w:tcW w:type="dxa" w:w="1286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6"/>
              </w:rPr>
              <w:t>postest</w:t>
            </w:r>
          </w:p>
        </w:tc>
        <w:tc>
          <w:tcPr>
            <w:tcW w:type="dxa" w:w="1000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Control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12.18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3.06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11.50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4.15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5.70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20.00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0.326</w:t>
            </w:r>
          </w:p>
        </w:tc>
        <w:tc>
          <w:tcPr>
            <w:tcW w:type="dxa" w:w="786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-0.24</w:t>
            </w:r>
          </w:p>
        </w:tc>
      </w:tr>
      <w:tr>
        <w:tc>
          <w:tcPr>
            <w:tcW w:type="dxa" w:w="1286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6"/>
              </w:rPr>
              <w:t>postest</w:t>
            </w:r>
          </w:p>
        </w:tc>
        <w:tc>
          <w:tcPr>
            <w:tcW w:type="dxa" w:w="1000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Experimental</w:t>
            </w:r>
          </w:p>
        </w:tc>
        <w:tc>
          <w:tcPr>
            <w:tcW w:type="dxa" w:w="786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786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13.37</w:t>
            </w:r>
          </w:p>
        </w:tc>
        <w:tc>
          <w:tcPr>
            <w:tcW w:type="dxa" w:w="786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3.36</w:t>
            </w:r>
          </w:p>
        </w:tc>
        <w:tc>
          <w:tcPr>
            <w:tcW w:type="dxa" w:w="786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13.30</w:t>
            </w:r>
          </w:p>
        </w:tc>
        <w:tc>
          <w:tcPr>
            <w:tcW w:type="dxa" w:w="786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5.40</w:t>
            </w:r>
          </w:p>
        </w:tc>
        <w:tc>
          <w:tcPr>
            <w:tcW w:type="dxa" w:w="786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4.60</w:t>
            </w:r>
          </w:p>
        </w:tc>
        <w:tc>
          <w:tcPr>
            <w:tcW w:type="dxa" w:w="786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20.00</w:t>
            </w:r>
          </w:p>
        </w:tc>
        <w:tc>
          <w:tcPr>
            <w:tcW w:type="dxa" w:w="786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0.009</w:t>
            </w:r>
          </w:p>
        </w:tc>
        <w:tc>
          <w:tcPr>
            <w:tcW w:type="dxa" w:w="786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6"/>
              </w:rPr>
              <w:t>-0.54</w:t>
            </w:r>
          </w:p>
        </w:tc>
      </w:tr>
    </w:tbl>
    <w:p>
      <w:r>
        <w:rPr>
          <w:i/>
          <w:sz w:val="20"/>
        </w:rPr>
        <w:t xml:space="preserve">Nota. </w:t>
      </w:r>
      <w:r>
        <w:rPr>
          <w:sz w:val="20"/>
        </w:rPr>
        <w:t>M = media; DE = desviación estándar; Mdn = mediana; RIC = rango intercuartílico (Q3 − Q1).</w:t>
      </w:r>
    </w:p>
    <w:p/>
    <w:p>
      <w:pPr>
        <w:keepNext/>
      </w:pPr>
      <w:r>
        <w:rPr>
          <w:b/>
        </w:rPr>
        <w:t>Redacción de resultados</w:t>
      </w:r>
    </w:p>
    <w:p>
      <w:r>
        <w:t xml:space="preserve">Los estadísticos descriptivos fueron los siguientes: edad (Control): </w:t>
      </w:r>
      <w:r>
        <w:rPr>
          <w:i/>
        </w:rPr>
        <w:t>M</w:t>
      </w:r>
      <w:r>
        <w:t xml:space="preserve"> = 24.27, </w:t>
      </w:r>
      <w:r>
        <w:rPr>
          <w:i/>
        </w:rPr>
        <w:t>DE</w:t>
      </w:r>
      <w:r>
        <w:t xml:space="preserve"> = 3.69 (</w:t>
      </w:r>
      <w:r>
        <w:rPr>
          <w:i/>
        </w:rPr>
        <w:t>n</w:t>
      </w:r>
      <w:r>
        <w:t xml:space="preserve"> = 75); edad (Experimental): </w:t>
      </w:r>
      <w:r>
        <w:rPr>
          <w:i/>
        </w:rPr>
        <w:t>M</w:t>
      </w:r>
      <w:r>
        <w:t xml:space="preserve"> = 24.56, </w:t>
      </w:r>
      <w:r>
        <w:rPr>
          <w:i/>
        </w:rPr>
        <w:t>DE</w:t>
      </w:r>
      <w:r>
        <w:t xml:space="preserve"> = 3.97 (</w:t>
      </w:r>
      <w:r>
        <w:rPr>
          <w:i/>
        </w:rPr>
        <w:t>n</w:t>
      </w:r>
      <w:r>
        <w:t xml:space="preserve"> = 75); horas_estudio (Control): </w:t>
      </w:r>
      <w:r>
        <w:rPr>
          <w:i/>
        </w:rPr>
        <w:t>M</w:t>
      </w:r>
      <w:r>
        <w:t xml:space="preserve"> = 6.24, </w:t>
      </w:r>
      <w:r>
        <w:rPr>
          <w:i/>
        </w:rPr>
        <w:t>DE</w:t>
      </w:r>
      <w:r>
        <w:t xml:space="preserve"> = 2.88 (</w:t>
      </w:r>
      <w:r>
        <w:rPr>
          <w:i/>
        </w:rPr>
        <w:t>n</w:t>
      </w:r>
      <w:r>
        <w:t xml:space="preserve"> = 72); horas_estudio (Experimental): </w:t>
      </w:r>
      <w:r>
        <w:rPr>
          <w:i/>
        </w:rPr>
        <w:t>M</w:t>
      </w:r>
      <w:r>
        <w:t xml:space="preserve"> = 6.44, </w:t>
      </w:r>
      <w:r>
        <w:rPr>
          <w:i/>
        </w:rPr>
        <w:t>DE</w:t>
      </w:r>
      <w:r>
        <w:t xml:space="preserve"> = 2.92 (</w:t>
      </w:r>
      <w:r>
        <w:rPr>
          <w:i/>
        </w:rPr>
        <w:t>n</w:t>
      </w:r>
      <w:r>
        <w:t xml:space="preserve"> = 73); pretest (Control): </w:t>
      </w:r>
      <w:r>
        <w:rPr>
          <w:i/>
        </w:rPr>
        <w:t>M</w:t>
      </w:r>
      <w:r>
        <w:t xml:space="preserve"> = 11.84, </w:t>
      </w:r>
      <w:r>
        <w:rPr>
          <w:i/>
        </w:rPr>
        <w:t>DE</w:t>
      </w:r>
      <w:r>
        <w:t xml:space="preserve"> = 2.45 (</w:t>
      </w:r>
      <w:r>
        <w:rPr>
          <w:i/>
        </w:rPr>
        <w:t>n</w:t>
      </w:r>
      <w:r>
        <w:t xml:space="preserve"> = 75); pretest (Experimental): </w:t>
      </w:r>
      <w:r>
        <w:rPr>
          <w:i/>
        </w:rPr>
        <w:t>M</w:t>
      </w:r>
      <w:r>
        <w:t xml:space="preserve"> = 11.20, </w:t>
      </w:r>
      <w:r>
        <w:rPr>
          <w:i/>
        </w:rPr>
        <w:t>DE</w:t>
      </w:r>
      <w:r>
        <w:t xml:space="preserve"> = 2.86 (</w:t>
      </w:r>
      <w:r>
        <w:rPr>
          <w:i/>
        </w:rPr>
        <w:t>n</w:t>
      </w:r>
      <w:r>
        <w:t xml:space="preserve"> = 75); postest (Control): </w:t>
      </w:r>
      <w:r>
        <w:rPr>
          <w:i/>
        </w:rPr>
        <w:t>M</w:t>
      </w:r>
      <w:r>
        <w:t xml:space="preserve"> = 12.18, </w:t>
      </w:r>
      <w:r>
        <w:rPr>
          <w:i/>
        </w:rPr>
        <w:t>DE</w:t>
      </w:r>
      <w:r>
        <w:t xml:space="preserve"> = 3.06 (</w:t>
      </w:r>
      <w:r>
        <w:rPr>
          <w:i/>
        </w:rPr>
        <w:t>n</w:t>
      </w:r>
      <w:r>
        <w:t xml:space="preserve"> = 75); postest (Experimental): </w:t>
      </w:r>
      <w:r>
        <w:rPr>
          <w:i/>
        </w:rPr>
        <w:t>M</w:t>
      </w:r>
      <w:r>
        <w:t xml:space="preserve"> = 13.37, </w:t>
      </w:r>
      <w:r>
        <w:rPr>
          <w:i/>
        </w:rPr>
        <w:t>DE</w:t>
      </w:r>
      <w:r>
        <w:t xml:space="preserve"> = 3.36 (</w:t>
      </w:r>
      <w:r>
        <w:rPr>
          <w:i/>
        </w:rPr>
        <w:t>n</w:t>
      </w:r>
      <w:r>
        <w:t xml:space="preserve"> = 75).</w:t>
      </w:r>
    </w:p>
    <w:p>
      <w:pPr>
        <w:pStyle w:val="Heading2"/>
      </w:pPr>
      <w:r>
        <w:rPr>
          <w:rFonts w:ascii="Times New Roman" w:hAnsi="Times New Roman"/>
          <w:color w:val="000000"/>
        </w:rPr>
        <w:t>Comparación de postest según grupo</w:t>
      </w:r>
    </w:p>
    <w:p>
      <w:r>
        <w:rPr>
          <w:b/>
        </w:rPr>
        <w:t>Prueba aplicada:</w:t>
      </w:r>
      <w:r>
        <w:t xml:space="preserve"> t de Student para muestras independientes</w:t>
      </w:r>
    </w:p>
    <w:p>
      <w:pPr>
        <w:keepNext/>
      </w:pPr>
      <w:r>
        <w:rPr>
          <w:b/>
        </w:rPr>
        <w:t>Verificación de supuestos</w:t>
      </w:r>
    </w:p>
    <w:p>
      <w:pPr>
        <w:pStyle w:val="ListBullet"/>
      </w:pPr>
      <w:r>
        <w:rPr>
          <w:sz w:val="22"/>
        </w:rPr>
        <w:t xml:space="preserve">Normalidad por grupo (Kolmogorov-Smirnov (Lilliefors)): Control: </w:t>
      </w:r>
      <w:r>
        <w:rPr>
          <w:i/>
          <w:sz w:val="22"/>
        </w:rPr>
        <w:t>p</w:t>
      </w:r>
      <w:r>
        <w:rPr>
          <w:sz w:val="22"/>
        </w:rPr>
        <w:t xml:space="preserve"> = .073 → normal; Experimental: </w:t>
      </w:r>
      <w:r>
        <w:rPr>
          <w:i/>
          <w:sz w:val="22"/>
        </w:rPr>
        <w:t>p</w:t>
      </w:r>
      <w:r>
        <w:rPr>
          <w:sz w:val="22"/>
        </w:rPr>
        <w:t xml:space="preserve"> = .077 → normal</w:t>
      </w:r>
    </w:p>
    <w:p>
      <w:pPr>
        <w:pStyle w:val="ListBullet"/>
      </w:pPr>
      <w:r>
        <w:rPr>
          <w:sz w:val="22"/>
        </w:rPr>
        <w:t xml:space="preserve">Homogeneidad de varianzas (Levene): </w:t>
      </w:r>
      <w:r>
        <w:rPr>
          <w:i/>
          <w:sz w:val="22"/>
        </w:rPr>
        <w:t>p</w:t>
      </w:r>
      <w:r>
        <w:rPr>
          <w:sz w:val="22"/>
        </w:rPr>
        <w:t xml:space="preserve"> = .294 → varianzas homogéneas</w:t>
      </w:r>
    </w:p>
    <w:p>
      <w:r>
        <w:rPr>
          <w:b/>
        </w:rPr>
        <w:t>H₀:</w:t>
      </w:r>
      <w:r>
        <w:t xml:space="preserve"> No existen diferencias estadísticamente significativas en postest entre Control y Experimental.</w:t>
      </w:r>
    </w:p>
    <w:p>
      <w:r>
        <w:rPr>
          <w:b/>
        </w:rPr>
        <w:t>H₁:</w:t>
      </w:r>
      <w:r>
        <w:t xml:space="preserve"> Existen diferencias estadísticamente significativas en postest entre Control y Experimental.</w:t>
      </w:r>
    </w:p>
    <w:p>
      <w:r>
        <w:rPr>
          <w:b/>
        </w:rPr>
        <w:t>Decisión:</w:t>
      </w:r>
      <w:r>
        <w:t xml:space="preserve"> Como </w:t>
      </w:r>
      <w:r>
        <w:rPr>
          <w:i/>
        </w:rPr>
        <w:t>p</w:t>
      </w:r>
      <w:r>
        <w:t xml:space="preserve"> = .024 es menor que α = .05, se rechaza H₀.</w:t>
      </w:r>
    </w:p>
    <w:p>
      <w:pPr>
        <w:keepNext/>
      </w:pPr>
      <w:r>
        <w:rPr>
          <w:b/>
        </w:rPr>
        <w:t>Tabla 4</w:t>
      </w:r>
    </w:p>
    <w:p>
      <w:pPr>
        <w:keepNext/>
      </w:pPr>
      <w:r>
        <w:rPr>
          <w:i/>
        </w:rPr>
        <w:t>Estadísticos descriptivos por grupo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3"/>
        <w:gridCol w:w="1095"/>
        <w:gridCol w:w="1095"/>
        <w:gridCol w:w="1095"/>
        <w:gridCol w:w="1095"/>
        <w:gridCol w:w="1095"/>
        <w:gridCol w:w="1095"/>
        <w:gridCol w:w="1095"/>
      </w:tblGrid>
      <w:tr>
        <w:tc>
          <w:tcPr>
            <w:tcW w:type="dxa" w:w="169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8"/>
              </w:rPr>
              <w:t>Grupo</w:t>
            </w:r>
          </w:p>
        </w:tc>
        <w:tc>
          <w:tcPr>
            <w:tcW w:type="dxa" w:w="109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type="dxa" w:w="109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M</w:t>
            </w:r>
          </w:p>
        </w:tc>
        <w:tc>
          <w:tcPr>
            <w:tcW w:type="dxa" w:w="109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DE</w:t>
            </w:r>
          </w:p>
        </w:tc>
        <w:tc>
          <w:tcPr>
            <w:tcW w:type="dxa" w:w="109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Mdn</w:t>
            </w:r>
          </w:p>
        </w:tc>
        <w:tc>
          <w:tcPr>
            <w:tcW w:type="dxa" w:w="109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RIC</w:t>
            </w:r>
          </w:p>
        </w:tc>
        <w:tc>
          <w:tcPr>
            <w:tcW w:type="dxa" w:w="109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Mín</w:t>
            </w:r>
          </w:p>
        </w:tc>
        <w:tc>
          <w:tcPr>
            <w:tcW w:type="dxa" w:w="109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Máx</w:t>
            </w:r>
          </w:p>
        </w:tc>
      </w:tr>
      <w:tr>
        <w:tc>
          <w:tcPr>
            <w:tcW w:type="dxa" w:w="1693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8"/>
              </w:rPr>
              <w:t>Control</w:t>
            </w:r>
          </w:p>
        </w:tc>
        <w:tc>
          <w:tcPr>
            <w:tcW w:type="dxa" w:w="1095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1095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12.18</w:t>
            </w:r>
          </w:p>
        </w:tc>
        <w:tc>
          <w:tcPr>
            <w:tcW w:type="dxa" w:w="1095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3.06</w:t>
            </w:r>
          </w:p>
        </w:tc>
        <w:tc>
          <w:tcPr>
            <w:tcW w:type="dxa" w:w="1095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11.50</w:t>
            </w:r>
          </w:p>
        </w:tc>
        <w:tc>
          <w:tcPr>
            <w:tcW w:type="dxa" w:w="1095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4.15</w:t>
            </w:r>
          </w:p>
        </w:tc>
        <w:tc>
          <w:tcPr>
            <w:tcW w:type="dxa" w:w="1095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5.70</w:t>
            </w:r>
          </w:p>
        </w:tc>
        <w:tc>
          <w:tcPr>
            <w:tcW w:type="dxa" w:w="1095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20.00</w:t>
            </w:r>
          </w:p>
        </w:tc>
      </w:tr>
      <w:tr>
        <w:tc>
          <w:tcPr>
            <w:tcW w:type="dxa" w:w="1693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8"/>
              </w:rPr>
              <w:t>Experimental</w:t>
            </w:r>
          </w:p>
        </w:tc>
        <w:tc>
          <w:tcPr>
            <w:tcW w:type="dxa" w:w="1095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1095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13.37</w:t>
            </w:r>
          </w:p>
        </w:tc>
        <w:tc>
          <w:tcPr>
            <w:tcW w:type="dxa" w:w="1095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3.36</w:t>
            </w:r>
          </w:p>
        </w:tc>
        <w:tc>
          <w:tcPr>
            <w:tcW w:type="dxa" w:w="1095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13.30</w:t>
            </w:r>
          </w:p>
        </w:tc>
        <w:tc>
          <w:tcPr>
            <w:tcW w:type="dxa" w:w="1095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5.40</w:t>
            </w:r>
          </w:p>
        </w:tc>
        <w:tc>
          <w:tcPr>
            <w:tcW w:type="dxa" w:w="1095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4.60</w:t>
            </w:r>
          </w:p>
        </w:tc>
        <w:tc>
          <w:tcPr>
            <w:tcW w:type="dxa" w:w="1095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20.00</w:t>
            </w:r>
          </w:p>
        </w:tc>
      </w:tr>
    </w:tbl>
    <w:p>
      <w:r>
        <w:rPr>
          <w:i/>
          <w:sz w:val="20"/>
        </w:rPr>
        <w:t xml:space="preserve">Nota. </w:t>
      </w:r>
      <w:r>
        <w:rPr>
          <w:sz w:val="20"/>
        </w:rPr>
        <w:t>M = media; DE = desviación estándar; Mdn = mediana; RIC = rango intercuartílico (Q3 − Q1).</w:t>
      </w:r>
    </w:p>
    <w:p/>
    <w:p>
      <w:pPr>
        <w:keepNext/>
      </w:pPr>
      <w:r>
        <w:rPr>
          <w:b/>
        </w:rPr>
        <w:t>Tabla 5</w:t>
      </w:r>
    </w:p>
    <w:p>
      <w:pPr>
        <w:keepNext/>
      </w:pPr>
      <w:r>
        <w:rPr>
          <w:i/>
        </w:rPr>
        <w:t>Comparación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4"/>
        <w:gridCol w:w="928"/>
        <w:gridCol w:w="928"/>
        <w:gridCol w:w="928"/>
        <w:gridCol w:w="1349"/>
        <w:gridCol w:w="1096"/>
        <w:gridCol w:w="1096"/>
        <w:gridCol w:w="1012"/>
      </w:tblGrid>
      <w:tr>
        <w:tc>
          <w:tcPr>
            <w:tcW w:type="dxa" w:w="2024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8"/>
              </w:rPr>
              <w:t>Prueba</w:t>
            </w:r>
          </w:p>
        </w:tc>
        <w:tc>
          <w:tcPr>
            <w:tcW w:type="dxa" w:w="92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t</w:t>
            </w:r>
          </w:p>
        </w:tc>
        <w:tc>
          <w:tcPr>
            <w:tcW w:type="dxa" w:w="92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gl</w:t>
            </w:r>
          </w:p>
        </w:tc>
        <w:tc>
          <w:tcPr>
            <w:tcW w:type="dxa" w:w="92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p</w:t>
            </w:r>
          </w:p>
        </w:tc>
        <w:tc>
          <w:tcPr>
            <w:tcW w:type="dxa" w:w="1349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Dif. de medias</w:t>
            </w:r>
          </w:p>
        </w:tc>
        <w:tc>
          <w:tcPr>
            <w:tcW w:type="dxa" w:w="109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IC 95% inf.</w:t>
            </w:r>
          </w:p>
        </w:tc>
        <w:tc>
          <w:tcPr>
            <w:tcW w:type="dxa" w:w="109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IC 95% sup.</w:t>
            </w:r>
          </w:p>
        </w:tc>
        <w:tc>
          <w:tcPr>
            <w:tcW w:type="dxa" w:w="101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d de Cohen</w:t>
            </w:r>
          </w:p>
        </w:tc>
      </w:tr>
      <w:tr>
        <w:tc>
          <w:tcPr>
            <w:tcW w:type="dxa" w:w="2024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8"/>
              </w:rPr>
              <w:t>t de Student para muestras independientes</w:t>
            </w:r>
          </w:p>
        </w:tc>
        <w:tc>
          <w:tcPr>
            <w:tcW w:type="dxa" w:w="928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-2.28</w:t>
            </w:r>
          </w:p>
        </w:tc>
        <w:tc>
          <w:tcPr>
            <w:tcW w:type="dxa" w:w="928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148</w:t>
            </w:r>
          </w:p>
        </w:tc>
        <w:tc>
          <w:tcPr>
            <w:tcW w:type="dxa" w:w="928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.024</w:t>
            </w:r>
          </w:p>
        </w:tc>
        <w:tc>
          <w:tcPr>
            <w:tcW w:type="dxa" w:w="1349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-1.19</w:t>
            </w:r>
          </w:p>
        </w:tc>
        <w:tc>
          <w:tcPr>
            <w:tcW w:type="dxa" w:w="1096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-2.23</w:t>
            </w:r>
          </w:p>
        </w:tc>
        <w:tc>
          <w:tcPr>
            <w:tcW w:type="dxa" w:w="1096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-0.16</w:t>
            </w:r>
          </w:p>
        </w:tc>
        <w:tc>
          <w:tcPr>
            <w:tcW w:type="dxa" w:w="1012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-0.37</w:t>
            </w:r>
          </w:p>
        </w:tc>
      </w:tr>
    </w:tbl>
    <w:p>
      <w:r>
        <w:rPr>
          <w:i/>
          <w:sz w:val="20"/>
        </w:rPr>
        <w:t xml:space="preserve">Nota. </w:t>
      </w:r>
      <w:r>
        <w:rPr>
          <w:sz w:val="20"/>
        </w:rPr>
        <w:t>d de Cohen calculada con la desviación estándar agrupada; IC = intervalo de confianza de la diferencia de medias (grupo 1 − grupo 2).</w:t>
      </w:r>
    </w:p>
    <w:p/>
    <w:p>
      <w:pPr>
        <w:keepNext/>
      </w:pPr>
      <w:r>
        <w:rPr>
          <w:b/>
        </w:rPr>
        <w:t>Figura 3</w:t>
      </w:r>
    </w:p>
    <w:p>
      <w:pPr>
        <w:keepNext/>
      </w:pPr>
      <w:r>
        <w:rPr>
          <w:i/>
        </w:rPr>
        <w:t>Distribución de postest según grupo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04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arar_postest_grup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04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Redacción de resultados</w:t>
      </w:r>
    </w:p>
    <w:p>
      <w:r>
        <w:t>Se aplicó la prueba t de Student para muestras independientes para comparar postest entre Control (</w:t>
      </w:r>
      <w:r>
        <w:rPr>
          <w:i/>
        </w:rPr>
        <w:t>M</w:t>
      </w:r>
      <w:r>
        <w:t xml:space="preserve"> = 12.18, </w:t>
      </w:r>
      <w:r>
        <w:rPr>
          <w:i/>
        </w:rPr>
        <w:t>DE</w:t>
      </w:r>
      <w:r>
        <w:t xml:space="preserve"> = 3.06, </w:t>
      </w:r>
      <w:r>
        <w:rPr>
          <w:i/>
        </w:rPr>
        <w:t>n</w:t>
      </w:r>
      <w:r>
        <w:t xml:space="preserve"> = 75) y Experimental (</w:t>
      </w:r>
      <w:r>
        <w:rPr>
          <w:i/>
        </w:rPr>
        <w:t>M</w:t>
      </w:r>
      <w:r>
        <w:t xml:space="preserve"> = 13.37, </w:t>
      </w:r>
      <w:r>
        <w:rPr>
          <w:i/>
        </w:rPr>
        <w:t>DE</w:t>
      </w:r>
      <w:r>
        <w:t xml:space="preserve"> = 3.36, </w:t>
      </w:r>
      <w:r>
        <w:rPr>
          <w:i/>
        </w:rPr>
        <w:t>n</w:t>
      </w:r>
      <w:r>
        <w:t xml:space="preserve"> = 75). Los resultados evidencian diferencias estadísticamente significativas, </w:t>
      </w:r>
      <w:r>
        <w:rPr>
          <w:i/>
        </w:rPr>
        <w:t>t</w:t>
      </w:r>
      <w:r>
        <w:t xml:space="preserve">(148) = -2.28, </w:t>
      </w:r>
      <w:r>
        <w:rPr>
          <w:i/>
        </w:rPr>
        <w:t>p</w:t>
      </w:r>
      <w:r>
        <w:t xml:space="preserve"> = .024, IC 95% de la diferencia de medias [-2.23, -0.16], </w:t>
      </w:r>
      <w:r>
        <w:rPr>
          <w:i/>
        </w:rPr>
        <w:t>d</w:t>
      </w:r>
      <w:r>
        <w:t xml:space="preserve"> de Cohen = -0.37, correspondiente a un tamaño del efecto pequeño. Los valores de postest fueron más altos en el grupo Experimental (media = 13.37). Por tanto, se rechaza la hipótesis nula.</w:t>
      </w:r>
    </w:p>
    <w:p>
      <w:pPr>
        <w:keepNext/>
      </w:pPr>
      <w:r>
        <w:rPr>
          <w:b/>
        </w:rPr>
        <w:t>Justificación para el capítulo de método</w:t>
      </w:r>
    </w:p>
    <w:p>
      <w:r>
        <w:t>Se evaluó la normalidad de postest en cada grupo mediante la prueba de Kolmogorov-Smirnov (Lilliefors) y la homogeneidad de varianzas mediante la prueba de Levene. Dado que ambos grupos cumplieron el supuesto de normalidad y las varianzas fueron homogéneas, se empleó la prueba t de Student para muestras independientes, acompañada del tamaño del efecto d de Cohen. Se adoptó un nivel de significancia de α = .05.</w:t>
      </w:r>
    </w:p>
    <w:p>
      <w:pPr>
        <w:pStyle w:val="Heading2"/>
      </w:pPr>
      <w:r>
        <w:rPr>
          <w:rFonts w:ascii="Times New Roman" w:hAnsi="Times New Roman"/>
          <w:color w:val="000000"/>
        </w:rPr>
        <w:t>Comparación de postest según facultad</w:t>
      </w:r>
    </w:p>
    <w:p>
      <w:r>
        <w:rPr>
          <w:b/>
        </w:rPr>
        <w:t>Prueba aplicada:</w:t>
      </w:r>
      <w:r>
        <w:t xml:space="preserve"> ANOVA de un factor</w:t>
      </w:r>
    </w:p>
    <w:p>
      <w:pPr>
        <w:keepNext/>
      </w:pPr>
      <w:r>
        <w:rPr>
          <w:b/>
        </w:rPr>
        <w:t>Verificación de supuestos</w:t>
      </w:r>
    </w:p>
    <w:p>
      <w:pPr>
        <w:pStyle w:val="ListBullet"/>
      </w:pPr>
      <w:r>
        <w:rPr>
          <w:sz w:val="22"/>
        </w:rPr>
        <w:t xml:space="preserve">Normalidad por grupo (Kolmogorov-Smirnov (Lilliefors)): Educación: </w:t>
      </w:r>
      <w:r>
        <w:rPr>
          <w:i/>
          <w:sz w:val="22"/>
        </w:rPr>
        <w:t>p</w:t>
      </w:r>
      <w:r>
        <w:rPr>
          <w:sz w:val="22"/>
        </w:rPr>
        <w:t xml:space="preserve"> &gt; .20 → normal; Ingeniería: </w:t>
      </w:r>
      <w:r>
        <w:rPr>
          <w:i/>
          <w:sz w:val="22"/>
        </w:rPr>
        <w:t>p</w:t>
      </w:r>
      <w:r>
        <w:rPr>
          <w:sz w:val="22"/>
        </w:rPr>
        <w:t xml:space="preserve"> = .151 → normal; Salud: </w:t>
      </w:r>
      <w:r>
        <w:rPr>
          <w:i/>
          <w:sz w:val="22"/>
        </w:rPr>
        <w:t>p</w:t>
      </w:r>
      <w:r>
        <w:rPr>
          <w:sz w:val="22"/>
        </w:rPr>
        <w:t xml:space="preserve"> = .498 → normal</w:t>
      </w:r>
    </w:p>
    <w:p>
      <w:pPr>
        <w:pStyle w:val="ListBullet"/>
      </w:pPr>
      <w:r>
        <w:rPr>
          <w:sz w:val="22"/>
        </w:rPr>
        <w:t xml:space="preserve">Homogeneidad de varianzas (Levene): </w:t>
      </w:r>
      <w:r>
        <w:rPr>
          <w:i/>
          <w:sz w:val="22"/>
        </w:rPr>
        <w:t>p</w:t>
      </w:r>
      <w:r>
        <w:rPr>
          <w:sz w:val="22"/>
        </w:rPr>
        <w:t xml:space="preserve"> = .468 → varianzas homogéneas</w:t>
      </w:r>
    </w:p>
    <w:p>
      <w:r>
        <w:rPr>
          <w:b/>
        </w:rPr>
        <w:t>H₀:</w:t>
      </w:r>
      <w:r>
        <w:t xml:space="preserve"> Las medidas de postest no difieren de manera estadísticamente significativa entre los grupos de facultad.</w:t>
      </w:r>
    </w:p>
    <w:p>
      <w:r>
        <w:rPr>
          <w:b/>
        </w:rPr>
        <w:t>H₁:</w:t>
      </w:r>
      <w:r>
        <w:t xml:space="preserve"> Al menos un grupo de facultad difiere significativamente en postest.</w:t>
      </w:r>
    </w:p>
    <w:p>
      <w:r>
        <w:rPr>
          <w:b/>
        </w:rPr>
        <w:t>Decisión:</w:t>
      </w:r>
      <w:r>
        <w:t xml:space="preserve"> Como </w:t>
      </w:r>
      <w:r>
        <w:rPr>
          <w:i/>
        </w:rPr>
        <w:t>p</w:t>
      </w:r>
      <w:r>
        <w:t xml:space="preserve"> = .469 es mayor o igual que α = .05, no se rechaza H₀.</w:t>
      </w:r>
    </w:p>
    <w:p>
      <w:pPr>
        <w:keepNext/>
      </w:pPr>
      <w:r>
        <w:rPr>
          <w:b/>
        </w:rPr>
        <w:t>Tabla 6</w:t>
      </w:r>
    </w:p>
    <w:p>
      <w:pPr>
        <w:keepNext/>
      </w:pPr>
      <w:r>
        <w:rPr>
          <w:i/>
        </w:rPr>
        <w:t>Estadísticos descriptivos por grupo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6"/>
        <w:gridCol w:w="1119"/>
        <w:gridCol w:w="1119"/>
        <w:gridCol w:w="1119"/>
        <w:gridCol w:w="1119"/>
        <w:gridCol w:w="1119"/>
        <w:gridCol w:w="1119"/>
        <w:gridCol w:w="1119"/>
      </w:tblGrid>
      <w:tr>
        <w:tc>
          <w:tcPr>
            <w:tcW w:type="dxa" w:w="152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8"/>
              </w:rPr>
              <w:t>Grupo</w:t>
            </w:r>
          </w:p>
        </w:tc>
        <w:tc>
          <w:tcPr>
            <w:tcW w:type="dxa" w:w="1119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type="dxa" w:w="1119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M</w:t>
            </w:r>
          </w:p>
        </w:tc>
        <w:tc>
          <w:tcPr>
            <w:tcW w:type="dxa" w:w="1119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DE</w:t>
            </w:r>
          </w:p>
        </w:tc>
        <w:tc>
          <w:tcPr>
            <w:tcW w:type="dxa" w:w="1119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Mdn</w:t>
            </w:r>
          </w:p>
        </w:tc>
        <w:tc>
          <w:tcPr>
            <w:tcW w:type="dxa" w:w="1119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RIC</w:t>
            </w:r>
          </w:p>
        </w:tc>
        <w:tc>
          <w:tcPr>
            <w:tcW w:type="dxa" w:w="1119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Mín</w:t>
            </w:r>
          </w:p>
        </w:tc>
        <w:tc>
          <w:tcPr>
            <w:tcW w:type="dxa" w:w="1119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Máx</w:t>
            </w:r>
          </w:p>
        </w:tc>
      </w:tr>
      <w:tr>
        <w:tc>
          <w:tcPr>
            <w:tcW w:type="dxa" w:w="1526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8"/>
              </w:rPr>
              <w:t>Educación</w:t>
            </w:r>
          </w:p>
        </w:tc>
        <w:tc>
          <w:tcPr>
            <w:tcW w:type="dxa" w:w="1119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1119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12.58</w:t>
            </w:r>
          </w:p>
        </w:tc>
        <w:tc>
          <w:tcPr>
            <w:tcW w:type="dxa" w:w="1119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3.08</w:t>
            </w:r>
          </w:p>
        </w:tc>
        <w:tc>
          <w:tcPr>
            <w:tcW w:type="dxa" w:w="1119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12.20</w:t>
            </w:r>
          </w:p>
        </w:tc>
        <w:tc>
          <w:tcPr>
            <w:tcW w:type="dxa" w:w="1119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4.40</w:t>
            </w:r>
          </w:p>
        </w:tc>
        <w:tc>
          <w:tcPr>
            <w:tcW w:type="dxa" w:w="1119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5.70</w:t>
            </w:r>
          </w:p>
        </w:tc>
        <w:tc>
          <w:tcPr>
            <w:tcW w:type="dxa" w:w="1119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18.60</w:t>
            </w:r>
          </w:p>
        </w:tc>
      </w:tr>
      <w:tr>
        <w:tc>
          <w:tcPr>
            <w:tcW w:type="dxa" w:w="1526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8"/>
              </w:rPr>
              <w:t>Ingeniería</w:t>
            </w:r>
          </w:p>
        </w:tc>
        <w:tc>
          <w:tcPr>
            <w:tcW w:type="dxa" w:w="1119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47</w:t>
            </w:r>
          </w:p>
        </w:tc>
        <w:tc>
          <w:tcPr>
            <w:tcW w:type="dxa" w:w="1119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13.26</w:t>
            </w:r>
          </w:p>
        </w:tc>
        <w:tc>
          <w:tcPr>
            <w:tcW w:type="dxa" w:w="1119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3.17</w:t>
            </w:r>
          </w:p>
        </w:tc>
        <w:tc>
          <w:tcPr>
            <w:tcW w:type="dxa" w:w="1119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12.90</w:t>
            </w:r>
          </w:p>
        </w:tc>
        <w:tc>
          <w:tcPr>
            <w:tcW w:type="dxa" w:w="1119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4.45</w:t>
            </w:r>
          </w:p>
        </w:tc>
        <w:tc>
          <w:tcPr>
            <w:tcW w:type="dxa" w:w="1119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6.70</w:t>
            </w:r>
          </w:p>
        </w:tc>
        <w:tc>
          <w:tcPr>
            <w:tcW w:type="dxa" w:w="1119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20.00</w:t>
            </w:r>
          </w:p>
        </w:tc>
      </w:tr>
      <w:tr>
        <w:tc>
          <w:tcPr>
            <w:tcW w:type="dxa" w:w="1526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8"/>
              </w:rPr>
              <w:t>Salud</w:t>
            </w:r>
          </w:p>
        </w:tc>
        <w:tc>
          <w:tcPr>
            <w:tcW w:type="dxa" w:w="1119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1119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12.52</w:t>
            </w:r>
          </w:p>
        </w:tc>
        <w:tc>
          <w:tcPr>
            <w:tcW w:type="dxa" w:w="1119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3.54</w:t>
            </w:r>
          </w:p>
        </w:tc>
        <w:tc>
          <w:tcPr>
            <w:tcW w:type="dxa" w:w="1119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11.55</w:t>
            </w:r>
          </w:p>
        </w:tc>
        <w:tc>
          <w:tcPr>
            <w:tcW w:type="dxa" w:w="1119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5.18</w:t>
            </w:r>
          </w:p>
        </w:tc>
        <w:tc>
          <w:tcPr>
            <w:tcW w:type="dxa" w:w="1119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4.60</w:t>
            </w:r>
          </w:p>
        </w:tc>
        <w:tc>
          <w:tcPr>
            <w:tcW w:type="dxa" w:w="1119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19.80</w:t>
            </w:r>
          </w:p>
        </w:tc>
      </w:tr>
    </w:tbl>
    <w:p>
      <w:r>
        <w:rPr>
          <w:i/>
          <w:sz w:val="20"/>
        </w:rPr>
        <w:t xml:space="preserve">Nota. </w:t>
      </w:r>
      <w:r>
        <w:rPr>
          <w:sz w:val="20"/>
        </w:rPr>
        <w:t>M = media; DE = desviación estándar; Mdn = mediana; RIC = rango intercuartílico (Q3 − Q1).</w:t>
      </w:r>
    </w:p>
    <w:p/>
    <w:p>
      <w:pPr>
        <w:keepNext/>
      </w:pPr>
      <w:r>
        <w:rPr>
          <w:b/>
        </w:rPr>
        <w:t>Tabla 7</w:t>
      </w:r>
    </w:p>
    <w:p>
      <w:pPr>
        <w:keepNext/>
      </w:pPr>
      <w:r>
        <w:rPr>
          <w:i/>
        </w:rPr>
        <w:t>Tabla ANOVA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6"/>
        <w:gridCol w:w="1355"/>
        <w:gridCol w:w="1355"/>
        <w:gridCol w:w="1355"/>
        <w:gridCol w:w="1355"/>
        <w:gridCol w:w="1355"/>
      </w:tblGrid>
      <w:tr>
        <w:tc>
          <w:tcPr>
            <w:tcW w:type="dxa" w:w="258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Fuente</w:t>
            </w:r>
          </w:p>
        </w:tc>
        <w:tc>
          <w:tcPr>
            <w:tcW w:type="dxa" w:w="135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SC</w:t>
            </w:r>
          </w:p>
        </w:tc>
        <w:tc>
          <w:tcPr>
            <w:tcW w:type="dxa" w:w="135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gl</w:t>
            </w:r>
          </w:p>
        </w:tc>
        <w:tc>
          <w:tcPr>
            <w:tcW w:type="dxa" w:w="135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MC</w:t>
            </w:r>
          </w:p>
        </w:tc>
        <w:tc>
          <w:tcPr>
            <w:tcW w:type="dxa" w:w="135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F</w:t>
            </w:r>
          </w:p>
        </w:tc>
        <w:tc>
          <w:tcPr>
            <w:tcW w:type="dxa" w:w="135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p</w:t>
            </w:r>
          </w:p>
        </w:tc>
      </w:tr>
      <w:tr>
        <w:tc>
          <w:tcPr>
            <w:tcW w:type="dxa" w:w="2586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Entre grupos</w:t>
            </w:r>
          </w:p>
        </w:tc>
        <w:tc>
          <w:tcPr>
            <w:tcW w:type="dxa" w:w="1355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16.20</w:t>
            </w:r>
          </w:p>
        </w:tc>
        <w:tc>
          <w:tcPr>
            <w:tcW w:type="dxa" w:w="1355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355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8.10</w:t>
            </w:r>
          </w:p>
        </w:tc>
        <w:tc>
          <w:tcPr>
            <w:tcW w:type="dxa" w:w="1355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0.76</w:t>
            </w:r>
          </w:p>
        </w:tc>
        <w:tc>
          <w:tcPr>
            <w:tcW w:type="dxa" w:w="1355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.469</w:t>
            </w:r>
          </w:p>
        </w:tc>
      </w:tr>
      <w:tr>
        <w:tc>
          <w:tcPr>
            <w:tcW w:type="dxa" w:w="2586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Dentro de grupos</w:t>
            </w:r>
          </w:p>
        </w:tc>
        <w:tc>
          <w:tcPr>
            <w:tcW w:type="dxa" w:w="1355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1563.47</w:t>
            </w:r>
          </w:p>
        </w:tc>
        <w:tc>
          <w:tcPr>
            <w:tcW w:type="dxa" w:w="1355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147</w:t>
            </w:r>
          </w:p>
        </w:tc>
        <w:tc>
          <w:tcPr>
            <w:tcW w:type="dxa" w:w="1355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10.64</w:t>
            </w:r>
          </w:p>
        </w:tc>
        <w:tc>
          <w:tcPr>
            <w:tcW w:type="dxa" w:w="1355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355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86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Total</w:t>
            </w:r>
          </w:p>
        </w:tc>
        <w:tc>
          <w:tcPr>
            <w:tcW w:type="dxa" w:w="1355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1579.67</w:t>
            </w:r>
          </w:p>
        </w:tc>
        <w:tc>
          <w:tcPr>
            <w:tcW w:type="dxa" w:w="1355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149</w:t>
            </w:r>
          </w:p>
        </w:tc>
        <w:tc>
          <w:tcPr>
            <w:tcW w:type="dxa" w:w="1355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355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355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</w:tbl>
    <w:p/>
    <w:p>
      <w:pPr>
        <w:keepNext/>
      </w:pPr>
      <w:r>
        <w:rPr>
          <w:b/>
        </w:rPr>
        <w:t>Figura 4</w:t>
      </w:r>
    </w:p>
    <w:p>
      <w:pPr>
        <w:keepNext/>
      </w:pPr>
      <w:r>
        <w:rPr>
          <w:i/>
        </w:rPr>
        <w:t>Distribución de postest según facultad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0878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arar_postest_facult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87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Redacción de resultados</w:t>
      </w:r>
    </w:p>
    <w:p>
      <w:r>
        <w:t>Se aplicó la prueba ANOVA de un factor para comparar postest entre 3 grupos de facultad: Educación (</w:t>
      </w:r>
      <w:r>
        <w:rPr>
          <w:i/>
        </w:rPr>
        <w:t>M</w:t>
      </w:r>
      <w:r>
        <w:t xml:space="preserve"> = 12.58, </w:t>
      </w:r>
      <w:r>
        <w:rPr>
          <w:i/>
        </w:rPr>
        <w:t>DE</w:t>
      </w:r>
      <w:r>
        <w:t xml:space="preserve"> = 3.08, </w:t>
      </w:r>
      <w:r>
        <w:rPr>
          <w:i/>
        </w:rPr>
        <w:t>n</w:t>
      </w:r>
      <w:r>
        <w:t xml:space="preserve"> = 55); Ingeniería (</w:t>
      </w:r>
      <w:r>
        <w:rPr>
          <w:i/>
        </w:rPr>
        <w:t>M</w:t>
      </w:r>
      <w:r>
        <w:t xml:space="preserve"> = 13.26, </w:t>
      </w:r>
      <w:r>
        <w:rPr>
          <w:i/>
        </w:rPr>
        <w:t>DE</w:t>
      </w:r>
      <w:r>
        <w:t xml:space="preserve"> = 3.17, </w:t>
      </w:r>
      <w:r>
        <w:rPr>
          <w:i/>
        </w:rPr>
        <w:t>n</w:t>
      </w:r>
      <w:r>
        <w:t xml:space="preserve"> = 47); Salud (</w:t>
      </w:r>
      <w:r>
        <w:rPr>
          <w:i/>
        </w:rPr>
        <w:t>M</w:t>
      </w:r>
      <w:r>
        <w:t xml:space="preserve"> = 12.52, </w:t>
      </w:r>
      <w:r>
        <w:rPr>
          <w:i/>
        </w:rPr>
        <w:t>DE</w:t>
      </w:r>
      <w:r>
        <w:t xml:space="preserve"> = 3.54, </w:t>
      </w:r>
      <w:r>
        <w:rPr>
          <w:i/>
        </w:rPr>
        <w:t>n</w:t>
      </w:r>
      <w:r>
        <w:t xml:space="preserve"> = 48). Los resultados no evidencian diferencias estadísticamente significativas entre los grupos, </w:t>
      </w:r>
      <w:r>
        <w:rPr>
          <w:i/>
        </w:rPr>
        <w:t>F</w:t>
      </w:r>
      <w:r>
        <w:t xml:space="preserve">(2, 147) = 0.76, </w:t>
      </w:r>
      <w:r>
        <w:rPr>
          <w:i/>
        </w:rPr>
        <w:t>p</w:t>
      </w:r>
      <w:r>
        <w:t xml:space="preserve"> = .469, </w:t>
      </w:r>
      <w:r>
        <w:rPr>
          <w:i/>
        </w:rPr>
        <w:t>η</w:t>
      </w:r>
      <w:r>
        <w:t>² = .01, que indica un tamaño del efecto pequeño. Por tanto, no se rechaza la hipótesis nula: no se halló evidencia suficiente de diferencias entre los grupos, y no corresponde realizar comparaciones post hoc.</w:t>
      </w:r>
    </w:p>
    <w:p>
      <w:pPr>
        <w:keepNext/>
      </w:pPr>
      <w:r>
        <w:rPr>
          <w:b/>
        </w:rPr>
        <w:t>Justificación para el capítulo de método</w:t>
      </w:r>
    </w:p>
    <w:p>
      <w:r>
        <w:t>Se evaluó la normalidad de postest en cada grupo mediante la prueba de Kolmogorov-Smirnov (Lilliefors) y la homogeneidad de varianzas mediante la prueba de Levene. Dado que todos los grupos cumplieron el supuesto de normalidad y las varianzas fueron homogéneas, se empleó la prueba ANOVA de un factor y el tamaño del efecto η². Se adoptó un nivel de significancia de α = .05.</w:t>
      </w:r>
    </w:p>
    <w:p>
      <w:pPr>
        <w:pStyle w:val="Heading2"/>
      </w:pPr>
      <w:r>
        <w:rPr>
          <w:rFonts w:ascii="Times New Roman" w:hAnsi="Times New Roman"/>
          <w:color w:val="000000"/>
        </w:rPr>
        <w:t>Comparación de pretest y postest (muestras relacionadas)</w:t>
      </w:r>
    </w:p>
    <w:p>
      <w:r>
        <w:rPr>
          <w:b/>
        </w:rPr>
        <w:t>Prueba aplicada:</w:t>
      </w:r>
      <w:r>
        <w:t xml:space="preserve"> t de Student para muestras relacionadas</w:t>
      </w:r>
    </w:p>
    <w:p>
      <w:pPr>
        <w:keepNext/>
      </w:pPr>
      <w:r>
        <w:rPr>
          <w:b/>
        </w:rPr>
        <w:t>Verificación de supuestos</w:t>
      </w:r>
    </w:p>
    <w:p>
      <w:pPr>
        <w:pStyle w:val="ListBullet"/>
      </w:pPr>
      <w:r>
        <w:rPr>
          <w:sz w:val="22"/>
        </w:rPr>
        <w:t xml:space="preserve">Normalidad de las diferencias (postest − pretest) con Kolmogorov-Smirnov (Lilliefors): </w:t>
      </w:r>
      <w:r>
        <w:rPr>
          <w:i/>
          <w:sz w:val="22"/>
        </w:rPr>
        <w:t>p</w:t>
      </w:r>
      <w:r>
        <w:rPr>
          <w:sz w:val="22"/>
        </w:rPr>
        <w:t xml:space="preserve"> = .075 → normal</w:t>
      </w:r>
    </w:p>
    <w:p>
      <w:r>
        <w:rPr>
          <w:b/>
        </w:rPr>
        <w:t>H₀:</w:t>
      </w:r>
      <w:r>
        <w:t xml:space="preserve"> No existen diferencias estadísticamente significativas entre pretest y postest.</w:t>
      </w:r>
    </w:p>
    <w:p>
      <w:r>
        <w:rPr>
          <w:b/>
        </w:rPr>
        <w:t>H₁:</w:t>
      </w:r>
      <w:r>
        <w:t xml:space="preserve"> Existen diferencias estadísticamente significativas entre pretest y postest.</w:t>
      </w:r>
    </w:p>
    <w:p>
      <w:r>
        <w:rPr>
          <w:b/>
        </w:rPr>
        <w:t>Decisión:</w:t>
      </w:r>
      <w:r>
        <w:t xml:space="preserve"> Como </w:t>
      </w:r>
      <w:r>
        <w:rPr>
          <w:i/>
        </w:rPr>
        <w:t>p</w:t>
      </w:r>
      <w:r>
        <w:t xml:space="preserve"> &lt; .001 es menor que α = .05, se rechaza H₀.</w:t>
      </w:r>
    </w:p>
    <w:p>
      <w:pPr>
        <w:keepNext/>
      </w:pPr>
      <w:r>
        <w:rPr>
          <w:b/>
        </w:rPr>
        <w:t>Tabla 8</w:t>
      </w:r>
    </w:p>
    <w:p>
      <w:pPr>
        <w:keepNext/>
      </w:pPr>
      <w:r>
        <w:rPr>
          <w:i/>
        </w:rPr>
        <w:t>Estadísticos descriptivos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9"/>
        <w:gridCol w:w="1514"/>
        <w:gridCol w:w="1514"/>
        <w:gridCol w:w="1514"/>
        <w:gridCol w:w="1514"/>
        <w:gridCol w:w="1514"/>
      </w:tblGrid>
      <w:tr>
        <w:tc>
          <w:tcPr>
            <w:tcW w:type="dxa" w:w="1789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Medición</w:t>
            </w:r>
          </w:p>
        </w:tc>
        <w:tc>
          <w:tcPr>
            <w:tcW w:type="dxa" w:w="1514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n</w:t>
            </w:r>
          </w:p>
        </w:tc>
        <w:tc>
          <w:tcPr>
            <w:tcW w:type="dxa" w:w="1514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M</w:t>
            </w:r>
          </w:p>
        </w:tc>
        <w:tc>
          <w:tcPr>
            <w:tcW w:type="dxa" w:w="1514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DE</w:t>
            </w:r>
          </w:p>
        </w:tc>
        <w:tc>
          <w:tcPr>
            <w:tcW w:type="dxa" w:w="1514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Mdn</w:t>
            </w:r>
          </w:p>
        </w:tc>
        <w:tc>
          <w:tcPr>
            <w:tcW w:type="dxa" w:w="1514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RIC</w:t>
            </w:r>
          </w:p>
        </w:tc>
      </w:tr>
      <w:tr>
        <w:tc>
          <w:tcPr>
            <w:tcW w:type="dxa" w:w="1789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pretest</w:t>
            </w:r>
          </w:p>
        </w:tc>
        <w:tc>
          <w:tcPr>
            <w:tcW w:type="dxa" w:w="1514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150</w:t>
            </w:r>
          </w:p>
        </w:tc>
        <w:tc>
          <w:tcPr>
            <w:tcW w:type="dxa" w:w="1514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11.52</w:t>
            </w:r>
          </w:p>
        </w:tc>
        <w:tc>
          <w:tcPr>
            <w:tcW w:type="dxa" w:w="1514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2.67</w:t>
            </w:r>
          </w:p>
        </w:tc>
        <w:tc>
          <w:tcPr>
            <w:tcW w:type="dxa" w:w="1514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11.30</w:t>
            </w:r>
          </w:p>
        </w:tc>
        <w:tc>
          <w:tcPr>
            <w:tcW w:type="dxa" w:w="1514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4.00</w:t>
            </w:r>
          </w:p>
        </w:tc>
      </w:tr>
      <w:tr>
        <w:tc>
          <w:tcPr>
            <w:tcW w:type="dxa" w:w="1789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postest</w:t>
            </w:r>
          </w:p>
        </w:tc>
        <w:tc>
          <w:tcPr>
            <w:tcW w:type="dxa" w:w="1514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150</w:t>
            </w:r>
          </w:p>
        </w:tc>
        <w:tc>
          <w:tcPr>
            <w:tcW w:type="dxa" w:w="1514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12.78</w:t>
            </w:r>
          </w:p>
        </w:tc>
        <w:tc>
          <w:tcPr>
            <w:tcW w:type="dxa" w:w="1514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3.26</w:t>
            </w:r>
          </w:p>
        </w:tc>
        <w:tc>
          <w:tcPr>
            <w:tcW w:type="dxa" w:w="1514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12.25</w:t>
            </w:r>
          </w:p>
        </w:tc>
        <w:tc>
          <w:tcPr>
            <w:tcW w:type="dxa" w:w="1514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4.75</w:t>
            </w:r>
          </w:p>
        </w:tc>
      </w:tr>
    </w:tbl>
    <w:p/>
    <w:p>
      <w:pPr>
        <w:keepNext/>
      </w:pPr>
      <w:r>
        <w:rPr>
          <w:b/>
        </w:rPr>
        <w:t>Tabla 9</w:t>
      </w:r>
    </w:p>
    <w:p>
      <w:pPr>
        <w:keepNext/>
      </w:pPr>
      <w:r>
        <w:rPr>
          <w:i/>
        </w:rPr>
        <w:t>Comparación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4"/>
        <w:gridCol w:w="928"/>
        <w:gridCol w:w="928"/>
        <w:gridCol w:w="928"/>
        <w:gridCol w:w="1349"/>
        <w:gridCol w:w="1096"/>
        <w:gridCol w:w="1096"/>
        <w:gridCol w:w="1012"/>
      </w:tblGrid>
      <w:tr>
        <w:tc>
          <w:tcPr>
            <w:tcW w:type="dxa" w:w="2024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8"/>
              </w:rPr>
              <w:t>Prueba</w:t>
            </w:r>
          </w:p>
        </w:tc>
        <w:tc>
          <w:tcPr>
            <w:tcW w:type="dxa" w:w="92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t</w:t>
            </w:r>
          </w:p>
        </w:tc>
        <w:tc>
          <w:tcPr>
            <w:tcW w:type="dxa" w:w="92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gl</w:t>
            </w:r>
          </w:p>
        </w:tc>
        <w:tc>
          <w:tcPr>
            <w:tcW w:type="dxa" w:w="92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p</w:t>
            </w:r>
          </w:p>
        </w:tc>
        <w:tc>
          <w:tcPr>
            <w:tcW w:type="dxa" w:w="1349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Dif. de medias</w:t>
            </w:r>
          </w:p>
        </w:tc>
        <w:tc>
          <w:tcPr>
            <w:tcW w:type="dxa" w:w="109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IC 95% inf.</w:t>
            </w:r>
          </w:p>
        </w:tc>
        <w:tc>
          <w:tcPr>
            <w:tcW w:type="dxa" w:w="109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IC 95% sup.</w:t>
            </w:r>
          </w:p>
        </w:tc>
        <w:tc>
          <w:tcPr>
            <w:tcW w:type="dxa" w:w="101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d de Cohen</w:t>
            </w:r>
          </w:p>
        </w:tc>
      </w:tr>
      <w:tr>
        <w:tc>
          <w:tcPr>
            <w:tcW w:type="dxa" w:w="2024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8"/>
              </w:rPr>
              <w:t>t de Student para muestras relacionadas</w:t>
            </w:r>
          </w:p>
        </w:tc>
        <w:tc>
          <w:tcPr>
            <w:tcW w:type="dxa" w:w="928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7.11</w:t>
            </w:r>
          </w:p>
        </w:tc>
        <w:tc>
          <w:tcPr>
            <w:tcW w:type="dxa" w:w="928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149</w:t>
            </w:r>
          </w:p>
        </w:tc>
        <w:tc>
          <w:tcPr>
            <w:tcW w:type="dxa" w:w="928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&lt; .001</w:t>
            </w:r>
          </w:p>
        </w:tc>
        <w:tc>
          <w:tcPr>
            <w:tcW w:type="dxa" w:w="1349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1.25</w:t>
            </w:r>
          </w:p>
        </w:tc>
        <w:tc>
          <w:tcPr>
            <w:tcW w:type="dxa" w:w="1096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0.91</w:t>
            </w:r>
          </w:p>
        </w:tc>
        <w:tc>
          <w:tcPr>
            <w:tcW w:type="dxa" w:w="1096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1.60</w:t>
            </w:r>
          </w:p>
        </w:tc>
        <w:tc>
          <w:tcPr>
            <w:tcW w:type="dxa" w:w="1012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0.58</w:t>
            </w:r>
          </w:p>
        </w:tc>
      </w:tr>
    </w:tbl>
    <w:p>
      <w:r>
        <w:rPr>
          <w:i/>
          <w:sz w:val="20"/>
        </w:rPr>
        <w:t xml:space="preserve">Nota. </w:t>
      </w:r>
      <w:r>
        <w:rPr>
          <w:sz w:val="20"/>
        </w:rPr>
        <w:t>Diferencia = medición final − medición inicial; d de Cohen = diferencia media / DE de las diferencias (d_z).</w:t>
      </w:r>
    </w:p>
    <w:p/>
    <w:p>
      <w:pPr>
        <w:keepNext/>
      </w:pPr>
      <w:r>
        <w:rPr>
          <w:b/>
        </w:rPr>
        <w:t>Figura 5</w:t>
      </w:r>
    </w:p>
    <w:p>
      <w:pPr>
        <w:keepNext/>
      </w:pPr>
      <w:r>
        <w:rPr>
          <w:i/>
        </w:rPr>
        <w:t>Distribución de pretest y postest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04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readas_pretest_post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04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Redacción de resultados</w:t>
      </w:r>
    </w:p>
    <w:p>
      <w:r>
        <w:t>Se aplicó la prueba t de Student para muestras relacionadas (</w:t>
      </w:r>
      <w:r>
        <w:rPr>
          <w:i/>
        </w:rPr>
        <w:t>n</w:t>
      </w:r>
      <w:r>
        <w:t xml:space="preserve"> = 150 pares) para comparar pretest (</w:t>
      </w:r>
      <w:r>
        <w:rPr>
          <w:i/>
        </w:rPr>
        <w:t>M</w:t>
      </w:r>
      <w:r>
        <w:t xml:space="preserve"> = 11.52, </w:t>
      </w:r>
      <w:r>
        <w:rPr>
          <w:i/>
        </w:rPr>
        <w:t>DE</w:t>
      </w:r>
      <w:r>
        <w:t xml:space="preserve"> = 2.67) con postest (</w:t>
      </w:r>
      <w:r>
        <w:rPr>
          <w:i/>
        </w:rPr>
        <w:t>M</w:t>
      </w:r>
      <w:r>
        <w:t xml:space="preserve"> = 12.78, </w:t>
      </w:r>
      <w:r>
        <w:rPr>
          <w:i/>
        </w:rPr>
        <w:t>DE</w:t>
      </w:r>
      <w:r>
        <w:t xml:space="preserve"> = 3.26). Los resultados evidencian una diferencia estadísticamente significativa, </w:t>
      </w:r>
      <w:r>
        <w:rPr>
          <w:i/>
        </w:rPr>
        <w:t>t</w:t>
      </w:r>
      <w:r>
        <w:t xml:space="preserve">(149) = 7.11, </w:t>
      </w:r>
      <w:r>
        <w:rPr>
          <w:i/>
        </w:rPr>
        <w:t>p</w:t>
      </w:r>
      <w:r>
        <w:t xml:space="preserve"> &lt; .001, IC 95% de la diferencia [0.91, 1.60], </w:t>
      </w:r>
      <w:r>
        <w:rPr>
          <w:i/>
        </w:rPr>
        <w:t>d</w:t>
      </w:r>
      <w:r>
        <w:t xml:space="preserve"> de Cohen = 0.58, lo que corresponde a un tamaño del efecto mediano. Entre pretest y postest se observó un aumento (media de las diferencias = 1.25). Por tanto, se rechaza la hipótesis nula.</w:t>
      </w:r>
    </w:p>
    <w:p>
      <w:pPr>
        <w:keepNext/>
      </w:pPr>
      <w:r>
        <w:rPr>
          <w:b/>
        </w:rPr>
        <w:t>Justificación para el capítulo de método</w:t>
      </w:r>
    </w:p>
    <w:p>
      <w:r>
        <w:t>Se evaluó la normalidad de las diferencias entre postest y pretest mediante la prueba de Kolmogorov-Smirnov (Lilliefors). Dado que la distribución de las diferencias fue normal, se empleó la prueba t de Student para muestras relacionadas, junto con el tamaño del efecto d de Cohen (d_z). Se adoptó un nivel de significancia de α = .05.</w:t>
      </w:r>
    </w:p>
    <w:p>
      <w:pPr>
        <w:pStyle w:val="Heading2"/>
      </w:pPr>
      <w:r>
        <w:rPr>
          <w:rFonts w:ascii="Times New Roman" w:hAnsi="Times New Roman"/>
          <w:color w:val="000000"/>
        </w:rPr>
        <w:t>Matriz de correlaciones</w:t>
      </w:r>
    </w:p>
    <w:p>
      <w:r>
        <w:rPr>
          <w:b/>
        </w:rPr>
        <w:t>Prueba aplicada:</w:t>
      </w:r>
      <w:r>
        <w:t xml:space="preserve"> Correlación rho (ρ) de Spearman (matriz de 4 variables)</w:t>
      </w:r>
    </w:p>
    <w:p>
      <w:pPr>
        <w:keepNext/>
      </w:pPr>
      <w:r>
        <w:rPr>
          <w:b/>
        </w:rPr>
        <w:t>Verificación de supuestos</w:t>
      </w:r>
    </w:p>
    <w:p>
      <w:pPr>
        <w:pStyle w:val="ListBullet"/>
      </w:pPr>
      <w:r>
        <w:rPr>
          <w:sz w:val="22"/>
        </w:rPr>
        <w:t xml:space="preserve">Normalidad de edad (Kolmogorov-Smirnov (Lilliefors)): </w:t>
      </w:r>
      <w:r>
        <w:rPr>
          <w:i/>
          <w:sz w:val="22"/>
        </w:rPr>
        <w:t>p</w:t>
      </w:r>
      <w:r>
        <w:rPr>
          <w:sz w:val="22"/>
        </w:rPr>
        <w:t xml:space="preserve"> = .009 → no normal</w:t>
      </w:r>
    </w:p>
    <w:p>
      <w:pPr>
        <w:pStyle w:val="ListBullet"/>
      </w:pPr>
      <w:r>
        <w:rPr>
          <w:sz w:val="22"/>
        </w:rPr>
        <w:t xml:space="preserve">Normalidad de horas_estudio (Kolmogorov-Smirnov (Lilliefors)): </w:t>
      </w:r>
      <w:r>
        <w:rPr>
          <w:i/>
          <w:sz w:val="22"/>
        </w:rPr>
        <w:t>p</w:t>
      </w:r>
      <w:r>
        <w:rPr>
          <w:sz w:val="22"/>
        </w:rPr>
        <w:t xml:space="preserve"> = .046 → no normal</w:t>
      </w:r>
    </w:p>
    <w:p>
      <w:pPr>
        <w:pStyle w:val="ListBullet"/>
      </w:pPr>
      <w:r>
        <w:rPr>
          <w:sz w:val="22"/>
        </w:rPr>
        <w:t xml:space="preserve">Normalidad de ansiedad (Kolmogorov-Smirnov (Lilliefors)): </w:t>
      </w:r>
      <w:r>
        <w:rPr>
          <w:i/>
          <w:sz w:val="22"/>
        </w:rPr>
        <w:t>p</w:t>
      </w:r>
      <w:r>
        <w:rPr>
          <w:sz w:val="22"/>
        </w:rPr>
        <w:t xml:space="preserve"> = .065 → normal</w:t>
      </w:r>
    </w:p>
    <w:p>
      <w:pPr>
        <w:pStyle w:val="ListBullet"/>
      </w:pPr>
      <w:r>
        <w:rPr>
          <w:sz w:val="22"/>
        </w:rPr>
        <w:t xml:space="preserve">Normalidad de postest (Kolmogorov-Smirnov (Lilliefors)): </w:t>
      </w:r>
      <w:r>
        <w:rPr>
          <w:i/>
          <w:sz w:val="22"/>
        </w:rPr>
        <w:t>p</w:t>
      </w:r>
      <w:r>
        <w:rPr>
          <w:sz w:val="22"/>
        </w:rPr>
        <w:t xml:space="preserve"> = .002 → no normal</w:t>
      </w:r>
    </w:p>
    <w:p>
      <w:pPr>
        <w:keepNext/>
      </w:pPr>
      <w:r>
        <w:rPr>
          <w:b/>
        </w:rPr>
        <w:t>Tabla 10</w:t>
      </w:r>
    </w:p>
    <w:p>
      <w:pPr>
        <w:keepNext/>
      </w:pPr>
      <w:r>
        <w:rPr>
          <w:i/>
        </w:rPr>
        <w:t>Matriz de correlaciones (rho (ρ) de Spearman)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0"/>
        <w:gridCol w:w="1907"/>
        <w:gridCol w:w="1907"/>
        <w:gridCol w:w="1907"/>
      </w:tblGrid>
      <w:tr>
        <w:tc>
          <w:tcPr>
            <w:tcW w:type="dxa" w:w="364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Variable</w:t>
            </w:r>
          </w:p>
        </w:tc>
        <w:tc>
          <w:tcPr>
            <w:tcW w:type="dxa" w:w="1907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907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907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3640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1. edad</w:t>
            </w:r>
          </w:p>
        </w:tc>
        <w:tc>
          <w:tcPr>
            <w:tcW w:type="dxa" w:w="1907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907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907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640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2. horas_estudio</w:t>
            </w:r>
          </w:p>
        </w:tc>
        <w:tc>
          <w:tcPr>
            <w:tcW w:type="dxa" w:w="1907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.01</w:t>
            </w:r>
          </w:p>
        </w:tc>
        <w:tc>
          <w:tcPr>
            <w:tcW w:type="dxa" w:w="1907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907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640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3. ansiedad</w:t>
            </w:r>
          </w:p>
        </w:tc>
        <w:tc>
          <w:tcPr>
            <w:tcW w:type="dxa" w:w="1907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-.02</w:t>
            </w:r>
          </w:p>
        </w:tc>
        <w:tc>
          <w:tcPr>
            <w:tcW w:type="dxa" w:w="1907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-.12</w:t>
            </w:r>
          </w:p>
        </w:tc>
        <w:tc>
          <w:tcPr>
            <w:tcW w:type="dxa" w:w="1907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3640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4. postest</w:t>
            </w:r>
          </w:p>
        </w:tc>
        <w:tc>
          <w:tcPr>
            <w:tcW w:type="dxa" w:w="1907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-.03</w:t>
            </w:r>
          </w:p>
        </w:tc>
        <w:tc>
          <w:tcPr>
            <w:tcW w:type="dxa" w:w="1907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.19</w:t>
            </w:r>
          </w:p>
        </w:tc>
        <w:tc>
          <w:tcPr>
            <w:tcW w:type="dxa" w:w="1907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-.42***</w:t>
            </w:r>
          </w:p>
        </w:tc>
      </w:tr>
    </w:tbl>
    <w:p>
      <w:r>
        <w:rPr>
          <w:i/>
          <w:sz w:val="20"/>
        </w:rPr>
        <w:t xml:space="preserve">Nota. </w:t>
      </w:r>
      <w:r>
        <w:rPr>
          <w:sz w:val="20"/>
        </w:rPr>
        <w:t>*p &lt; .05. **p &lt; .01. ***p &lt; .001 (ajustado con Holm).</w:t>
      </w:r>
    </w:p>
    <w:p/>
    <w:p>
      <w:pPr>
        <w:keepNext/>
      </w:pPr>
      <w:r>
        <w:rPr>
          <w:b/>
        </w:rPr>
        <w:t>Tabla 11</w:t>
      </w:r>
    </w:p>
    <w:p>
      <w:pPr>
        <w:keepNext/>
      </w:pPr>
      <w:r>
        <w:rPr>
          <w:i/>
        </w:rPr>
        <w:t>Detalle por par de variables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6"/>
        <w:gridCol w:w="1492"/>
        <w:gridCol w:w="1492"/>
        <w:gridCol w:w="1492"/>
        <w:gridCol w:w="1628"/>
      </w:tblGrid>
      <w:tr>
        <w:tc>
          <w:tcPr>
            <w:tcW w:type="dxa" w:w="3256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Par</w:t>
            </w:r>
          </w:p>
        </w:tc>
        <w:tc>
          <w:tcPr>
            <w:tcW w:type="dxa" w:w="149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ρ</w:t>
            </w:r>
          </w:p>
        </w:tc>
        <w:tc>
          <w:tcPr>
            <w:tcW w:type="dxa" w:w="149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n</w:t>
            </w:r>
          </w:p>
        </w:tc>
        <w:tc>
          <w:tcPr>
            <w:tcW w:type="dxa" w:w="149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p</w:t>
            </w:r>
          </w:p>
        </w:tc>
        <w:tc>
          <w:tcPr>
            <w:tcW w:type="dxa" w:w="162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p ajustada</w:t>
            </w:r>
          </w:p>
        </w:tc>
      </w:tr>
      <w:tr>
        <w:tc>
          <w:tcPr>
            <w:tcW w:type="dxa" w:w="3256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edad – horas_estudio</w:t>
            </w:r>
          </w:p>
        </w:tc>
        <w:tc>
          <w:tcPr>
            <w:tcW w:type="dxa" w:w="1492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.01</w:t>
            </w:r>
          </w:p>
        </w:tc>
        <w:tc>
          <w:tcPr>
            <w:tcW w:type="dxa" w:w="1492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145</w:t>
            </w:r>
          </w:p>
        </w:tc>
        <w:tc>
          <w:tcPr>
            <w:tcW w:type="dxa" w:w="1492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.932</w:t>
            </w:r>
          </w:p>
        </w:tc>
        <w:tc>
          <w:tcPr>
            <w:tcW w:type="dxa" w:w="162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1.000</w:t>
            </w:r>
          </w:p>
        </w:tc>
      </w:tr>
      <w:tr>
        <w:tc>
          <w:tcPr>
            <w:tcW w:type="dxa" w:w="3256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edad – ansiedad</w:t>
            </w:r>
          </w:p>
        </w:tc>
        <w:tc>
          <w:tcPr>
            <w:tcW w:type="dxa" w:w="1492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-.02</w:t>
            </w:r>
          </w:p>
        </w:tc>
        <w:tc>
          <w:tcPr>
            <w:tcW w:type="dxa" w:w="1492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145</w:t>
            </w:r>
          </w:p>
        </w:tc>
        <w:tc>
          <w:tcPr>
            <w:tcW w:type="dxa" w:w="1492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.825</w:t>
            </w:r>
          </w:p>
        </w:tc>
        <w:tc>
          <w:tcPr>
            <w:tcW w:type="dxa" w:w="162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1.000</w:t>
            </w:r>
          </w:p>
        </w:tc>
      </w:tr>
      <w:tr>
        <w:tc>
          <w:tcPr>
            <w:tcW w:type="dxa" w:w="3256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edad – postest</w:t>
            </w:r>
          </w:p>
        </w:tc>
        <w:tc>
          <w:tcPr>
            <w:tcW w:type="dxa" w:w="1492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-.03</w:t>
            </w:r>
          </w:p>
        </w:tc>
        <w:tc>
          <w:tcPr>
            <w:tcW w:type="dxa" w:w="1492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150</w:t>
            </w:r>
          </w:p>
        </w:tc>
        <w:tc>
          <w:tcPr>
            <w:tcW w:type="dxa" w:w="1492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.756</w:t>
            </w:r>
          </w:p>
        </w:tc>
        <w:tc>
          <w:tcPr>
            <w:tcW w:type="dxa" w:w="162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1.000</w:t>
            </w:r>
          </w:p>
        </w:tc>
      </w:tr>
      <w:tr>
        <w:tc>
          <w:tcPr>
            <w:tcW w:type="dxa" w:w="3256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horas_estudio – ansiedad</w:t>
            </w:r>
          </w:p>
        </w:tc>
        <w:tc>
          <w:tcPr>
            <w:tcW w:type="dxa" w:w="1492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-.12</w:t>
            </w:r>
          </w:p>
        </w:tc>
        <w:tc>
          <w:tcPr>
            <w:tcW w:type="dxa" w:w="1492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141</w:t>
            </w:r>
          </w:p>
        </w:tc>
        <w:tc>
          <w:tcPr>
            <w:tcW w:type="dxa" w:w="1492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.148</w:t>
            </w:r>
          </w:p>
        </w:tc>
        <w:tc>
          <w:tcPr>
            <w:tcW w:type="dxa" w:w="162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.591</w:t>
            </w:r>
          </w:p>
        </w:tc>
      </w:tr>
      <w:tr>
        <w:tc>
          <w:tcPr>
            <w:tcW w:type="dxa" w:w="3256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horas_estudio – postest</w:t>
            </w:r>
          </w:p>
        </w:tc>
        <w:tc>
          <w:tcPr>
            <w:tcW w:type="dxa" w:w="1492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.19</w:t>
            </w:r>
          </w:p>
        </w:tc>
        <w:tc>
          <w:tcPr>
            <w:tcW w:type="dxa" w:w="1492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145</w:t>
            </w:r>
          </w:p>
        </w:tc>
        <w:tc>
          <w:tcPr>
            <w:tcW w:type="dxa" w:w="1492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.026</w:t>
            </w:r>
          </w:p>
        </w:tc>
        <w:tc>
          <w:tcPr>
            <w:tcW w:type="dxa" w:w="162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.129</w:t>
            </w:r>
          </w:p>
        </w:tc>
      </w:tr>
      <w:tr>
        <w:tc>
          <w:tcPr>
            <w:tcW w:type="dxa" w:w="3256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ansiedad – postest</w:t>
            </w:r>
          </w:p>
        </w:tc>
        <w:tc>
          <w:tcPr>
            <w:tcW w:type="dxa" w:w="1492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-.42</w:t>
            </w:r>
          </w:p>
        </w:tc>
        <w:tc>
          <w:tcPr>
            <w:tcW w:type="dxa" w:w="1492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145</w:t>
            </w:r>
          </w:p>
        </w:tc>
        <w:tc>
          <w:tcPr>
            <w:tcW w:type="dxa" w:w="1492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&lt; .001</w:t>
            </w:r>
          </w:p>
        </w:tc>
        <w:tc>
          <w:tcPr>
            <w:tcW w:type="dxa" w:w="1628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&lt; .001</w:t>
            </w:r>
          </w:p>
        </w:tc>
      </w:tr>
    </w:tbl>
    <w:p/>
    <w:p>
      <w:pPr>
        <w:keepNext/>
      </w:pPr>
      <w:r>
        <w:rPr>
          <w:b/>
        </w:rPr>
        <w:t>Figura 6</w:t>
      </w:r>
    </w:p>
    <w:p>
      <w:pPr>
        <w:keepNext/>
      </w:pPr>
      <w:r>
        <w:rPr>
          <w:i/>
        </w:rPr>
        <w:t>Mapa de calor de las correlaciones (azul = positiva, rojo = negativa)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8903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atriz_correlacion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890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Redacción de resultados</w:t>
      </w:r>
    </w:p>
    <w:p>
      <w:r>
        <w:t xml:space="preserve">Se calculó la matriz de correlaciones con el coeficiente rho (ρ) de Spearman entre 4 variables (edad; horas_estudio; ansiedad; postest). Se halló 1 correlación estadísticamente significativa de un total de 6 (valores </w:t>
      </w:r>
      <w:r>
        <w:rPr>
          <w:i/>
        </w:rPr>
        <w:t>p</w:t>
      </w:r>
      <w:r>
        <w:t xml:space="preserve"> ajustados con Holm). La de mayor magnitud fue: ansiedad – postest: </w:t>
      </w:r>
      <w:r>
        <w:rPr>
          <w:i/>
        </w:rPr>
        <w:t>ρ</w:t>
      </w:r>
      <w:r>
        <w:t xml:space="preserve"> = -.42, </w:t>
      </w:r>
      <w:r>
        <w:rPr>
          <w:i/>
        </w:rPr>
        <w:t>p</w:t>
      </w:r>
      <w:r>
        <w:t xml:space="preserve"> &lt; .001.</w:t>
      </w:r>
    </w:p>
    <w:p>
      <w:pPr>
        <w:keepNext/>
      </w:pPr>
      <w:r>
        <w:rPr>
          <w:b/>
        </w:rPr>
        <w:t>Justificación para el capítulo de método</w:t>
      </w:r>
    </w:p>
    <w:p>
      <w:r>
        <w:t>Se evaluó la normalidad de cada variable con la prueba de Kolmogorov-Smirnov (Lilliefors). Dado que al menos una variable no fue normal u ordinal, se utilizó el coeficiente rho (ρ) de Spearman para toda la matriz, con ajuste de Holm por comparaciones múltiples. Nivel de significancia α = .05.</w:t>
      </w:r>
    </w:p>
    <w:p>
      <w:pPr>
        <w:pStyle w:val="Heading2"/>
      </w:pPr>
      <w:r>
        <w:rPr>
          <w:rFonts w:ascii="Times New Roman" w:hAnsi="Times New Roman"/>
          <w:color w:val="000000"/>
        </w:rPr>
        <w:t>Asociación entre sexo y aprobado</w:t>
      </w:r>
    </w:p>
    <w:p>
      <w:r>
        <w:rPr>
          <w:b/>
        </w:rPr>
        <w:t>Prueba aplicada:</w:t>
      </w:r>
      <w:r>
        <w:t xml:space="preserve"> Chi cuadrado de independencia de Pearson</w:t>
      </w:r>
    </w:p>
    <w:p>
      <w:pPr>
        <w:keepNext/>
      </w:pPr>
      <w:r>
        <w:rPr>
          <w:b/>
        </w:rPr>
        <w:t>Verificación de supuestos</w:t>
      </w:r>
    </w:p>
    <w:p>
      <w:pPr>
        <w:pStyle w:val="ListBullet"/>
      </w:pPr>
      <w:r>
        <w:rPr>
          <w:sz w:val="22"/>
        </w:rPr>
        <w:t>Frecuencias esperadas: mínima = 23.04; 0.0% de las casillas con frecuencia esperada &lt; 5 → se cumple el supuesto</w:t>
      </w:r>
    </w:p>
    <w:p>
      <w:r>
        <w:rPr>
          <w:b/>
        </w:rPr>
        <w:t>H₀:</w:t>
      </w:r>
      <w:r>
        <w:t xml:space="preserve"> sexo y aprobado son independientes (no existe asociación).</w:t>
      </w:r>
    </w:p>
    <w:p>
      <w:r>
        <w:rPr>
          <w:b/>
        </w:rPr>
        <w:t>H₁:</w:t>
      </w:r>
      <w:r>
        <w:t xml:space="preserve"> sexo y aprobado no son independientes (existe asociación).</w:t>
      </w:r>
    </w:p>
    <w:p>
      <w:r>
        <w:rPr>
          <w:b/>
        </w:rPr>
        <w:t>Decisión:</w:t>
      </w:r>
      <w:r>
        <w:t xml:space="preserve"> Como </w:t>
      </w:r>
      <w:r>
        <w:rPr>
          <w:i/>
        </w:rPr>
        <w:t>p</w:t>
      </w:r>
      <w:r>
        <w:t xml:space="preserve"> = .741 es mayor o igual que α = .05, no se rechaza H₀.</w:t>
      </w:r>
    </w:p>
    <w:p>
      <w:pPr>
        <w:keepNext/>
      </w:pPr>
      <w:r>
        <w:rPr>
          <w:b/>
        </w:rPr>
        <w:t>Tabla 12</w:t>
      </w:r>
    </w:p>
    <w:p>
      <w:pPr>
        <w:keepNext/>
      </w:pPr>
      <w:r>
        <w:rPr>
          <w:i/>
        </w:rPr>
        <w:t>Tabla de contingencia, n (% por fila)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9"/>
        <w:gridCol w:w="2569"/>
        <w:gridCol w:w="2569"/>
        <w:gridCol w:w="2202"/>
      </w:tblGrid>
      <w:tr>
        <w:tc>
          <w:tcPr>
            <w:tcW w:type="dxa" w:w="2019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sexo</w:t>
            </w:r>
          </w:p>
        </w:tc>
        <w:tc>
          <w:tcPr>
            <w:tcW w:type="dxa" w:w="2569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aprobado: No</w:t>
            </w:r>
          </w:p>
        </w:tc>
        <w:tc>
          <w:tcPr>
            <w:tcW w:type="dxa" w:w="2569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aprobado: Sí</w:t>
            </w:r>
          </w:p>
        </w:tc>
        <w:tc>
          <w:tcPr>
            <w:tcW w:type="dxa" w:w="220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Total</w:t>
            </w:r>
          </w:p>
        </w:tc>
      </w:tr>
      <w:tr>
        <w:tc>
          <w:tcPr>
            <w:tcW w:type="dxa" w:w="2019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Hombre</w:t>
            </w:r>
          </w:p>
        </w:tc>
        <w:tc>
          <w:tcPr>
            <w:tcW w:type="dxa" w:w="2569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40 (62.5%)</w:t>
            </w:r>
          </w:p>
        </w:tc>
        <w:tc>
          <w:tcPr>
            <w:tcW w:type="dxa" w:w="2569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24 (37.5%)</w:t>
            </w:r>
          </w:p>
        </w:tc>
        <w:tc>
          <w:tcPr>
            <w:tcW w:type="dxa" w:w="2202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64 (100%)</w:t>
            </w:r>
          </w:p>
        </w:tc>
      </w:tr>
      <w:tr>
        <w:tc>
          <w:tcPr>
            <w:tcW w:type="dxa" w:w="2019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Mujer</w:t>
            </w:r>
          </w:p>
        </w:tc>
        <w:tc>
          <w:tcPr>
            <w:tcW w:type="dxa" w:w="2569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56 (65.1%)</w:t>
            </w:r>
          </w:p>
        </w:tc>
        <w:tc>
          <w:tcPr>
            <w:tcW w:type="dxa" w:w="2569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30 (34.9%)</w:t>
            </w:r>
          </w:p>
        </w:tc>
        <w:tc>
          <w:tcPr>
            <w:tcW w:type="dxa" w:w="2202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86 (100%)</w:t>
            </w:r>
          </w:p>
        </w:tc>
      </w:tr>
      <w:tr>
        <w:tc>
          <w:tcPr>
            <w:tcW w:type="dxa" w:w="2019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Total</w:t>
            </w:r>
          </w:p>
        </w:tc>
        <w:tc>
          <w:tcPr>
            <w:tcW w:type="dxa" w:w="2569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96 (64.0%)</w:t>
            </w:r>
          </w:p>
        </w:tc>
        <w:tc>
          <w:tcPr>
            <w:tcW w:type="dxa" w:w="2569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54 (36.0%)</w:t>
            </w:r>
          </w:p>
        </w:tc>
        <w:tc>
          <w:tcPr>
            <w:tcW w:type="dxa" w:w="2202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150 (100%)</w:t>
            </w:r>
          </w:p>
        </w:tc>
      </w:tr>
    </w:tbl>
    <w:p/>
    <w:p>
      <w:pPr>
        <w:keepNext/>
      </w:pPr>
      <w:r>
        <w:rPr>
          <w:b/>
        </w:rPr>
        <w:t>Tabla 13</w:t>
      </w:r>
    </w:p>
    <w:p>
      <w:pPr>
        <w:keepNext/>
      </w:pPr>
      <w:r>
        <w:rPr>
          <w:i/>
        </w:rPr>
        <w:t>Contraste de asociación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7"/>
        <w:gridCol w:w="888"/>
        <w:gridCol w:w="888"/>
        <w:gridCol w:w="888"/>
        <w:gridCol w:w="888"/>
        <w:gridCol w:w="888"/>
        <w:gridCol w:w="888"/>
        <w:gridCol w:w="1049"/>
        <w:gridCol w:w="1049"/>
      </w:tblGrid>
      <w:tr>
        <w:tc>
          <w:tcPr>
            <w:tcW w:type="dxa" w:w="1937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8"/>
              </w:rPr>
              <w:t>Prueba</w:t>
            </w:r>
          </w:p>
        </w:tc>
        <w:tc>
          <w:tcPr>
            <w:tcW w:type="dxa" w:w="88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χ²</w:t>
            </w:r>
          </w:p>
        </w:tc>
        <w:tc>
          <w:tcPr>
            <w:tcW w:type="dxa" w:w="88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gl</w:t>
            </w:r>
          </w:p>
        </w:tc>
        <w:tc>
          <w:tcPr>
            <w:tcW w:type="dxa" w:w="88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p</w:t>
            </w:r>
          </w:p>
        </w:tc>
        <w:tc>
          <w:tcPr>
            <w:tcW w:type="dxa" w:w="88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φ</w:t>
            </w:r>
          </w:p>
        </w:tc>
        <w:tc>
          <w:tcPr>
            <w:tcW w:type="dxa" w:w="88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type="dxa" w:w="88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OR</w:t>
            </w:r>
          </w:p>
        </w:tc>
        <w:tc>
          <w:tcPr>
            <w:tcW w:type="dxa" w:w="1049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IC 95% inf.</w:t>
            </w:r>
          </w:p>
        </w:tc>
        <w:tc>
          <w:tcPr>
            <w:tcW w:type="dxa" w:w="1049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IC 95% sup.</w:t>
            </w:r>
          </w:p>
        </w:tc>
      </w:tr>
      <w:tr>
        <w:tc>
          <w:tcPr>
            <w:tcW w:type="dxa" w:w="1937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8"/>
              </w:rPr>
              <w:t>Chi cuadrado de independencia de Pearson</w:t>
            </w:r>
          </w:p>
        </w:tc>
        <w:tc>
          <w:tcPr>
            <w:tcW w:type="dxa" w:w="888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0.11</w:t>
            </w:r>
          </w:p>
        </w:tc>
        <w:tc>
          <w:tcPr>
            <w:tcW w:type="dxa" w:w="888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88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.741</w:t>
            </w:r>
          </w:p>
        </w:tc>
        <w:tc>
          <w:tcPr>
            <w:tcW w:type="dxa" w:w="888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.03</w:t>
            </w:r>
          </w:p>
        </w:tc>
        <w:tc>
          <w:tcPr>
            <w:tcW w:type="dxa" w:w="888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150</w:t>
            </w:r>
          </w:p>
        </w:tc>
        <w:tc>
          <w:tcPr>
            <w:tcW w:type="dxa" w:w="888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0.89</w:t>
            </w:r>
          </w:p>
        </w:tc>
        <w:tc>
          <w:tcPr>
            <w:tcW w:type="dxa" w:w="1049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0.46</w:t>
            </w:r>
          </w:p>
        </w:tc>
        <w:tc>
          <w:tcPr>
            <w:tcW w:type="dxa" w:w="1049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1.75</w:t>
            </w:r>
          </w:p>
        </w:tc>
      </w:tr>
    </w:tbl>
    <w:p>
      <w:r>
        <w:rPr>
          <w:i/>
          <w:sz w:val="20"/>
        </w:rPr>
        <w:t xml:space="preserve">Nota. </w:t>
      </w:r>
      <w:r>
        <w:rPr>
          <w:sz w:val="20"/>
        </w:rPr>
        <w:t>φ = coeficiente phi (tablas 2 × 2); V = V de Cramér; OR = razón de momios (odds ratio) con IC 95%.</w:t>
      </w:r>
    </w:p>
    <w:p/>
    <w:p>
      <w:pPr>
        <w:keepNext/>
      </w:pPr>
      <w:r>
        <w:rPr>
          <w:b/>
        </w:rPr>
        <w:t>Figura 7</w:t>
      </w:r>
    </w:p>
    <w:p>
      <w:pPr>
        <w:keepNext/>
      </w:pPr>
      <w:r>
        <w:rPr>
          <w:i/>
        </w:rPr>
        <w:t>Distribución porcentual de aprobado según sexo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9792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i2_sexo_aproba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79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Redacción de resultados</w:t>
      </w:r>
    </w:p>
    <w:p>
      <w:r>
        <w:t>Se aplicó la prueba chi cuadrado de independencia de Pearson para analizar la asociación entre sexo y aprobado (</w:t>
      </w:r>
      <w:r>
        <w:rPr>
          <w:i/>
        </w:rPr>
        <w:t>N</w:t>
      </w:r>
      <w:r>
        <w:t xml:space="preserve"> = 150). Los resultados no evidencian una asociación estadísticamente significativa, </w:t>
      </w:r>
      <w:r>
        <w:rPr>
          <w:i/>
        </w:rPr>
        <w:t>χ</w:t>
      </w:r>
      <w:r>
        <w:t xml:space="preserve">²(1, </w:t>
      </w:r>
      <w:r>
        <w:rPr>
          <w:i/>
        </w:rPr>
        <w:t>N</w:t>
      </w:r>
      <w:r>
        <w:t xml:space="preserve"> = 150) = 0.11, </w:t>
      </w:r>
      <w:r>
        <w:rPr>
          <w:i/>
        </w:rPr>
        <w:t>p</w:t>
      </w:r>
      <w:r>
        <w:t xml:space="preserve"> = .741, </w:t>
      </w:r>
      <w:r>
        <w:rPr>
          <w:i/>
        </w:rPr>
        <w:t>φ</w:t>
      </w:r>
      <w:r>
        <w:t xml:space="preserve"> = .03. Por tanto, no se rechaza la hipótesis nula: no hay evidencia suficiente de asociación entre las variables.</w:t>
      </w:r>
    </w:p>
    <w:p>
      <w:pPr>
        <w:keepNext/>
      </w:pPr>
      <w:r>
        <w:rPr>
          <w:b/>
        </w:rPr>
        <w:t>Justificación para el capítulo de método</w:t>
      </w:r>
    </w:p>
    <w:p>
      <w:r>
        <w:t>Para analizar la asociación entre las variables categóricas sexo y aprobado se utilizó la prueba chi cuadrado de independencia de Pearson, dado que todas las frecuencias esperadas fueron adecuadas (≥ 5). Como medida del tamaño del efecto se empleó phi (φ) (.10 pequeño, .30 mediano, .50 grande). Nivel de significancia α = .05.</w:t>
      </w:r>
    </w:p>
    <w:p>
      <w:pPr>
        <w:pStyle w:val="Heading2"/>
      </w:pPr>
      <w:r>
        <w:rPr>
          <w:rFonts w:ascii="Times New Roman" w:hAnsi="Times New Roman"/>
          <w:color w:val="000000"/>
        </w:rPr>
        <w:t>Regresión lineal múltiple: postest</w:t>
      </w:r>
    </w:p>
    <w:p>
      <w:r>
        <w:rPr>
          <w:b/>
        </w:rPr>
        <w:t>Prueba aplicada:</w:t>
      </w:r>
      <w:r>
        <w:t xml:space="preserve"> Regresión lineal múltiple por mínimos cuadrados ordinarios</w:t>
      </w:r>
    </w:p>
    <w:p>
      <w:pPr>
        <w:keepNext/>
      </w:pPr>
      <w:r>
        <w:rPr>
          <w:b/>
        </w:rPr>
        <w:t>Verificación de supuestos</w:t>
      </w:r>
    </w:p>
    <w:p>
      <w:pPr>
        <w:pStyle w:val="ListBullet"/>
      </w:pPr>
      <w:r>
        <w:rPr>
          <w:sz w:val="22"/>
        </w:rPr>
        <w:t xml:space="preserve">Normalidad de los residuos (Kolmogorov-Smirnov (Lilliefors)): </w:t>
      </w:r>
      <w:r>
        <w:rPr>
          <w:i/>
          <w:sz w:val="22"/>
        </w:rPr>
        <w:t>p</w:t>
      </w:r>
      <w:r>
        <w:rPr>
          <w:sz w:val="22"/>
        </w:rPr>
        <w:t xml:space="preserve"> &gt; .20 → normal</w:t>
      </w:r>
    </w:p>
    <w:p>
      <w:pPr>
        <w:pStyle w:val="ListBullet"/>
      </w:pPr>
      <w:r>
        <w:rPr>
          <w:sz w:val="22"/>
        </w:rPr>
        <w:t xml:space="preserve">Homocedasticidad (Breusch-Pagan): </w:t>
      </w:r>
      <w:r>
        <w:rPr>
          <w:i/>
          <w:sz w:val="22"/>
        </w:rPr>
        <w:t>p</w:t>
      </w:r>
      <w:r>
        <w:rPr>
          <w:sz w:val="22"/>
        </w:rPr>
        <w:t xml:space="preserve"> = .664 → varianza constante</w:t>
      </w:r>
    </w:p>
    <w:p>
      <w:pPr>
        <w:pStyle w:val="ListBullet"/>
      </w:pPr>
      <w:r>
        <w:rPr>
          <w:sz w:val="22"/>
        </w:rPr>
        <w:t>Multicolinealidad (VIF máximo): 1.25 → adecuada (&lt; 5)</w:t>
      </w:r>
    </w:p>
    <w:p>
      <w:pPr>
        <w:pStyle w:val="ListBullet"/>
      </w:pPr>
      <w:r>
        <w:rPr>
          <w:sz w:val="22"/>
        </w:rPr>
        <w:t>Independencia de residuos (Durbin-Watson): 1.96 → aceptable (1.5–2.5)</w:t>
      </w:r>
    </w:p>
    <w:p>
      <w:pPr>
        <w:pStyle w:val="ListBullet"/>
      </w:pPr>
      <w:r>
        <w:rPr>
          <w:sz w:val="22"/>
        </w:rPr>
        <w:t>Casos influyentes (distancia de Cook &gt; 4/n): 3</w:t>
      </w:r>
    </w:p>
    <w:p>
      <w:r>
        <w:rPr>
          <w:b/>
        </w:rPr>
        <w:t>H₀:</w:t>
      </w:r>
      <w:r>
        <w:t xml:space="preserve"> Los predictores (pretest, horas_estudio, ansiedad, grupo) no explican de manera significativa la variabilidad de postest (R² = 0).</w:t>
      </w:r>
    </w:p>
    <w:p>
      <w:r>
        <w:rPr>
          <w:b/>
        </w:rPr>
        <w:t>H₁:</w:t>
      </w:r>
      <w:r>
        <w:t xml:space="preserve"> Al menos un predictor (pretest, horas_estudio, ansiedad, grupo) explica de manera significativa la variabilidad de postest (R² &gt; 0).</w:t>
      </w:r>
    </w:p>
    <w:p>
      <w:r>
        <w:rPr>
          <w:b/>
        </w:rPr>
        <w:t>Decisión:</w:t>
      </w:r>
      <w:r>
        <w:t xml:space="preserve"> Como </w:t>
      </w:r>
      <w:r>
        <w:rPr>
          <w:i/>
        </w:rPr>
        <w:t>p</w:t>
      </w:r>
      <w:r>
        <w:t xml:space="preserve"> &lt; .001 es menor que α = .05, se rechaza H₀ (prueba F del modelo global).</w:t>
      </w:r>
    </w:p>
    <w:p>
      <w:pPr>
        <w:keepNext/>
      </w:pPr>
      <w:r>
        <w:rPr>
          <w:b/>
        </w:rPr>
        <w:t>Tabla 14</w:t>
      </w:r>
    </w:p>
    <w:p>
      <w:pPr>
        <w:keepNext/>
      </w:pPr>
      <w:r>
        <w:rPr>
          <w:i/>
        </w:rPr>
        <w:t>Resumen del modelo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1"/>
        <w:gridCol w:w="911"/>
        <w:gridCol w:w="911"/>
        <w:gridCol w:w="1739"/>
        <w:gridCol w:w="911"/>
        <w:gridCol w:w="911"/>
        <w:gridCol w:w="911"/>
        <w:gridCol w:w="911"/>
        <w:gridCol w:w="1242"/>
      </w:tblGrid>
      <w:tr>
        <w:tc>
          <w:tcPr>
            <w:tcW w:type="dxa" w:w="911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911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R²</w:t>
            </w:r>
          </w:p>
        </w:tc>
        <w:tc>
          <w:tcPr>
            <w:tcW w:type="dxa" w:w="911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R² aj.</w:t>
            </w:r>
          </w:p>
        </w:tc>
        <w:tc>
          <w:tcPr>
            <w:tcW w:type="dxa" w:w="1739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EE de la estimación</w:t>
            </w:r>
          </w:p>
        </w:tc>
        <w:tc>
          <w:tcPr>
            <w:tcW w:type="dxa" w:w="911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F</w:t>
            </w:r>
          </w:p>
        </w:tc>
        <w:tc>
          <w:tcPr>
            <w:tcW w:type="dxa" w:w="911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gl1</w:t>
            </w:r>
          </w:p>
        </w:tc>
        <w:tc>
          <w:tcPr>
            <w:tcW w:type="dxa" w:w="911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gl2</w:t>
            </w:r>
          </w:p>
        </w:tc>
        <w:tc>
          <w:tcPr>
            <w:tcW w:type="dxa" w:w="911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p</w:t>
            </w:r>
          </w:p>
        </w:tc>
        <w:tc>
          <w:tcPr>
            <w:tcW w:type="dxa" w:w="124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Durbin-Watson</w:t>
            </w:r>
          </w:p>
        </w:tc>
      </w:tr>
      <w:tr>
        <w:tc>
          <w:tcPr>
            <w:tcW w:type="dxa" w:w="911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8"/>
              </w:rPr>
              <w:t>.83</w:t>
            </w:r>
          </w:p>
        </w:tc>
        <w:tc>
          <w:tcPr>
            <w:tcW w:type="dxa" w:w="911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.70</w:t>
            </w:r>
          </w:p>
        </w:tc>
        <w:tc>
          <w:tcPr>
            <w:tcW w:type="dxa" w:w="911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.69</w:t>
            </w:r>
          </w:p>
        </w:tc>
        <w:tc>
          <w:tcPr>
            <w:tcW w:type="dxa" w:w="1739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1.80</w:t>
            </w:r>
          </w:p>
        </w:tc>
        <w:tc>
          <w:tcPr>
            <w:tcW w:type="dxa" w:w="911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78.29</w:t>
            </w:r>
          </w:p>
        </w:tc>
        <w:tc>
          <w:tcPr>
            <w:tcW w:type="dxa" w:w="911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11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136</w:t>
            </w:r>
          </w:p>
        </w:tc>
        <w:tc>
          <w:tcPr>
            <w:tcW w:type="dxa" w:w="911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&lt; .001</w:t>
            </w:r>
          </w:p>
        </w:tc>
        <w:tc>
          <w:tcPr>
            <w:tcW w:type="dxa" w:w="1242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1.96</w:t>
            </w:r>
          </w:p>
        </w:tc>
      </w:tr>
    </w:tbl>
    <w:p>
      <w:r>
        <w:rPr>
          <w:i/>
          <w:sz w:val="20"/>
        </w:rPr>
        <w:t xml:space="preserve">Nota. </w:t>
      </w:r>
      <w:r>
        <w:rPr>
          <w:sz w:val="20"/>
        </w:rPr>
        <w:t>R² aj. = R² ajustado.</w:t>
      </w:r>
    </w:p>
    <w:p/>
    <w:p>
      <w:pPr>
        <w:keepNext/>
      </w:pPr>
      <w:r>
        <w:rPr>
          <w:b/>
        </w:rPr>
        <w:t>Tabla 15</w:t>
      </w:r>
    </w:p>
    <w:p>
      <w:pPr>
        <w:keepNext/>
      </w:pPr>
      <w:r>
        <w:rPr>
          <w:i/>
        </w:rPr>
        <w:t>Coeficientes de regresión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7"/>
        <w:gridCol w:w="888"/>
        <w:gridCol w:w="888"/>
        <w:gridCol w:w="888"/>
        <w:gridCol w:w="888"/>
        <w:gridCol w:w="888"/>
        <w:gridCol w:w="1049"/>
        <w:gridCol w:w="1049"/>
        <w:gridCol w:w="888"/>
      </w:tblGrid>
      <w:tr>
        <w:tc>
          <w:tcPr>
            <w:tcW w:type="dxa" w:w="1937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8"/>
              </w:rPr>
              <w:t>Variable</w:t>
            </w:r>
          </w:p>
        </w:tc>
        <w:tc>
          <w:tcPr>
            <w:tcW w:type="dxa" w:w="88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88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EE</w:t>
            </w:r>
          </w:p>
        </w:tc>
        <w:tc>
          <w:tcPr>
            <w:tcW w:type="dxa" w:w="88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β</w:t>
            </w:r>
          </w:p>
        </w:tc>
        <w:tc>
          <w:tcPr>
            <w:tcW w:type="dxa" w:w="88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t</w:t>
            </w:r>
          </w:p>
        </w:tc>
        <w:tc>
          <w:tcPr>
            <w:tcW w:type="dxa" w:w="88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p</w:t>
            </w:r>
          </w:p>
        </w:tc>
        <w:tc>
          <w:tcPr>
            <w:tcW w:type="dxa" w:w="1049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IC 95% inf.</w:t>
            </w:r>
          </w:p>
        </w:tc>
        <w:tc>
          <w:tcPr>
            <w:tcW w:type="dxa" w:w="1049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IC 95% sup.</w:t>
            </w:r>
          </w:p>
        </w:tc>
        <w:tc>
          <w:tcPr>
            <w:tcW w:type="dxa" w:w="88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VIF</w:t>
            </w:r>
          </w:p>
        </w:tc>
      </w:tr>
      <w:tr>
        <w:tc>
          <w:tcPr>
            <w:tcW w:type="dxa" w:w="1937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8"/>
              </w:rPr>
              <w:t>Constante</w:t>
            </w:r>
          </w:p>
        </w:tc>
        <w:tc>
          <w:tcPr>
            <w:tcW w:type="dxa" w:w="88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0.86</w:t>
            </w:r>
          </w:p>
        </w:tc>
        <w:tc>
          <w:tcPr>
            <w:tcW w:type="dxa" w:w="88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1.38</w:t>
            </w:r>
          </w:p>
        </w:tc>
        <w:tc>
          <w:tcPr>
            <w:tcW w:type="dxa" w:w="88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8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0.62</w:t>
            </w:r>
          </w:p>
        </w:tc>
        <w:tc>
          <w:tcPr>
            <w:tcW w:type="dxa" w:w="88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.535</w:t>
            </w:r>
          </w:p>
        </w:tc>
        <w:tc>
          <w:tcPr>
            <w:tcW w:type="dxa" w:w="1049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-1.88</w:t>
            </w:r>
          </w:p>
        </w:tc>
        <w:tc>
          <w:tcPr>
            <w:tcW w:type="dxa" w:w="1049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3.60</w:t>
            </w:r>
          </w:p>
        </w:tc>
        <w:tc>
          <w:tcPr>
            <w:tcW w:type="dxa" w:w="88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37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8"/>
              </w:rPr>
              <w:t>pretest</w:t>
            </w:r>
          </w:p>
        </w:tc>
        <w:tc>
          <w:tcPr>
            <w:tcW w:type="dxa" w:w="88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88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0.06</w:t>
            </w:r>
          </w:p>
        </w:tc>
        <w:tc>
          <w:tcPr>
            <w:tcW w:type="dxa" w:w="88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.77</w:t>
            </w:r>
          </w:p>
        </w:tc>
        <w:tc>
          <w:tcPr>
            <w:tcW w:type="dxa" w:w="88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14.71</w:t>
            </w:r>
          </w:p>
        </w:tc>
        <w:tc>
          <w:tcPr>
            <w:tcW w:type="dxa" w:w="88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&lt; .001</w:t>
            </w:r>
          </w:p>
        </w:tc>
        <w:tc>
          <w:tcPr>
            <w:tcW w:type="dxa" w:w="1049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0.80</w:t>
            </w:r>
          </w:p>
        </w:tc>
        <w:tc>
          <w:tcPr>
            <w:tcW w:type="dxa" w:w="1049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1.05</w:t>
            </w:r>
          </w:p>
        </w:tc>
        <w:tc>
          <w:tcPr>
            <w:tcW w:type="dxa" w:w="88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1.23</w:t>
            </w:r>
          </w:p>
        </w:tc>
      </w:tr>
      <w:tr>
        <w:tc>
          <w:tcPr>
            <w:tcW w:type="dxa" w:w="1937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8"/>
              </w:rPr>
              <w:t>horas_estudio</w:t>
            </w:r>
          </w:p>
        </w:tc>
        <w:tc>
          <w:tcPr>
            <w:tcW w:type="dxa" w:w="88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0.26</w:t>
            </w:r>
          </w:p>
        </w:tc>
        <w:tc>
          <w:tcPr>
            <w:tcW w:type="dxa" w:w="88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0.05</w:t>
            </w:r>
          </w:p>
        </w:tc>
        <w:tc>
          <w:tcPr>
            <w:tcW w:type="dxa" w:w="88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.23</w:t>
            </w:r>
          </w:p>
        </w:tc>
        <w:tc>
          <w:tcPr>
            <w:tcW w:type="dxa" w:w="88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4.84</w:t>
            </w:r>
          </w:p>
        </w:tc>
        <w:tc>
          <w:tcPr>
            <w:tcW w:type="dxa" w:w="88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&lt; .001</w:t>
            </w:r>
          </w:p>
        </w:tc>
        <w:tc>
          <w:tcPr>
            <w:tcW w:type="dxa" w:w="1049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0.15</w:t>
            </w:r>
          </w:p>
        </w:tc>
        <w:tc>
          <w:tcPr>
            <w:tcW w:type="dxa" w:w="1049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0.36</w:t>
            </w:r>
          </w:p>
        </w:tc>
        <w:tc>
          <w:tcPr>
            <w:tcW w:type="dxa" w:w="88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1.04</w:t>
            </w:r>
          </w:p>
        </w:tc>
      </w:tr>
      <w:tr>
        <w:tc>
          <w:tcPr>
            <w:tcW w:type="dxa" w:w="1937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8"/>
              </w:rPr>
              <w:t>ansiedad</w:t>
            </w:r>
          </w:p>
        </w:tc>
        <w:tc>
          <w:tcPr>
            <w:tcW w:type="dxa" w:w="88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-0.04</w:t>
            </w:r>
          </w:p>
        </w:tc>
        <w:tc>
          <w:tcPr>
            <w:tcW w:type="dxa" w:w="88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0.03</w:t>
            </w:r>
          </w:p>
        </w:tc>
        <w:tc>
          <w:tcPr>
            <w:tcW w:type="dxa" w:w="88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-.08</w:t>
            </w:r>
          </w:p>
        </w:tc>
        <w:tc>
          <w:tcPr>
            <w:tcW w:type="dxa" w:w="88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-1.55</w:t>
            </w:r>
          </w:p>
        </w:tc>
        <w:tc>
          <w:tcPr>
            <w:tcW w:type="dxa" w:w="88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.124</w:t>
            </w:r>
          </w:p>
        </w:tc>
        <w:tc>
          <w:tcPr>
            <w:tcW w:type="dxa" w:w="1049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-0.09</w:t>
            </w:r>
          </w:p>
        </w:tc>
        <w:tc>
          <w:tcPr>
            <w:tcW w:type="dxa" w:w="1049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0.01</w:t>
            </w:r>
          </w:p>
        </w:tc>
        <w:tc>
          <w:tcPr>
            <w:tcW w:type="dxa" w:w="888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1.25</w:t>
            </w:r>
          </w:p>
        </w:tc>
      </w:tr>
      <w:tr>
        <w:tc>
          <w:tcPr>
            <w:tcW w:type="dxa" w:w="1937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18"/>
              </w:rPr>
              <w:t>grupo [Experimental]</w:t>
            </w:r>
          </w:p>
        </w:tc>
        <w:tc>
          <w:tcPr>
            <w:tcW w:type="dxa" w:w="888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1.65</w:t>
            </w:r>
          </w:p>
        </w:tc>
        <w:tc>
          <w:tcPr>
            <w:tcW w:type="dxa" w:w="888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0.31</w:t>
            </w:r>
          </w:p>
        </w:tc>
        <w:tc>
          <w:tcPr>
            <w:tcW w:type="dxa" w:w="888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.26</w:t>
            </w:r>
          </w:p>
        </w:tc>
        <w:tc>
          <w:tcPr>
            <w:tcW w:type="dxa" w:w="888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5.28</w:t>
            </w:r>
          </w:p>
        </w:tc>
        <w:tc>
          <w:tcPr>
            <w:tcW w:type="dxa" w:w="888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&lt; .001</w:t>
            </w:r>
          </w:p>
        </w:tc>
        <w:tc>
          <w:tcPr>
            <w:tcW w:type="dxa" w:w="1049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1.03</w:t>
            </w:r>
          </w:p>
        </w:tc>
        <w:tc>
          <w:tcPr>
            <w:tcW w:type="dxa" w:w="1049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2.27</w:t>
            </w:r>
          </w:p>
        </w:tc>
        <w:tc>
          <w:tcPr>
            <w:tcW w:type="dxa" w:w="888"/>
            <w:tcBorders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18"/>
              </w:rPr>
              <w:t>1.07</w:t>
            </w:r>
          </w:p>
        </w:tc>
      </w:tr>
    </w:tbl>
    <w:p>
      <w:r>
        <w:rPr>
          <w:i/>
          <w:sz w:val="20"/>
        </w:rPr>
        <w:t xml:space="preserve">Nota. </w:t>
      </w:r>
      <w:r>
        <w:rPr>
          <w:sz w:val="20"/>
        </w:rPr>
        <w:t>B = coeficiente no estandarizado; EE = error estándar; β = coeficiente estandarizado; IC = intervalo de confianza al 95% de B; VIF = factor de inflación de la varianza.</w:t>
      </w:r>
    </w:p>
    <w:p/>
    <w:p>
      <w:pPr>
        <w:keepNext/>
      </w:pPr>
      <w:r>
        <w:rPr>
          <w:b/>
        </w:rPr>
        <w:t>Figura 8</w:t>
      </w:r>
    </w:p>
    <w:p>
      <w:pPr>
        <w:keepNext/>
      </w:pPr>
      <w:r>
        <w:rPr>
          <w:i/>
        </w:rPr>
        <w:t>Diagnóstico del modelo: residuos vs. valores ajustados (izquierda) y gráfico Q-Q de los residuos (derecha)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2806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gresion_diagnostico_pos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80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Figura 9</w:t>
      </w:r>
    </w:p>
    <w:p>
      <w:pPr>
        <w:keepNext/>
      </w:pPr>
      <w:r>
        <w:rPr>
          <w:i/>
        </w:rPr>
        <w:t>Coeficientes estandarizados (β) con intervalo de confianza al 95%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7233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gresion_coeficientes_poste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23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Redacción de resultados</w:t>
      </w:r>
    </w:p>
    <w:p>
      <w:r>
        <w:t>Se ajustó un modelo de regresión lineal múltiple para explicar postest a partir de pretest, horas_estudio, ansiedad, grupo (</w:t>
      </w:r>
      <w:r>
        <w:rPr>
          <w:i/>
        </w:rPr>
        <w:t>n</w:t>
      </w:r>
      <w:r>
        <w:t xml:space="preserve"> = 141). El modelo resultó estadísticamente significativo, </w:t>
      </w:r>
      <w:r>
        <w:rPr>
          <w:i/>
        </w:rPr>
        <w:t>F</w:t>
      </w:r>
      <w:r>
        <w:t xml:space="preserve">(4, 136) = 78.29, </w:t>
      </w:r>
      <w:r>
        <w:rPr>
          <w:i/>
        </w:rPr>
        <w:t>p</w:t>
      </w:r>
      <w:r>
        <w:t xml:space="preserve"> &lt; .001, y explicó el 69.7% de la varianza de postest (</w:t>
      </w:r>
      <w:r>
        <w:rPr>
          <w:i/>
        </w:rPr>
        <w:t>R</w:t>
      </w:r>
      <w:r>
        <w:t xml:space="preserve">² = .70; </w:t>
      </w:r>
      <w:r>
        <w:rPr>
          <w:i/>
        </w:rPr>
        <w:t>R</w:t>
      </w:r>
      <w:r>
        <w:t>² ajustado = .69), un efecto grande. Los predictores con efecto estadísticamente significativo fueron: pretest (</w:t>
      </w:r>
      <w:r>
        <w:rPr>
          <w:i/>
        </w:rPr>
        <w:t>B</w:t>
      </w:r>
      <w:r>
        <w:t xml:space="preserve"> = 0.92, </w:t>
      </w:r>
      <w:r>
        <w:rPr>
          <w:i/>
        </w:rPr>
        <w:t>β</w:t>
      </w:r>
      <w:r>
        <w:t xml:space="preserve"> = .77, </w:t>
      </w:r>
      <w:r>
        <w:rPr>
          <w:i/>
        </w:rPr>
        <w:t>p</w:t>
      </w:r>
      <w:r>
        <w:t xml:space="preserve"> &lt; .001); horas_estudio (</w:t>
      </w:r>
      <w:r>
        <w:rPr>
          <w:i/>
        </w:rPr>
        <w:t>B</w:t>
      </w:r>
      <w:r>
        <w:t xml:space="preserve"> = 0.26, </w:t>
      </w:r>
      <w:r>
        <w:rPr>
          <w:i/>
        </w:rPr>
        <w:t>β</w:t>
      </w:r>
      <w:r>
        <w:t xml:space="preserve"> = .23, </w:t>
      </w:r>
      <w:r>
        <w:rPr>
          <w:i/>
        </w:rPr>
        <w:t>p</w:t>
      </w:r>
      <w:r>
        <w:t xml:space="preserve"> &lt; .001); grupo [Experimental] (</w:t>
      </w:r>
      <w:r>
        <w:rPr>
          <w:i/>
        </w:rPr>
        <w:t>B</w:t>
      </w:r>
      <w:r>
        <w:t xml:space="preserve"> = 1.65, </w:t>
      </w:r>
      <w:r>
        <w:rPr>
          <w:i/>
        </w:rPr>
        <w:t>β</w:t>
      </w:r>
      <w:r>
        <w:t xml:space="preserve"> = .26, </w:t>
      </w:r>
      <w:r>
        <w:rPr>
          <w:i/>
        </w:rPr>
        <w:t>p</w:t>
      </w:r>
      <w:r>
        <w:t xml:space="preserve"> &lt; .001). Por cada unidad adicional en pretest, postest aumenta en promedio 0.92 unidades, manteniendo constantes los demás predictores. Por tanto, se rechaza la hipótesis nula.</w:t>
      </w:r>
    </w:p>
    <w:p>
      <w:pPr>
        <w:keepNext/>
      </w:pPr>
      <w:r>
        <w:rPr>
          <w:b/>
        </w:rPr>
        <w:t>Justificación para el capítulo de método</w:t>
      </w:r>
    </w:p>
    <w:p>
      <w:r>
        <w:t>Se estimó un modelo de regresión lineal múltiple por mínimos cuadrados ordinarios. Se verificaron los supuestos de normalidad de los residuos (Kolmogorov-Smirnov (Lilliefors)), homocedasticidad (Breusch-Pagan), ausencia de multicolinealidad (factor de inflación de la varianza, VIF), independencia de los errores (Durbin-Watson) y casos influyentes (distancia de Cook). El tamaño del efecto se evaluó con R² (criterios de Cohen, 1988: .02, .13 y .26). Nivel de significancia α = .05.</w:t>
      </w:r>
    </w:p>
    <w:p>
      <w:pPr>
        <w:keepNext/>
      </w:pPr>
      <w:r>
        <w:rPr>
          <w:b/>
        </w:rPr>
        <w:t>Advertencias para el investigador</w:t>
      </w:r>
    </w:p>
    <w:p>
      <w:pPr>
        <w:pStyle w:val="ListBullet"/>
      </w:pPr>
      <w:r>
        <w:rPr>
          <w:sz w:val="22"/>
        </w:rPr>
        <w:t>'grupo' es categórica: se codificó con indicadoras; categoría de referencia = «Control».</w:t>
      </w:r>
    </w:p>
    <w:p>
      <w:pPr>
        <w:pStyle w:val="ListBullet"/>
      </w:pPr>
      <w:r>
        <w:rPr>
          <w:sz w:val="22"/>
        </w:rPr>
        <w:t>Se excluyeron 9 caso(s) con datos faltantes (eliminación por lista).</w:t>
      </w:r>
    </w:p>
    <w:p>
      <w:pPr>
        <w:pStyle w:val="Heading2"/>
      </w:pPr>
      <w:r>
        <w:rPr>
          <w:rFonts w:ascii="Times New Roman" w:hAnsi="Times New Roman"/>
          <w:color w:val="000000"/>
        </w:rPr>
        <w:t>Tamaño de muestra (estimación de proporciones)</w:t>
      </w:r>
    </w:p>
    <w:p>
      <w:r>
        <w:rPr>
          <w:b/>
        </w:rPr>
        <w:t>Prueba aplicada:</w:t>
      </w:r>
      <w:r>
        <w:t xml:space="preserve"> Fórmula de muestreo para población finita (Cochran, 1977)</w:t>
      </w:r>
    </w:p>
    <w:p>
      <w:pPr>
        <w:keepNext/>
      </w:pPr>
      <w:r>
        <w:rPr>
          <w:b/>
        </w:rPr>
        <w:t>Tabla 16</w:t>
      </w:r>
    </w:p>
    <w:p>
      <w:pPr>
        <w:keepNext/>
      </w:pPr>
      <w:r>
        <w:rPr>
          <w:i/>
        </w:rPr>
        <w:t>Cálculo del tamaño de muestra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18"/>
        <w:gridCol w:w="2942"/>
      </w:tblGrid>
      <w:tr>
        <w:tc>
          <w:tcPr>
            <w:tcW w:type="dxa" w:w="641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Parámetro</w:t>
            </w:r>
          </w:p>
        </w:tc>
        <w:tc>
          <w:tcPr>
            <w:tcW w:type="dxa" w:w="294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Valor</w:t>
            </w:r>
          </w:p>
        </w:tc>
      </w:tr>
      <w:tr>
        <w:tc>
          <w:tcPr>
            <w:tcW w:type="dxa" w:w="6418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Nivel de confianza</w:t>
            </w:r>
          </w:p>
        </w:tc>
        <w:tc>
          <w:tcPr>
            <w:tcW w:type="dxa" w:w="2942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95%</w:t>
            </w:r>
          </w:p>
        </w:tc>
      </w:tr>
      <w:tr>
        <w:tc>
          <w:tcPr>
            <w:tcW w:type="dxa" w:w="6418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Valor Z</w:t>
            </w:r>
          </w:p>
        </w:tc>
        <w:tc>
          <w:tcPr>
            <w:tcW w:type="dxa" w:w="2942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1.96</w:t>
            </w:r>
          </w:p>
        </w:tc>
      </w:tr>
      <w:tr>
        <w:tc>
          <w:tcPr>
            <w:tcW w:type="dxa" w:w="6418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Margen de error (e)</w:t>
            </w:r>
          </w:p>
        </w:tc>
        <w:tc>
          <w:tcPr>
            <w:tcW w:type="dxa" w:w="2942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5.0%</w:t>
            </w:r>
          </w:p>
        </w:tc>
      </w:tr>
      <w:tr>
        <w:tc>
          <w:tcPr>
            <w:tcW w:type="dxa" w:w="6418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Proporción esperada (p)</w:t>
            </w:r>
          </w:p>
        </w:tc>
        <w:tc>
          <w:tcPr>
            <w:tcW w:type="dxa" w:w="2942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0.50</w:t>
            </w:r>
          </w:p>
        </w:tc>
      </w:tr>
      <w:tr>
        <w:tc>
          <w:tcPr>
            <w:tcW w:type="dxa" w:w="6418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q = 1 − p</w:t>
            </w:r>
          </w:p>
        </w:tc>
        <w:tc>
          <w:tcPr>
            <w:tcW w:type="dxa" w:w="2942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0.50</w:t>
            </w:r>
          </w:p>
        </w:tc>
      </w:tr>
      <w:tr>
        <w:tc>
          <w:tcPr>
            <w:tcW w:type="dxa" w:w="6418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Población (N)</w:t>
            </w:r>
          </w:p>
        </w:tc>
        <w:tc>
          <w:tcPr>
            <w:tcW w:type="dxa" w:w="2942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1200</w:t>
            </w:r>
          </w:p>
        </w:tc>
      </w:tr>
      <w:tr>
        <w:tc>
          <w:tcPr>
            <w:tcW w:type="dxa" w:w="6418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Tamaño de muestra (n)</w:t>
            </w:r>
          </w:p>
        </w:tc>
        <w:tc>
          <w:tcPr>
            <w:tcW w:type="dxa" w:w="2942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292</w:t>
            </w:r>
          </w:p>
        </w:tc>
      </w:tr>
    </w:tbl>
    <w:p/>
    <w:p>
      <w:pPr>
        <w:keepNext/>
      </w:pPr>
      <w:r>
        <w:rPr>
          <w:b/>
        </w:rPr>
        <w:t>Redacción de resultados</w:t>
      </w:r>
    </w:p>
    <w:p>
      <w:r>
        <w:t>Para determinar el tamaño de la muestra se utilizó la fórmula para estimar proporciones en poblaciones finitas (n = N·Z²·p·q / [e²·(N − 1) + Z²·p·q]), con un nivel de confianza del 95% (</w:t>
      </w:r>
      <w:r>
        <w:rPr>
          <w:i/>
        </w:rPr>
        <w:t>Z</w:t>
      </w:r>
      <w:r>
        <w:t xml:space="preserve"> = 1.96), un margen de error del 5.0%, una proporción esperada </w:t>
      </w:r>
      <w:r>
        <w:rPr>
          <w:i/>
        </w:rPr>
        <w:t>p</w:t>
      </w:r>
      <w:r>
        <w:t xml:space="preserve"> = 0.50 (</w:t>
      </w:r>
      <w:r>
        <w:rPr>
          <w:i/>
        </w:rPr>
        <w:t>q</w:t>
      </w:r>
      <w:r>
        <w:t xml:space="preserve"> = 0.50) y una población de </w:t>
      </w:r>
      <w:r>
        <w:rPr>
          <w:i/>
        </w:rPr>
        <w:t>N</w:t>
      </w:r>
      <w:r>
        <w:t xml:space="preserve"> = 1200. El resultado fue una muestra de </w:t>
      </w:r>
      <w:r>
        <w:rPr>
          <w:i/>
        </w:rPr>
        <w:t>n</w:t>
      </w:r>
      <w:r>
        <w:t xml:space="preserve"> = 292 participantes.</w:t>
      </w:r>
    </w:p>
    <w:p>
      <w:pPr>
        <w:keepNext/>
      </w:pPr>
      <w:r>
        <w:rPr>
          <w:b/>
        </w:rPr>
        <w:t>Justificación para el capítulo de método</w:t>
      </w:r>
    </w:p>
    <w:p>
      <w:r>
        <w:t>Para determinar el tamaño de la muestra se utilizó la fórmula para estimar proporciones en poblaciones finitas (n = N·Z²·p·q / [e²·(N − 1) + Z²·p·q]), con un nivel de confianza del 95% (</w:t>
      </w:r>
      <w:r>
        <w:rPr>
          <w:i/>
        </w:rPr>
        <w:t>Z</w:t>
      </w:r>
      <w:r>
        <w:t xml:space="preserve"> = 1.96), un margen de error del 5.0%, una proporción esperada </w:t>
      </w:r>
      <w:r>
        <w:rPr>
          <w:i/>
        </w:rPr>
        <w:t>p</w:t>
      </w:r>
      <w:r>
        <w:t xml:space="preserve"> = 0.50 (</w:t>
      </w:r>
      <w:r>
        <w:rPr>
          <w:i/>
        </w:rPr>
        <w:t>q</w:t>
      </w:r>
      <w:r>
        <w:t xml:space="preserve"> = 0.50) y una población de </w:t>
      </w:r>
      <w:r>
        <w:rPr>
          <w:i/>
        </w:rPr>
        <w:t>N</w:t>
      </w:r>
      <w:r>
        <w:t xml:space="preserve"> = 1200. El resultado fue una muestra de </w:t>
      </w:r>
      <w:r>
        <w:rPr>
          <w:i/>
        </w:rPr>
        <w:t>n</w:t>
      </w:r>
      <w:r>
        <w:t xml:space="preserve"> = 292 participantes.</w:t>
      </w:r>
    </w:p>
    <w:p>
      <w:pPr>
        <w:keepNext/>
      </w:pPr>
      <w:r>
        <w:rPr>
          <w:b/>
        </w:rPr>
        <w:t>Advertencias para el investigador</w:t>
      </w:r>
    </w:p>
    <w:p>
      <w:pPr>
        <w:pStyle w:val="ListBullet"/>
      </w:pPr>
      <w:r>
        <w:rPr>
          <w:sz w:val="22"/>
        </w:rPr>
        <w:t>Esta fórmula sirve para ESTIMAR proporciones en encuestas (muestreo probabilístico). No es un análisis de potencia: si tu objetivo es contrastar hipótesis (comparar grupos, correlacionar), usa potencia_muestra().</w:t>
      </w:r>
    </w:p>
    <w:p>
      <w:pPr>
        <w:pStyle w:val="ListBullet"/>
      </w:pPr>
      <w:r>
        <w:rPr>
          <w:sz w:val="22"/>
        </w:rPr>
        <w:t>Si no tienes información previa sobre p, usar p = 0.5 da el mayor tamaño de muestra (caso más conservador).</w:t>
      </w:r>
    </w:p>
    <w:p>
      <w:pPr>
        <w:pStyle w:val="ListBullet"/>
      </w:pPr>
      <w:r>
        <w:rPr>
          <w:sz w:val="22"/>
        </w:rPr>
        <w:t>Agrega a n un porcentaje por posibles no respuestas (por ejemplo, 10%) si tu diseño lo requiere.</w:t>
      </w:r>
    </w:p>
    <w:p>
      <w:pPr>
        <w:pStyle w:val="Heading2"/>
      </w:pPr>
      <w:r>
        <w:rPr>
          <w:rFonts w:ascii="Times New Roman" w:hAnsi="Times New Roman"/>
          <w:color w:val="000000"/>
        </w:rPr>
        <w:t>Tamaño de muestra por análisis de potencia</w:t>
      </w:r>
    </w:p>
    <w:p>
      <w:r>
        <w:rPr>
          <w:b/>
        </w:rPr>
        <w:t>Prueba aplicada:</w:t>
      </w:r>
      <w:r>
        <w:t xml:space="preserve"> Análisis de potencia a priori</w:t>
      </w:r>
    </w:p>
    <w:p>
      <w:pPr>
        <w:keepNext/>
      </w:pPr>
      <w:r>
        <w:rPr>
          <w:b/>
        </w:rPr>
        <w:t>Tabla 17</w:t>
      </w:r>
    </w:p>
    <w:p>
      <w:pPr>
        <w:keepNext/>
      </w:pPr>
      <w:r>
        <w:rPr>
          <w:i/>
        </w:rPr>
        <w:t>Cálculo de la potencia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Parámetro</w:t>
            </w:r>
          </w:p>
        </w:tc>
        <w:tc>
          <w:tcPr>
            <w:tcW w:type="dxa" w:w="468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Valor</w:t>
            </w:r>
          </w:p>
        </w:tc>
      </w:tr>
      <w:tr>
        <w:tc>
          <w:tcPr>
            <w:tcW w:type="dxa" w:w="4680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Prueba</w:t>
            </w:r>
          </w:p>
        </w:tc>
        <w:tc>
          <w:tcPr>
            <w:tcW w:type="dxa" w:w="4680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comparación de dos grupos independientes (t de Student)</w:t>
            </w:r>
          </w:p>
        </w:tc>
      </w:tr>
      <w:tr>
        <w:tc>
          <w:tcPr>
            <w:tcW w:type="dxa" w:w="4680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Tamaño del efecto (d de Cohen)</w:t>
            </w:r>
          </w:p>
        </w:tc>
        <w:tc>
          <w:tcPr>
            <w:tcW w:type="dxa" w:w="4680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0.50</w:t>
            </w:r>
          </w:p>
        </w:tc>
      </w:tr>
      <w:tr>
        <w:tc>
          <w:tcPr>
            <w:tcW w:type="dxa" w:w="4680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Nivel de significancia (α)</w:t>
            </w:r>
          </w:p>
        </w:tc>
        <w:tc>
          <w:tcPr>
            <w:tcW w:type="dxa" w:w="4680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.05</w:t>
            </w:r>
          </w:p>
        </w:tc>
      </w:tr>
      <w:tr>
        <w:tc>
          <w:tcPr>
            <w:tcW w:type="dxa" w:w="4680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Potencia (1 − β)</w:t>
            </w:r>
          </w:p>
        </w:tc>
        <w:tc>
          <w:tcPr>
            <w:tcW w:type="dxa" w:w="4680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.80</w:t>
            </w:r>
          </w:p>
        </w:tc>
      </w:tr>
      <w:tr>
        <w:tc>
          <w:tcPr>
            <w:tcW w:type="dxa" w:w="4680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Contraste</w:t>
            </w:r>
          </w:p>
        </w:tc>
        <w:tc>
          <w:tcPr>
            <w:tcW w:type="dxa" w:w="4680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bilateral</w:t>
            </w:r>
          </w:p>
        </w:tc>
      </w:tr>
      <w:tr>
        <w:tc>
          <w:tcPr>
            <w:tcW w:type="dxa" w:w="4680"/>
            <w:tcBorders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Tamaño de muestra necesario (participantes por grupo)</w:t>
            </w:r>
          </w:p>
        </w:tc>
        <w:tc>
          <w:tcPr>
            <w:tcW w:type="dxa" w:w="4680"/>
            <w:tcBorders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64</w:t>
            </w:r>
          </w:p>
        </w:tc>
      </w:tr>
      <w:tr>
        <w:tc>
          <w:tcPr>
            <w:tcW w:type="dxa" w:w="4680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b w:val="0"/>
                <w:sz w:val="20"/>
              </w:rPr>
              <w:t>Tamaño de muestra total</w:t>
            </w:r>
          </w:p>
        </w:tc>
        <w:tc>
          <w:tcPr>
            <w:tcW w:type="dxa" w:w="4680"/>
            <w:tcBorders>
              <w:bottom w:val="single" w:sz="8" w:space="0" w:color="000000"/>
            </w:tcBorders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 w:val="0"/>
                <w:sz w:val="20"/>
              </w:rPr>
              <w:t>128</w:t>
            </w:r>
          </w:p>
        </w:tc>
      </w:tr>
    </w:tbl>
    <w:p/>
    <w:p>
      <w:pPr>
        <w:keepNext/>
      </w:pPr>
      <w:r>
        <w:rPr>
          <w:b/>
        </w:rPr>
        <w:t>Redacción de resultados</w:t>
      </w:r>
    </w:p>
    <w:p>
      <w:r>
        <w:t>Se realizó un análisis de potencia a priori para una comparación de dos grupos independientes (t de Student), con un tamaño del efecto esperado d de Cohen = 0.50, un nivel de significancia α = .05 y una potencia estadística de .80 (contraste bilateral). Se requiere una muestra de 64 participantes por grupo (total = 128).</w:t>
      </w:r>
    </w:p>
    <w:p>
      <w:pPr>
        <w:keepNext/>
      </w:pPr>
      <w:r>
        <w:rPr>
          <w:b/>
        </w:rPr>
        <w:t>Justificación para el capítulo de método</w:t>
      </w:r>
    </w:p>
    <w:p>
      <w:r>
        <w:t>Se realizó un análisis de potencia a priori para una comparación de dos grupos independientes (t de Student), con un tamaño del efecto esperado d de Cohen = 0.50, un nivel de significancia α = .05 y una potencia estadística de .80 (contraste bilateral). Se requiere una muestra de 64 participantes por grupo (total = 128). El cálculo se realizó con Python (SciPy y statsmodels).</w:t>
      </w:r>
    </w:p>
    <w:p>
      <w:pPr>
        <w:keepNext/>
      </w:pPr>
      <w:r>
        <w:rPr>
          <w:b/>
        </w:rPr>
        <w:t>Advertencias para el investigador</w:t>
      </w:r>
    </w:p>
    <w:p>
      <w:pPr>
        <w:pStyle w:val="ListBullet"/>
      </w:pPr>
      <w:r>
        <w:rPr>
          <w:sz w:val="22"/>
        </w:rPr>
        <w:t>Añade un margen por posibles abandonos o datos faltantes (por ejemplo, 10–15%).</w:t>
      </w:r>
    </w:p>
    <w:p>
      <w:pPr>
        <w:pStyle w:val="Heading2"/>
      </w:pPr>
      <w:r>
        <w:rPr>
          <w:rFonts w:ascii="Times New Roman" w:hAnsi="Times New Roman"/>
          <w:color w:val="000000"/>
        </w:rPr>
        <w:t>Software utilizado</w:t>
      </w:r>
    </w:p>
    <w:p>
      <w:r>
        <w:t>Los análisis se realizaron con Python 3 utilizando las bibliotecas SciPy (Virtanen et al., 2020), statsmodels (Seabold y Perktold, 2010), pandas y matplotlib. El nivel de significancia fue α = .05.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