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9E716" w14:textId="3688FBFF" w:rsidR="0013174D" w:rsidRDefault="001317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</w:t>
      </w:r>
      <w:r w:rsidRPr="0013174D">
        <w:rPr>
          <w:b/>
          <w:bCs/>
          <w:sz w:val="36"/>
          <w:szCs w:val="36"/>
        </w:rPr>
        <w:t>iquidity and settlement risk management</w:t>
      </w:r>
    </w:p>
    <w:p w14:paraId="56EDEE80" w14:textId="77777777" w:rsidR="0013174D" w:rsidRPr="0013174D" w:rsidRDefault="0013174D" w:rsidP="00131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Characteristics</w:t>
      </w:r>
    </w:p>
    <w:p w14:paraId="00E39ABE" w14:textId="77777777" w:rsidR="0013174D" w:rsidRPr="0013174D" w:rsidRDefault="0013174D" w:rsidP="00131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dataset is designed for stress testing, liquidity coverage ratio (LCR) </w:t>
      </w:r>
      <w:proofErr w:type="spellStart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counterparty risk analysis. It includes:</w:t>
      </w:r>
    </w:p>
    <w:p w14:paraId="36B41044" w14:textId="77777777" w:rsidR="0013174D" w:rsidRPr="0013174D" w:rsidRDefault="0013174D" w:rsidP="00131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 Coverage:</w:t>
      </w:r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Spans from early 2023 through the end of 2026, allowing for </w:t>
      </w:r>
      <w:proofErr w:type="spellStart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backtesting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against historical trends and forecasting for the future.</w:t>
      </w:r>
    </w:p>
    <w:p w14:paraId="34E0BEBF" w14:textId="77777777" w:rsidR="0013174D" w:rsidRPr="0013174D" w:rsidRDefault="0013174D" w:rsidP="00131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Settlement Dynamics:</w:t>
      </w:r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</w:t>
      </w: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execution_timestamp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</w:t>
      </w: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settlement_date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varying </w:t>
      </w: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settlement_lag_days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(T+0 to T+10) to simulate operational delays and market standard variances.</w:t>
      </w:r>
    </w:p>
    <w:p w14:paraId="2D02739D" w14:textId="77777777" w:rsidR="0013174D" w:rsidRPr="0013174D" w:rsidRDefault="0013174D" w:rsidP="00131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Liquidity Risk Metrics:</w:t>
      </w:r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liquidity_haircut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Represents the reduction applied to the asset value when used as collateral.</w:t>
      </w:r>
    </w:p>
    <w:p w14:paraId="521A19C9" w14:textId="77777777" w:rsidR="0013174D" w:rsidRPr="0013174D" w:rsidRDefault="0013174D" w:rsidP="001317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lcr_impact_value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estimated cash outflow/impact on liquidity buffers.</w:t>
      </w:r>
    </w:p>
    <w:p w14:paraId="4E5C265C" w14:textId="77777777" w:rsidR="0013174D" w:rsidRPr="0013174D" w:rsidRDefault="0013174D" w:rsidP="00131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Counterparty Credit Risk:</w:t>
      </w:r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 </w:t>
      </w: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counterparty_risk_rating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(1–10) and a calculated </w:t>
      </w:r>
      <w:proofErr w:type="spellStart"/>
      <w:proofErr w:type="gram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</w:t>
      </w:r>
      <w:proofErr w:type="gramEnd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_probability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rating and settlement lag.</w:t>
      </w:r>
    </w:p>
    <w:p w14:paraId="4038784E" w14:textId="77777777" w:rsidR="0013174D" w:rsidRPr="0013174D" w:rsidRDefault="0013174D" w:rsidP="00131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17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Risk:</w:t>
      </w:r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</w:t>
      </w:r>
      <w:proofErr w:type="spellStart"/>
      <w:r w:rsidRPr="001317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settlement_status</w:t>
      </w:r>
      <w:proofErr w:type="spellEnd"/>
      <w:r w:rsidRPr="001317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(Settled, Pending, Failed) to identify systemic "bottleneck" banks or asset classes.</w:t>
      </w:r>
    </w:p>
    <w:p w14:paraId="453C1E49" w14:textId="77777777" w:rsidR="0013174D" w:rsidRDefault="0013174D">
      <w:pPr>
        <w:rPr>
          <w:b/>
          <w:bCs/>
          <w:sz w:val="36"/>
          <w:szCs w:val="36"/>
        </w:rPr>
      </w:pPr>
    </w:p>
    <w:p w14:paraId="44CB1AFC" w14:textId="77777777" w:rsidR="0013174D" w:rsidRPr="0013174D" w:rsidRDefault="0013174D" w:rsidP="0013174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13174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Key Fields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064"/>
        <w:gridCol w:w="5695"/>
      </w:tblGrid>
      <w:tr w:rsidR="0013174D" w:rsidRPr="0013174D" w14:paraId="5088E706" w14:textId="77777777" w:rsidTr="001317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711C9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2167F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F51C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13174D" w:rsidRPr="0013174D" w14:paraId="4DC99B11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39F55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trade_id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444AA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AFDDB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Unique trade identifier.</w:t>
            </w:r>
          </w:p>
        </w:tc>
      </w:tr>
      <w:tr w:rsidR="0013174D" w:rsidRPr="0013174D" w14:paraId="5A465FD0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B337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counterparty_risk_rating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E2F3B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6B3A4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Internal credit rating (1 = High Quality, 10 = High Risk).</w:t>
            </w:r>
          </w:p>
        </w:tc>
      </w:tr>
      <w:tr w:rsidR="0013174D" w:rsidRPr="0013174D" w14:paraId="58C90C94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821B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asset_class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A33F4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7F1EF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Asset type (e.g., FX Forward, Repo, IRS) affecting liquidity.</w:t>
            </w:r>
          </w:p>
        </w:tc>
      </w:tr>
      <w:tr w:rsidR="0013174D" w:rsidRPr="0013174D" w14:paraId="68FC6950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470CB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notional_amount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7EC38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DFD55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Total value of the trade/contract.</w:t>
            </w:r>
          </w:p>
        </w:tc>
      </w:tr>
      <w:tr w:rsidR="0013174D" w:rsidRPr="0013174D" w14:paraId="43001096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10E2F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liquidity_haircut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9FF09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9CD91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The percentage discount applied to the asset for liquidity purposes.</w:t>
            </w:r>
          </w:p>
        </w:tc>
      </w:tr>
      <w:tr w:rsidR="0013174D" w:rsidRPr="0013174D" w14:paraId="3B17B156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92D52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settlement_status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C9308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77A5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Current state of the transaction (critical for settlement risk).</w:t>
            </w:r>
          </w:p>
        </w:tc>
      </w:tr>
      <w:tr w:rsidR="0013174D" w:rsidRPr="0013174D" w14:paraId="430BF7F7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AF328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netting_eligible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F00E0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65D1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Indicates if the trade can be offset against others to reduce net cash outflow.</w:t>
            </w:r>
          </w:p>
        </w:tc>
      </w:tr>
      <w:tr w:rsidR="0013174D" w:rsidRPr="0013174D" w14:paraId="6367C9A8" w14:textId="77777777" w:rsidTr="001317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48DEE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13174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fail_probability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5BD14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6508" w14:textId="77777777" w:rsidR="0013174D" w:rsidRPr="0013174D" w:rsidRDefault="0013174D" w:rsidP="0013174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317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 derived risk score indicating the likelihood of a settlement failure.</w:t>
            </w:r>
          </w:p>
        </w:tc>
      </w:tr>
    </w:tbl>
    <w:p w14:paraId="2F8859BB" w14:textId="77777777" w:rsidR="0013174D" w:rsidRPr="0013174D" w:rsidRDefault="0013174D">
      <w:pPr>
        <w:rPr>
          <w:b/>
          <w:bCs/>
          <w:sz w:val="36"/>
          <w:szCs w:val="36"/>
        </w:rPr>
      </w:pPr>
    </w:p>
    <w:sectPr w:rsidR="0013174D" w:rsidRPr="00131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1A373A"/>
    <w:multiLevelType w:val="multilevel"/>
    <w:tmpl w:val="E4C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4D"/>
    <w:rsid w:val="0013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F4B9"/>
  <w15:chartTrackingRefBased/>
  <w15:docId w15:val="{E3CFE0BC-BA9F-4754-A432-8C1C97EF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1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17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17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91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Olaiya</dc:creator>
  <cp:keywords/>
  <dc:description/>
  <cp:lastModifiedBy>Richard Olaiya</cp:lastModifiedBy>
  <cp:revision>1</cp:revision>
  <dcterms:created xsi:type="dcterms:W3CDTF">2026-04-25T19:49:00Z</dcterms:created>
  <dcterms:modified xsi:type="dcterms:W3CDTF">2026-04-25T19:50:00Z</dcterms:modified>
</cp:coreProperties>
</file>