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120"/>
        <w:jc w:val="center"/>
      </w:pPr>
      <w:r>
        <w:rPr>
          <w:rFonts w:ascii="Segoe UI" w:hAnsi="Segoe UI" w:eastAsia="Segoe UI"/>
          <w:b/>
          <w:i w:val="0"/>
          <w:color w:val="1F4E79"/>
          <w:sz w:val="76"/>
        </w:rPr>
        <w:t>Data Quality Observations</w:t>
      </w:r>
    </w:p>
    <w:p>
      <w:pPr>
        <w:spacing w:after="360"/>
        <w:jc w:val="center"/>
      </w:pPr>
      <w:r>
        <w:rPr>
          <w:rFonts w:ascii="Segoe UI" w:hAnsi="Segoe UI" w:eastAsia="Segoe UI"/>
          <w:b w:val="0"/>
          <w:i w:val="0"/>
          <w:color w:val="A96304"/>
          <w:sz w:val="52"/>
        </w:rPr>
        <w:t>Explained Simply</w:t>
      </w:r>
    </w:p>
    <w:p>
      <w:pPr>
        <w:spacing w:after="120"/>
        <w:jc w:val="center"/>
      </w:pPr>
      <w:r>
        <w:rPr>
          <w:rFonts w:ascii="Segoe UI" w:hAnsi="Segoe UI" w:eastAsia="Segoe UI"/>
          <w:b w:val="0"/>
          <w:i w:val="0"/>
          <w:color w:val="58657A"/>
          <w:sz w:val="26"/>
        </w:rPr>
        <w:t>What the nightly load writes down when EPA's data surprises it, how to read those notes, and which ones need a person.</w:t>
      </w:r>
    </w:p>
    <w:p>
      <w:pPr>
        <w:spacing w:after="600"/>
        <w:jc w:val="center"/>
      </w:pPr>
      <w:r>
        <w:rPr>
          <w:rFonts w:ascii="Segoe UI" w:hAnsi="Segoe UI" w:eastAsia="Segoe UI"/>
          <w:b w:val="0"/>
          <w:i w:val="0"/>
          <w:color w:val="58657A"/>
          <w:sz w:val="22"/>
        </w:rPr>
        <w:t>Prepared for MDE staff who monitor the loads   ·   Phase 1   ·   September 8, 2026   ·   Revision 1</w:t>
      </w:r>
    </w:p>
    <w:tbl>
      <w:tblPr>
        <w:tblW w:type="auto" w:w="0"/>
        <w:jc w:val="left"/>
        <w:tblLayout w:type="fixed"/>
        <w:tblLook w:firstColumn="1" w:firstRow="1" w:lastColumn="0" w:lastRow="0" w:noHBand="0" w:noVBand="1" w:val="04A0"/>
        <w:tblInd w:w="1007" w:type="dxa"/>
      </w:tblPr>
      <w:tblGrid>
        <w:gridCol w:w="11520"/>
      </w:tblGrid>
      <w:tr>
        <w:trPr>
          <w:cantSplit/>
        </w:trPr>
        <w:tc>
          <w:tcPr>
            <w:tcW w:type="dxa" w:w="11520"/>
            <w:shd w:val="clear" w:color="auto" w:fill="E5F3EB"/>
            <w:tcBorders>
              <w:top w:val="single" w:sz="6" w:space="0" w:color="1A6A42"/>
              <w:left w:val="single" w:sz="36" w:space="0" w:color="1A6A42"/>
              <w:bottom w:val="single" w:sz="6" w:space="0" w:color="1A6A42"/>
              <w:right w:val="single" w:sz="6" w:space="0" w:color="1A6A42"/>
            </w:tcBorders>
            <w:tcMar>
              <w:top w:w="140" w:type="dxa"/>
              <w:start w:w="200" w:type="dxa"/>
              <w:bottom w:w="140" w:type="dxa"/>
              <w:end w:w="200" w:type="dxa"/>
            </w:tcMar>
          </w:tcPr>
          <w:p>
            <w:pPr>
              <w:spacing w:after="80"/>
            </w:pPr>
            <w:r>
              <w:rPr>
                <w:rFonts w:ascii="Segoe UI" w:hAnsi="Segoe UI" w:eastAsia="Segoe UI"/>
                <w:b/>
                <w:i w:val="0"/>
                <w:color w:val="1A6A42"/>
                <w:sz w:val="24"/>
              </w:rPr>
              <w:t>The one sentence to take away.</w:t>
            </w:r>
          </w:p>
          <w:p>
            <w:pPr>
              <w:spacing w:after="80"/>
            </w:pPr>
            <w:r>
              <w:rPr>
                <w:rFonts w:ascii="Segoe UI" w:hAnsi="Segoe UI" w:eastAsia="Segoe UI"/>
                <w:b w:val="0"/>
                <w:i w:val="0"/>
                <w:color w:val="1C2533"/>
                <w:sz w:val="22"/>
              </w:rPr>
              <w:t>An observation is the load telling you something it noticed. It is not an error report, and it does not mean anything was rejected — the data was stored anyway, and the note was written beside it.</w:t>
            </w:r>
          </w:p>
          <w:p>
            <w:pPr>
              <w:spacing w:after="0"/>
            </w:pPr>
            <w:r>
              <w:rPr>
                <w:rFonts w:ascii="Segoe UI" w:hAnsi="Segoe UI" w:eastAsia="Segoe UI"/>
                <w:b w:val="0"/>
                <w:i w:val="0"/>
                <w:color w:val="1C2533"/>
                <w:sz w:val="22"/>
              </w:rPr>
              <w:t>Sections 1 to 3 explain why the load works that way. Section 5 lists every kind of note it can write, and Section 6 covers the three that actually ask something of you.</w:t>
            </w:r>
          </w:p>
        </w:tc>
      </w:tr>
    </w:tbl>
    <w:p>
      <w:pPr>
        <w:keepNext/>
        <w:spacing w:before="0" w:after="200"/>
      </w:pPr>
      <w:r>
        <w:br w:type="page"/>
      </w:r>
      <w:r>
        <w:rPr>
          <w:rFonts w:ascii="Segoe UI" w:hAnsi="Segoe UI" w:eastAsia="Segoe UI"/>
          <w:b/>
          <w:i w:val="0"/>
          <w:color w:val="1F4E79"/>
          <w:sz w:val="40"/>
        </w:rPr>
        <w:t>The whole thing, in seven sentences</w:t>
      </w:r>
    </w:p>
    <w:p>
      <w:pPr>
        <w:spacing w:after="120"/>
        <w:ind w:left="2232" w:hanging="504"/>
      </w:pPr>
      <w:r>
        <w:rPr>
          <w:rFonts w:ascii="Segoe UI" w:hAnsi="Segoe UI" w:eastAsia="Segoe UI"/>
          <w:b/>
          <w:i w:val="0"/>
          <w:color w:val="A96304"/>
          <w:sz w:val="23"/>
        </w:rPr>
        <w:t xml:space="preserve">1.  </w:t>
      </w:r>
      <w:r>
        <w:rPr>
          <w:rFonts w:ascii="Segoe UI" w:hAnsi="Segoe UI" w:eastAsia="Segoe UI"/>
          <w:b/>
          <w:i w:val="0"/>
          <w:color w:val="1C2533"/>
          <w:sz w:val="23"/>
        </w:rPr>
        <w:t xml:space="preserve">Every night the load asks EPA for handler records and stores them in our database. </w:t>
      </w:r>
      <w:r>
        <w:rPr>
          <w:rFonts w:ascii="Segoe UI" w:hAnsi="Segoe UI" w:eastAsia="Segoe UI"/>
          <w:b w:val="0"/>
          <w:i w:val="0"/>
          <w:color w:val="58657A"/>
          <w:sz w:val="23"/>
        </w:rPr>
        <w:t>One record is one version of one handler, exactly as EPA sent it.</w:t>
      </w:r>
    </w:p>
    <w:p>
      <w:pPr>
        <w:spacing w:after="120"/>
        <w:ind w:left="2232" w:hanging="504"/>
      </w:pPr>
      <w:r>
        <w:rPr>
          <w:rFonts w:ascii="Segoe UI" w:hAnsi="Segoe UI" w:eastAsia="Segoe UI"/>
          <w:b/>
          <w:i w:val="0"/>
          <w:color w:val="A96304"/>
          <w:sz w:val="23"/>
        </w:rPr>
        <w:t xml:space="preserve">2.  </w:t>
      </w:r>
      <w:r>
        <w:rPr>
          <w:rFonts w:ascii="Segoe UI" w:hAnsi="Segoe UI" w:eastAsia="Segoe UI"/>
          <w:b/>
          <w:i w:val="0"/>
          <w:color w:val="1C2533"/>
          <w:sz w:val="23"/>
        </w:rPr>
        <w:t xml:space="preserve">Sometimes a record is odd, but not so odd that it cannot be stored. </w:t>
      </w:r>
      <w:r>
        <w:rPr>
          <w:rFonts w:ascii="Segoe UI" w:hAnsi="Segoe UI" w:eastAsia="Segoe UI"/>
          <w:b w:val="0"/>
          <w:i w:val="0"/>
          <w:color w:val="58657A"/>
          <w:sz w:val="23"/>
        </w:rPr>
        <w:t>EPA might name two versions of the same handler as current, or stop publishing a code we still hold.</w:t>
      </w:r>
    </w:p>
    <w:p>
      <w:pPr>
        <w:spacing w:after="120"/>
        <w:ind w:left="2232" w:hanging="504"/>
      </w:pPr>
      <w:r>
        <w:rPr>
          <w:rFonts w:ascii="Segoe UI" w:hAnsi="Segoe UI" w:eastAsia="Segoe UI"/>
          <w:b/>
          <w:i w:val="0"/>
          <w:color w:val="A96304"/>
          <w:sz w:val="23"/>
        </w:rPr>
        <w:t xml:space="preserve">3.  </w:t>
      </w:r>
      <w:r>
        <w:rPr>
          <w:rFonts w:ascii="Segoe UI" w:hAnsi="Segoe UI" w:eastAsia="Segoe UI"/>
          <w:b/>
          <w:i w:val="0"/>
          <w:color w:val="1C2533"/>
          <w:sz w:val="23"/>
        </w:rPr>
        <w:t xml:space="preserve">When that happens the load stores the record and writes a note about what it noticed. </w:t>
      </w:r>
      <w:r>
        <w:rPr>
          <w:rFonts w:ascii="Segoe UI" w:hAnsi="Segoe UI" w:eastAsia="Segoe UI"/>
          <w:b w:val="0"/>
          <w:i w:val="0"/>
          <w:color w:val="58657A"/>
          <w:sz w:val="23"/>
        </w:rPr>
        <w:t>That note is an observation. It is one row in a table called logs.DataQualityObservation.</w:t>
      </w:r>
    </w:p>
    <w:p>
      <w:pPr>
        <w:spacing w:after="120"/>
        <w:ind w:left="2232" w:hanging="504"/>
      </w:pPr>
      <w:r>
        <w:rPr>
          <w:rFonts w:ascii="Segoe UI" w:hAnsi="Segoe UI" w:eastAsia="Segoe UI"/>
          <w:b/>
          <w:i w:val="0"/>
          <w:color w:val="A96304"/>
          <w:sz w:val="23"/>
        </w:rPr>
        <w:t xml:space="preserve">4.  </w:t>
      </w:r>
      <w:r>
        <w:rPr>
          <w:rFonts w:ascii="Segoe UI" w:hAnsi="Segoe UI" w:eastAsia="Segoe UI"/>
          <w:b/>
          <w:i w:val="0"/>
          <w:color w:val="1C2533"/>
          <w:sz w:val="23"/>
        </w:rPr>
        <w:t xml:space="preserve">It writes the note instead of refusing the record, because refusing would lose real data. </w:t>
      </w:r>
      <w:r>
        <w:rPr>
          <w:rFonts w:ascii="Segoe UI" w:hAnsi="Segoe UI" w:eastAsia="Segoe UI"/>
          <w:b w:val="0"/>
          <w:i w:val="0"/>
          <w:color w:val="58657A"/>
          <w:sz w:val="23"/>
        </w:rPr>
        <w:t>A note can be read next week. A record we declined to store is simply gone.</w:t>
      </w:r>
    </w:p>
    <w:p>
      <w:pPr>
        <w:spacing w:after="120"/>
        <w:ind w:left="2232" w:hanging="504"/>
      </w:pPr>
      <w:r>
        <w:rPr>
          <w:rFonts w:ascii="Segoe UI" w:hAnsi="Segoe UI" w:eastAsia="Segoe UI"/>
          <w:b/>
          <w:i w:val="0"/>
          <w:color w:val="A96304"/>
          <w:sz w:val="23"/>
        </w:rPr>
        <w:t xml:space="preserve">5.  </w:t>
      </w:r>
      <w:r>
        <w:rPr>
          <w:rFonts w:ascii="Segoe UI" w:hAnsi="Segoe UI" w:eastAsia="Segoe UI"/>
          <w:b/>
          <w:i w:val="0"/>
          <w:color w:val="1C2533"/>
          <w:sz w:val="23"/>
        </w:rPr>
        <w:t xml:space="preserve">Each note carries a severity — Info, Warning, or Error — which tells you how hard to look. </w:t>
      </w:r>
      <w:r>
        <w:rPr>
          <w:rFonts w:ascii="Segoe UI" w:hAnsi="Segoe UI" w:eastAsia="Segoe UI"/>
          <w:b w:val="0"/>
          <w:i w:val="0"/>
          <w:color w:val="58657A"/>
          <w:sz w:val="23"/>
        </w:rPr>
        <w:t>Even Error means the load carried on. It does not mean the load failed.</w:t>
      </w:r>
    </w:p>
    <w:p>
      <w:pPr>
        <w:spacing w:after="120"/>
        <w:ind w:left="2232" w:hanging="504"/>
      </w:pPr>
      <w:r>
        <w:rPr>
          <w:rFonts w:ascii="Segoe UI" w:hAnsi="Segoe UI" w:eastAsia="Segoe UI"/>
          <w:b/>
          <w:i w:val="0"/>
          <w:color w:val="A96304"/>
          <w:sz w:val="23"/>
        </w:rPr>
        <w:t xml:space="preserve">6.  </w:t>
      </w:r>
      <w:r>
        <w:rPr>
          <w:rFonts w:ascii="Segoe UI" w:hAnsi="Segoe UI" w:eastAsia="Segoe UI"/>
          <w:b/>
          <w:i w:val="0"/>
          <w:color w:val="1C2533"/>
          <w:sz w:val="23"/>
        </w:rPr>
        <w:t xml:space="preserve">A note is never deleted, corrected, or tidied away. </w:t>
      </w:r>
      <w:r>
        <w:rPr>
          <w:rFonts w:ascii="Segoe UI" w:hAnsi="Segoe UI" w:eastAsia="Segoe UI"/>
          <w:b w:val="0"/>
          <w:i w:val="0"/>
          <w:color w:val="58657A"/>
          <w:sz w:val="23"/>
        </w:rPr>
        <w:t>It stays exactly as written, because it is evidence of what the data looked like on the night it arrived.</w:t>
      </w:r>
    </w:p>
    <w:p>
      <w:pPr>
        <w:spacing w:after="120"/>
        <w:ind w:left="2232" w:hanging="504"/>
      </w:pPr>
      <w:r>
        <w:rPr>
          <w:rFonts w:ascii="Segoe UI" w:hAnsi="Segoe UI" w:eastAsia="Segoe UI"/>
          <w:b/>
          <w:i w:val="0"/>
          <w:color w:val="A96304"/>
          <w:sz w:val="23"/>
        </w:rPr>
        <w:t xml:space="preserve">7.  </w:t>
      </w:r>
      <w:r>
        <w:rPr>
          <w:rFonts w:ascii="Segoe UI" w:hAnsi="Segoe UI" w:eastAsia="Segoe UI"/>
          <w:b/>
          <w:i w:val="0"/>
          <w:color w:val="1C2533"/>
          <w:sz w:val="23"/>
        </w:rPr>
        <w:t xml:space="preserve">The monitoring website shows how many notes a run produced, by severity. </w:t>
      </w:r>
      <w:r>
        <w:rPr>
          <w:rFonts w:ascii="Segoe UI" w:hAnsi="Segoe UI" w:eastAsia="Segoe UI"/>
          <w:b w:val="0"/>
          <w:i w:val="0"/>
          <w:color w:val="58657A"/>
          <w:sz w:val="23"/>
        </w:rPr>
        <w:t>Reading those three numbers, in that order, is the whole of the routine job — Section 8 walks through it.</w:t>
      </w:r>
    </w:p>
    <w:p>
      <w:pPr>
        <w:spacing w:before="0" w:after="40"/>
      </w:pPr>
      <w:r>
        <w:rPr>
          <w:rFonts w:ascii="Segoe UI" w:hAnsi="Segoe UI" w:eastAsia="Segoe UI"/>
          <w:b w:val="0"/>
          <w:i w:val="0"/>
          <w:color w:val="1C2533"/>
          <w:sz w:val="2"/>
        </w:rPr>
      </w:r>
    </w:p>
    <w:tbl>
      <w:tblPr>
        <w:tblW w:type="auto" w:w="0"/>
        <w:jc w:val="left"/>
        <w:tblLayout w:type="fixed"/>
        <w:tblLook w:firstColumn="1" w:firstRow="1" w:lastColumn="0" w:lastRow="0" w:noHBand="0" w:noVBand="1" w:val="04A0"/>
        <w:tblInd w:w="1728" w:type="dxa"/>
      </w:tblPr>
      <w:tblGrid>
        <w:gridCol w:w="9936"/>
      </w:tblGrid>
      <w:tr>
        <w:trPr>
          <w:cantSplit/>
        </w:trPr>
        <w:tc>
          <w:tcPr>
            <w:tcW w:type="dxa" w:w="9936"/>
            <w:shd w:val="clear" w:color="auto" w:fill="E9F0F8"/>
            <w:tcBorders>
              <w:top w:val="single" w:sz="6" w:space="0" w:color="1F4E79"/>
              <w:left w:val="single" w:sz="36" w:space="0" w:color="1F4E79"/>
              <w:bottom w:val="single" w:sz="6" w:space="0" w:color="1F4E79"/>
              <w:right w:val="single" w:sz="6" w:space="0" w:color="1F4E79"/>
            </w:tcBorders>
            <w:tcMar>
              <w:top w:w="140" w:type="dxa"/>
              <w:start w:w="200" w:type="dxa"/>
              <w:bottom w:w="140" w:type="dxa"/>
              <w:end w:w="200" w:type="dxa"/>
            </w:tcMar>
          </w:tcPr>
          <w:p>
            <w:pPr>
              <w:spacing w:after="80"/>
            </w:pPr>
            <w:r>
              <w:rPr>
                <w:rFonts w:ascii="Segoe UI" w:hAnsi="Segoe UI" w:eastAsia="Segoe UI"/>
                <w:b/>
                <w:i w:val="0"/>
                <w:color w:val="1F4E79"/>
                <w:sz w:val="24"/>
              </w:rPr>
              <w:t>The question this document exists to answer: “Something says Error. Is the data broken?”</w:t>
            </w:r>
          </w:p>
          <w:p>
            <w:pPr>
              <w:spacing w:after="80"/>
            </w:pPr>
            <w:r>
              <w:rPr>
                <w:rFonts w:ascii="Segoe UI" w:hAnsi="Segoe UI" w:eastAsia="Segoe UI"/>
                <w:b w:val="0"/>
                <w:i w:val="0"/>
                <w:color w:val="1C2533"/>
                <w:sz w:val="22"/>
              </w:rPr>
              <w:t>Almost certainly not, and the load almost certainly finished. Error, on an observation, means the load found something it cannot resolve on its own and a person should look at it. The record was still stored.</w:t>
            </w:r>
          </w:p>
          <w:p>
            <w:pPr>
              <w:spacing w:after="0"/>
            </w:pPr>
            <w:r>
              <w:rPr>
                <w:rFonts w:ascii="Segoe UI" w:hAnsi="Segoe UI" w:eastAsia="Segoe UI"/>
                <w:b w:val="0"/>
                <w:i w:val="0"/>
                <w:color w:val="1C2533"/>
                <w:sz w:val="22"/>
              </w:rPr>
              <w:t>A load that genuinely failed does not say so here at all. It says so on the run's own status, which is the subject of a different screen.</w:t>
            </w:r>
          </w:p>
        </w:tc>
      </w:tr>
    </w:tbl>
    <w:p>
      <w:pPr>
        <w:keepNext/>
        <w:spacing w:before="0" w:after="200"/>
      </w:pPr>
      <w:r>
        <w:br w:type="page"/>
      </w:r>
      <w:r>
        <w:rPr>
          <w:rFonts w:ascii="Segoe UI" w:hAnsi="Segoe UI" w:eastAsia="Segoe UI"/>
          <w:b/>
          <w:i w:val="0"/>
          <w:color w:val="96A1B2"/>
          <w:sz w:val="40"/>
        </w:rPr>
        <w:t xml:space="preserve">1   </w:t>
      </w:r>
      <w:r>
        <w:rPr>
          <w:rFonts w:ascii="Segoe UI" w:hAnsi="Segoe UI" w:eastAsia="Segoe UI"/>
          <w:b/>
          <w:i w:val="0"/>
          <w:color w:val="1F4E79"/>
          <w:sz w:val="40"/>
        </w:rPr>
        <w:t>Three things can happen to a record from EPA</w:t>
      </w:r>
    </w:p>
    <w:p>
      <w:pPr>
        <w:spacing w:after="160" w:before="0"/>
        <w:ind w:left="1728" w:right="1872"/>
      </w:pPr>
      <w:r>
        <w:rPr>
          <w:rFonts w:ascii="Segoe UI" w:hAnsi="Segoe UI" w:eastAsia="Segoe UI"/>
          <w:b w:val="0"/>
          <w:i w:val="0"/>
          <w:color w:val="1C2533"/>
          <w:sz w:val="22"/>
        </w:rPr>
        <w:t>Only three. Observations are about data we have, not data we lost.</w:t>
      </w:r>
    </w:p>
    <w:p>
      <w:pPr>
        <w:keepNext/>
        <w:spacing w:before="160" w:after="80"/>
        <w:jc w:val="center"/>
      </w:pPr>
      <w:r>
        <w:drawing>
          <wp:inline xmlns:a="http://schemas.openxmlformats.org/drawingml/2006/main" xmlns:pic="http://schemas.openxmlformats.org/drawingml/2006/picture">
            <wp:extent cx="6217920" cy="4026209"/>
            <wp:docPr id="1" name="Picture 1"/>
            <wp:cNvGraphicFramePr>
              <a:graphicFrameLocks noChangeAspect="1"/>
            </wp:cNvGraphicFramePr>
            <a:graphic>
              <a:graphicData uri="http://schemas.openxmlformats.org/drawingml/2006/picture">
                <pic:pic>
                  <pic:nvPicPr>
                    <pic:cNvPr id="0" name="01-three-outcomes.png"/>
                    <pic:cNvPicPr/>
                  </pic:nvPicPr>
                  <pic:blipFill>
                    <a:blip r:embed="rId10"/>
                    <a:stretch>
                      <a:fillRect/>
                    </a:stretch>
                  </pic:blipFill>
                  <pic:spPr>
                    <a:xfrm>
                      <a:off x="0" y="0"/>
                      <a:ext cx="6217920" cy="4026209"/>
                    </a:xfrm>
                    <a:prstGeom prst="rect"/>
                  </pic:spPr>
                </pic:pic>
              </a:graphicData>
            </a:graphic>
          </wp:inline>
        </w:drawing>
      </w:r>
    </w:p>
    <w:p>
      <w:pPr>
        <w:spacing w:after="280"/>
        <w:jc w:val="center"/>
      </w:pPr>
      <w:r>
        <w:rPr>
          <w:rFonts w:ascii="Segoe UI" w:hAnsi="Segoe UI" w:eastAsia="Segoe UI"/>
          <w:b w:val="0"/>
          <w:i/>
          <w:color w:val="58657A"/>
          <w:sz w:val="19"/>
        </w:rPr>
        <w:t>Figure 1 — The middle path is what this document is about: the record was stored, and a note was written beside it.</w:t>
      </w:r>
    </w:p>
    <w:p>
      <w:pPr>
        <w:pStyle w:val="ListBullet"/>
        <w:spacing w:after="100" w:before="0"/>
        <w:ind w:left="2160"/>
      </w:pPr>
      <w:r>
        <w:rPr>
          <w:rFonts w:ascii="Segoe UI" w:hAnsi="Segoe UI" w:eastAsia="Segoe UI"/>
          <w:b/>
          <w:i w:val="0"/>
          <w:color w:val="1C2533"/>
          <w:sz w:val="22"/>
        </w:rPr>
        <w:t xml:space="preserve">Stored, nothing noted — </w:t>
      </w:r>
      <w:r>
        <w:rPr>
          <w:rFonts w:ascii="Segoe UI" w:hAnsi="Segoe UI" w:eastAsia="Segoe UI"/>
          <w:b w:val="0"/>
          <w:i w:val="0"/>
          <w:color w:val="1C2533"/>
          <w:sz w:val="22"/>
        </w:rPr>
        <w:t>the ordinary night. Nothing to see, and nothing to do.</w:t>
      </w:r>
    </w:p>
    <w:p>
      <w:pPr>
        <w:pStyle w:val="ListBullet"/>
        <w:spacing w:after="100" w:before="0"/>
        <w:ind w:left="2160"/>
      </w:pPr>
      <w:r>
        <w:rPr>
          <w:rFonts w:ascii="Segoe UI" w:hAnsi="Segoe UI" w:eastAsia="Segoe UI"/>
          <w:b/>
          <w:i w:val="0"/>
          <w:color w:val="1C2533"/>
          <w:sz w:val="22"/>
        </w:rPr>
        <w:t xml:space="preserve">Stored, and noted — </w:t>
      </w:r>
      <w:r>
        <w:rPr>
          <w:rFonts w:ascii="Segoe UI" w:hAnsi="Segoe UI" w:eastAsia="Segoe UI"/>
          <w:b w:val="0"/>
          <w:i w:val="0"/>
          <w:color w:val="1C2533"/>
          <w:sz w:val="22"/>
        </w:rPr>
        <w:t>the record is there, and so is a note about it, counted on the run summary.</w:t>
      </w:r>
    </w:p>
    <w:p>
      <w:pPr>
        <w:pStyle w:val="ListBullet"/>
        <w:spacing w:after="100" w:before="0"/>
        <w:ind w:left="2160"/>
      </w:pPr>
      <w:r>
        <w:rPr>
          <w:rFonts w:ascii="Segoe UI" w:hAnsi="Segoe UI" w:eastAsia="Segoe UI"/>
          <w:b/>
          <w:i w:val="0"/>
          <w:color w:val="1C2533"/>
          <w:sz w:val="22"/>
        </w:rPr>
        <w:t xml:space="preserve">Not stored at all — </w:t>
      </w:r>
      <w:r>
        <w:rPr>
          <w:rFonts w:ascii="Segoe UI" w:hAnsi="Segoe UI" w:eastAsia="Segoe UI"/>
          <w:b w:val="0"/>
          <w:i w:val="0"/>
          <w:color w:val="1C2533"/>
          <w:sz w:val="22"/>
        </w:rPr>
        <w:t>the only case where data is missing. It shows up as a failed row on the run's own status, not as an observation, and the load will try again.</w:t>
      </w:r>
    </w:p>
    <w:p>
      <w:pPr>
        <w:keepNext/>
        <w:spacing w:before="0" w:after="200"/>
      </w:pPr>
      <w:r>
        <w:br w:type="page"/>
      </w:r>
      <w:r>
        <w:rPr>
          <w:rFonts w:ascii="Segoe UI" w:hAnsi="Segoe UI" w:eastAsia="Segoe UI"/>
          <w:b/>
          <w:i w:val="0"/>
          <w:color w:val="96A1B2"/>
          <w:sz w:val="40"/>
        </w:rPr>
        <w:t xml:space="preserve">2   </w:t>
      </w:r>
      <w:r>
        <w:rPr>
          <w:rFonts w:ascii="Segoe UI" w:hAnsi="Segoe UI" w:eastAsia="Segoe UI"/>
          <w:b/>
          <w:i w:val="0"/>
          <w:color w:val="1F4E79"/>
          <w:sz w:val="40"/>
        </w:rPr>
        <w:t>Why the load writes it down instead of refusing the record</w:t>
      </w:r>
    </w:p>
    <w:p>
      <w:pPr>
        <w:spacing w:after="160" w:before="0"/>
        <w:ind w:left="1728" w:right="1872"/>
      </w:pPr>
      <w:r>
        <w:rPr>
          <w:rFonts w:ascii="Segoe UI" w:hAnsi="Segoe UI" w:eastAsia="Segoe UI"/>
          <w:b w:val="0"/>
          <w:i w:val="0"/>
          <w:color w:val="1C2533"/>
          <w:sz w:val="22"/>
        </w:rPr>
        <w:t>This is a deliberate design decision, not an oversight, and it is worth understanding because it explains why a healthy run can still produce hundreds of notes.</w:t>
      </w:r>
    </w:p>
    <w:p>
      <w:pPr>
        <w:keepNext/>
        <w:spacing w:before="240" w:after="120"/>
        <w:ind w:left="1728"/>
      </w:pPr>
      <w:r>
        <w:rPr>
          <w:rFonts w:ascii="Segoe UI" w:hAnsi="Segoe UI" w:eastAsia="Segoe UI"/>
          <w:b/>
          <w:i w:val="0"/>
          <w:color w:val="1C2533"/>
          <w:sz w:val="26"/>
        </w:rPr>
        <w:t>The reasoning, in three moves</w:t>
      </w:r>
    </w:p>
    <w:p>
      <w:pPr>
        <w:spacing w:after="140"/>
        <w:ind w:left="2232" w:hanging="504"/>
      </w:pPr>
      <w:r>
        <w:rPr>
          <w:rFonts w:ascii="Segoe UI" w:hAnsi="Segoe UI" w:eastAsia="Segoe UI"/>
          <w:b/>
          <w:i w:val="0"/>
          <w:color w:val="A96304"/>
          <w:sz w:val="23"/>
        </w:rPr>
        <w:t xml:space="preserve">1.  </w:t>
      </w:r>
      <w:r>
        <w:rPr>
          <w:rFonts w:ascii="Segoe UI" w:hAnsi="Segoe UI" w:eastAsia="Segoe UI"/>
          <w:b/>
          <w:i w:val="0"/>
          <w:color w:val="1C2533"/>
          <w:sz w:val="23"/>
        </w:rPr>
        <w:t xml:space="preserve">We are copying EPA's data, not judging it.  </w:t>
      </w:r>
      <w:r>
        <w:rPr>
          <w:rFonts w:ascii="Segoe UI" w:hAnsi="Segoe UI" w:eastAsia="Segoe UI"/>
          <w:b w:val="0"/>
          <w:i w:val="0"/>
          <w:color w:val="58657A"/>
          <w:sz w:val="23"/>
        </w:rPr>
        <w:t>If EPA publishes something strange, the strange thing is the fact. Our copy is supposed to look like theirs, including the parts we did not expect.</w:t>
      </w:r>
    </w:p>
    <w:p>
      <w:pPr>
        <w:spacing w:after="140"/>
        <w:ind w:left="2232" w:hanging="504"/>
      </w:pPr>
      <w:r>
        <w:rPr>
          <w:rFonts w:ascii="Segoe UI" w:hAnsi="Segoe UI" w:eastAsia="Segoe UI"/>
          <w:b/>
          <w:i w:val="0"/>
          <w:color w:val="A96304"/>
          <w:sz w:val="23"/>
        </w:rPr>
        <w:t xml:space="preserve">2.  </w:t>
      </w:r>
      <w:r>
        <w:rPr>
          <w:rFonts w:ascii="Segoe UI" w:hAnsi="Segoe UI" w:eastAsia="Segoe UI"/>
          <w:b/>
          <w:i w:val="0"/>
          <w:color w:val="1C2533"/>
          <w:sz w:val="23"/>
        </w:rPr>
        <w:t xml:space="preserve">A record refused is a record lost.  </w:t>
      </w:r>
      <w:r>
        <w:rPr>
          <w:rFonts w:ascii="Segoe UI" w:hAnsi="Segoe UI" w:eastAsia="Segoe UI"/>
          <w:b w:val="0"/>
          <w:i w:val="0"/>
          <w:color w:val="58657A"/>
          <w:sz w:val="23"/>
        </w:rPr>
        <w:t>EPA's nightly feed sends updates, not the whole history again. A record we decline today may not come round again tomorrow.</w:t>
      </w:r>
    </w:p>
    <w:p>
      <w:pPr>
        <w:spacing w:after="140"/>
        <w:ind w:left="2232" w:hanging="504"/>
      </w:pPr>
      <w:r>
        <w:rPr>
          <w:rFonts w:ascii="Segoe UI" w:hAnsi="Segoe UI" w:eastAsia="Segoe UI"/>
          <w:b/>
          <w:i w:val="0"/>
          <w:color w:val="A96304"/>
          <w:sz w:val="23"/>
        </w:rPr>
        <w:t xml:space="preserve">3.  </w:t>
      </w:r>
      <w:r>
        <w:rPr>
          <w:rFonts w:ascii="Segoe UI" w:hAnsi="Segoe UI" w:eastAsia="Segoe UI"/>
          <w:b/>
          <w:i w:val="0"/>
          <w:color w:val="1C2533"/>
          <w:sz w:val="23"/>
        </w:rPr>
        <w:t xml:space="preserve">A note costs almost nothing and can be read later.  </w:t>
      </w:r>
      <w:r>
        <w:rPr>
          <w:rFonts w:ascii="Segoe UI" w:hAnsi="Segoe UI" w:eastAsia="Segoe UI"/>
          <w:b w:val="0"/>
          <w:i w:val="0"/>
          <w:color w:val="58657A"/>
          <w:sz w:val="23"/>
        </w:rPr>
        <w:t>It carries the handler, the field, the value that surprised us, and a plain-English sentence about what to make of it — so somebody can judge it next week with the evidence still intact.</w:t>
      </w:r>
    </w:p>
    <w:p>
      <w:pPr>
        <w:spacing w:before="0" w:after="80"/>
      </w:pPr>
      <w:r>
        <w:rPr>
          <w:rFonts w:ascii="Segoe UI" w:hAnsi="Segoe UI" w:eastAsia="Segoe UI"/>
          <w:b w:val="0"/>
          <w:i w:val="0"/>
          <w:color w:val="1C2533"/>
          <w:sz w:val="2"/>
        </w:rPr>
      </w:r>
    </w:p>
    <w:tbl>
      <w:tblPr>
        <w:tblW w:type="auto" w:w="0"/>
        <w:jc w:val="left"/>
        <w:tblLayout w:type="fixed"/>
        <w:tblLook w:firstColumn="1" w:firstRow="1" w:lastColumn="0" w:lastRow="0" w:noHBand="0" w:noVBand="1" w:val="04A0"/>
        <w:tblInd w:w="1728" w:type="dxa"/>
      </w:tblPr>
      <w:tblGrid>
        <w:gridCol w:w="9936"/>
      </w:tblGrid>
      <w:tr>
        <w:trPr>
          <w:cantSplit/>
        </w:trPr>
        <w:tc>
          <w:tcPr>
            <w:tcW w:type="dxa" w:w="9936"/>
            <w:shd w:val="clear" w:color="auto" w:fill="FDF3E0"/>
            <w:tcBorders>
              <w:top w:val="single" w:sz="6" w:space="0" w:color="A96304"/>
              <w:left w:val="single" w:sz="36" w:space="0" w:color="A96304"/>
              <w:bottom w:val="single" w:sz="6" w:space="0" w:color="A96304"/>
              <w:right w:val="single" w:sz="6" w:space="0" w:color="A96304"/>
            </w:tcBorders>
            <w:tcMar>
              <w:top w:w="140" w:type="dxa"/>
              <w:start w:w="200" w:type="dxa"/>
              <w:bottom w:w="140" w:type="dxa"/>
              <w:end w:w="200" w:type="dxa"/>
            </w:tcMar>
          </w:tcPr>
          <w:p>
            <w:pPr>
              <w:spacing w:after="80"/>
            </w:pPr>
            <w:r>
              <w:rPr>
                <w:rFonts w:ascii="Segoe UI" w:hAnsi="Segoe UI" w:eastAsia="Segoe UI"/>
                <w:b/>
                <w:i w:val="0"/>
                <w:color w:val="A96304"/>
                <w:sz w:val="24"/>
              </w:rPr>
              <w:t>The practical consequence</w:t>
            </w:r>
          </w:p>
          <w:p>
            <w:pPr>
              <w:spacing w:after="80"/>
            </w:pPr>
            <w:r>
              <w:rPr>
                <w:rFonts w:ascii="Segoe UI" w:hAnsi="Segoe UI" w:eastAsia="Segoe UI"/>
                <w:b w:val="0"/>
                <w:i w:val="0"/>
                <w:color w:val="1C2533"/>
                <w:sz w:val="22"/>
              </w:rPr>
              <w:t>Our database is allowed to hold values EPA no longer publishes, and values that do not appear in any of EPA's code lists.</w:t>
            </w:r>
          </w:p>
          <w:p>
            <w:pPr>
              <w:spacing w:after="80"/>
            </w:pPr>
            <w:r>
              <w:rPr>
                <w:rFonts w:ascii="Segoe UI" w:hAnsi="Segoe UI" w:eastAsia="Segoe UI"/>
                <w:b w:val="0"/>
                <w:i w:val="0"/>
                <w:color w:val="1C2533"/>
                <w:sz w:val="22"/>
              </w:rPr>
              <w:t>That is not a defect. A handler form submitted in 2019 is still correctly described by the codes that were current in 2019. Throwing those away would make the older records unreadable.</w:t>
            </w:r>
          </w:p>
          <w:p>
            <w:pPr>
              <w:spacing w:after="0"/>
            </w:pPr>
            <w:r>
              <w:rPr>
                <w:rFonts w:ascii="Segoe UI" w:hAnsi="Segoe UI" w:eastAsia="Segoe UI"/>
                <w:b w:val="0"/>
                <w:i w:val="0"/>
                <w:color w:val="1C2533"/>
                <w:sz w:val="22"/>
              </w:rPr>
              <w:t>Observations are how we keep track of that without pretending it is tidy.</w:t>
            </w:r>
          </w:p>
        </w:tc>
      </w:tr>
    </w:tbl>
    <w:p>
      <w:pPr>
        <w:keepNext/>
        <w:spacing w:before="0" w:after="200"/>
      </w:pPr>
      <w:r>
        <w:br w:type="page"/>
      </w:r>
      <w:r>
        <w:rPr>
          <w:rFonts w:ascii="Segoe UI" w:hAnsi="Segoe UI" w:eastAsia="Segoe UI"/>
          <w:b/>
          <w:i w:val="0"/>
          <w:color w:val="96A1B2"/>
          <w:sz w:val="40"/>
        </w:rPr>
        <w:t xml:space="preserve">3   </w:t>
      </w:r>
      <w:r>
        <w:rPr>
          <w:rFonts w:ascii="Segoe UI" w:hAnsi="Segoe UI" w:eastAsia="Segoe UI"/>
          <w:b/>
          <w:i w:val="0"/>
          <w:color w:val="1F4E79"/>
          <w:sz w:val="40"/>
        </w:rPr>
        <w:t>The three severities, and what each one asks of you</w:t>
      </w:r>
    </w:p>
    <w:p>
      <w:pPr>
        <w:spacing w:after="160" w:before="0"/>
        <w:ind w:left="1728" w:right="1872"/>
      </w:pPr>
      <w:r>
        <w:rPr>
          <w:rFonts w:ascii="Segoe UI" w:hAnsi="Segoe UI" w:eastAsia="Segoe UI"/>
          <w:b w:val="0"/>
          <w:i w:val="0"/>
          <w:color w:val="1C2533"/>
          <w:sz w:val="22"/>
        </w:rPr>
        <w:t>Severity is the load's own estimate of how hard you should look. There are exactly three values and they never change.</w:t>
      </w:r>
    </w:p>
    <w:tbl>
      <w:tblPr>
        <w:tblW w:type="auto" w:w="0"/>
        <w:jc w:val="left"/>
        <w:tblLayout w:type="fixed"/>
        <w:tblLook w:firstColumn="1" w:firstRow="1" w:lastColumn="0" w:lastRow="0" w:noHBand="0" w:noVBand="1" w:val="04A0"/>
        <w:tblInd w:w="1728" w:type="dxa"/>
      </w:tblPr>
      <w:tblGrid>
        <w:gridCol w:w="1584"/>
        <w:gridCol w:w="4464"/>
        <w:gridCol w:w="3888"/>
      </w:tblGrid>
      <w:tr>
        <w:trPr>
          <w:cantSplit/>
        </w:trPr>
        <w:tc>
          <w:tcPr>
            <w:tcW w:type="dxa" w:w="1584"/>
            <w:shd w:val="clear" w:color="auto" w:fill="FDF3E0"/>
            <w:tcBorders>
              <w:top w:val="single" w:sz="8" w:space="0" w:color="A96304"/>
              <w:left w:val="nil"/>
              <w:bottom w:val="single" w:sz="12" w:space="0" w:color="A96304"/>
              <w:right w:val="nil"/>
            </w:tcBorders>
            <w:tcMar>
              <w:top w:w="70" w:type="dxa"/>
              <w:start w:w="180" w:type="dxa"/>
              <w:bottom w:w="70" w:type="dxa"/>
              <w:end w:w="180" w:type="dxa"/>
            </w:tcMar>
          </w:tcPr>
          <w:p>
            <w:pPr>
              <w:keepNext/>
              <w:spacing w:after="0"/>
            </w:pPr>
            <w:r>
              <w:rPr>
                <w:rFonts w:ascii="Segoe UI" w:hAnsi="Segoe UI" w:eastAsia="Segoe UI"/>
                <w:b/>
                <w:i w:val="0"/>
                <w:color w:val="1C2533"/>
                <w:sz w:val="21"/>
              </w:rPr>
              <w:t>Severity</w:t>
            </w:r>
          </w:p>
        </w:tc>
        <w:tc>
          <w:tcPr>
            <w:tcW w:type="dxa" w:w="4464"/>
            <w:shd w:val="clear" w:color="auto" w:fill="FDF3E0"/>
            <w:tcBorders>
              <w:top w:val="single" w:sz="8" w:space="0" w:color="A96304"/>
              <w:left w:val="nil"/>
              <w:bottom w:val="single" w:sz="12" w:space="0" w:color="A96304"/>
              <w:right w:val="nil"/>
            </w:tcBorders>
            <w:tcMar>
              <w:top w:w="70" w:type="dxa"/>
              <w:start w:w="180" w:type="dxa"/>
              <w:bottom w:w="70" w:type="dxa"/>
              <w:end w:w="180" w:type="dxa"/>
            </w:tcMar>
          </w:tcPr>
          <w:p>
            <w:pPr>
              <w:keepNext/>
              <w:spacing w:after="0"/>
            </w:pPr>
            <w:r>
              <w:rPr>
                <w:rFonts w:ascii="Segoe UI" w:hAnsi="Segoe UI" w:eastAsia="Segoe UI"/>
                <w:b/>
                <w:i w:val="0"/>
                <w:color w:val="1C2533"/>
                <w:sz w:val="21"/>
              </w:rPr>
              <w:t>What it means</w:t>
            </w:r>
          </w:p>
        </w:tc>
        <w:tc>
          <w:tcPr>
            <w:tcW w:type="dxa" w:w="3888"/>
            <w:shd w:val="clear" w:color="auto" w:fill="FDF3E0"/>
            <w:tcBorders>
              <w:top w:val="single" w:sz="8" w:space="0" w:color="A96304"/>
              <w:left w:val="nil"/>
              <w:bottom w:val="single" w:sz="12" w:space="0" w:color="A96304"/>
              <w:right w:val="nil"/>
            </w:tcBorders>
            <w:tcMar>
              <w:top w:w="70" w:type="dxa"/>
              <w:start w:w="180" w:type="dxa"/>
              <w:bottom w:w="70" w:type="dxa"/>
              <w:end w:w="180" w:type="dxa"/>
            </w:tcMar>
          </w:tcPr>
          <w:p>
            <w:pPr>
              <w:keepNext/>
              <w:spacing w:after="0"/>
            </w:pPr>
            <w:r>
              <w:rPr>
                <w:rFonts w:ascii="Segoe UI" w:hAnsi="Segoe UI" w:eastAsia="Segoe UI"/>
                <w:b/>
                <w:i w:val="0"/>
                <w:color w:val="1C2533"/>
                <w:sz w:val="21"/>
              </w:rPr>
              <w:t>What it asks of you</w:t>
            </w:r>
          </w:p>
        </w:tc>
      </w:tr>
      <w:tr>
        <w:trPr>
          <w:cantSplit/>
        </w:trPr>
        <w:tc>
          <w:tcPr>
            <w:tcW w:type="dxa" w:w="158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Info</w:t>
            </w:r>
          </w:p>
        </w:tc>
        <w:tc>
          <w:tcPr>
            <w:tcW w:type="dxa" w:w="446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Something changed that somebody may want to find later.</w:t>
            </w:r>
          </w:p>
        </w:tc>
        <w:tc>
          <w:tcPr>
            <w:tcW w:type="dxa" w:w="3888"/>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Nothing. Read it if you are curious.</w:t>
            </w:r>
          </w:p>
        </w:tc>
      </w:tr>
      <w:tr>
        <w:trPr>
          <w:cantSplit/>
        </w:trPr>
        <w:tc>
          <w:tcPr>
            <w:tcW w:type="dxa" w:w="158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Warning</w:t>
            </w:r>
          </w:p>
        </w:tc>
        <w:tc>
          <w:tcPr>
            <w:tcW w:type="dxa" w:w="446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Something the load expected to be possible, and handled.</w:t>
            </w:r>
          </w:p>
        </w:tc>
        <w:tc>
          <w:tcPr>
            <w:tcW w:type="dxa" w:w="3888"/>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Read the count. Look closer only if it is unusually large.</w:t>
            </w:r>
          </w:p>
        </w:tc>
      </w:tr>
      <w:tr>
        <w:trPr>
          <w:cantSplit/>
        </w:trPr>
        <w:tc>
          <w:tcPr>
            <w:tcW w:type="dxa" w:w="1584"/>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i w:val="0"/>
                <w:color w:val="1C2533"/>
                <w:sz w:val="21"/>
              </w:rPr>
              <w:t>Error</w:t>
            </w:r>
          </w:p>
        </w:tc>
        <w:tc>
          <w:tcPr>
            <w:tcW w:type="dxa" w:w="4464"/>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val="0"/>
                <w:i w:val="0"/>
                <w:color w:val="1C2533"/>
                <w:sz w:val="21"/>
              </w:rPr>
              <w:t>Something the load cannot resolve on its own.</w:t>
            </w:r>
          </w:p>
        </w:tc>
        <w:tc>
          <w:tcPr>
            <w:tcW w:type="dxa" w:w="3888"/>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val="0"/>
                <w:i w:val="0"/>
                <w:color w:val="1C2533"/>
                <w:sz w:val="21"/>
              </w:rPr>
              <w:t>Look at it. Section 6 says what to do for each kind.</w:t>
            </w:r>
          </w:p>
        </w:tc>
      </w:tr>
    </w:tbl>
    <w:p>
      <w:pPr>
        <w:spacing w:before="0" w:after="160"/>
      </w:pPr>
      <w:r>
        <w:rPr>
          <w:rFonts w:ascii="Segoe UI" w:hAnsi="Segoe UI" w:eastAsia="Segoe UI"/>
          <w:b w:val="0"/>
          <w:i w:val="0"/>
          <w:color w:val="1C2533"/>
          <w:sz w:val="2"/>
        </w:rPr>
      </w:r>
    </w:p>
    <w:tbl>
      <w:tblPr>
        <w:tblW w:type="auto" w:w="0"/>
        <w:jc w:val="left"/>
        <w:tblLayout w:type="fixed"/>
        <w:tblLook w:firstColumn="1" w:firstRow="1" w:lastColumn="0" w:lastRow="0" w:noHBand="0" w:noVBand="1" w:val="04A0"/>
        <w:tblInd w:w="1728" w:type="dxa"/>
      </w:tblPr>
      <w:tblGrid>
        <w:gridCol w:w="9936"/>
      </w:tblGrid>
      <w:tr>
        <w:trPr>
          <w:cantSplit/>
        </w:trPr>
        <w:tc>
          <w:tcPr>
            <w:tcW w:type="dxa" w:w="9936"/>
            <w:shd w:val="clear" w:color="auto" w:fill="FCEAE8"/>
            <w:tcBorders>
              <w:top w:val="single" w:sz="6" w:space="0" w:color="A32820"/>
              <w:left w:val="single" w:sz="36" w:space="0" w:color="A32820"/>
              <w:bottom w:val="single" w:sz="6" w:space="0" w:color="A32820"/>
              <w:right w:val="single" w:sz="6" w:space="0" w:color="A32820"/>
            </w:tcBorders>
            <w:tcMar>
              <w:top w:w="140" w:type="dxa"/>
              <w:start w:w="200" w:type="dxa"/>
              <w:bottom w:w="140" w:type="dxa"/>
              <w:end w:w="200" w:type="dxa"/>
            </w:tcMar>
          </w:tcPr>
          <w:p>
            <w:pPr>
              <w:spacing w:after="80"/>
            </w:pPr>
            <w:r>
              <w:rPr>
                <w:rFonts w:ascii="Segoe UI" w:hAnsi="Segoe UI" w:eastAsia="Segoe UI"/>
                <w:b/>
                <w:i w:val="0"/>
                <w:color w:val="A32820"/>
                <w:sz w:val="24"/>
              </w:rPr>
              <w:t>Error here does not mean the load failed.</w:t>
            </w:r>
          </w:p>
          <w:p>
            <w:pPr>
              <w:spacing w:after="80"/>
            </w:pPr>
            <w:r>
              <w:rPr>
                <w:rFonts w:ascii="Segoe UI" w:hAnsi="Segoe UI" w:eastAsia="Segoe UI"/>
                <w:b w:val="0"/>
                <w:i w:val="0"/>
                <w:color w:val="1C2533"/>
                <w:sz w:val="22"/>
              </w:rPr>
              <w:t>This is the one thing people get wrong. An observation with severity Error still describes a record that was stored successfully, in a run that carried on to the end.</w:t>
            </w:r>
          </w:p>
          <w:p>
            <w:pPr>
              <w:spacing w:after="0"/>
            </w:pPr>
            <w:r>
              <w:rPr>
                <w:rFonts w:ascii="Segoe UI" w:hAnsi="Segoe UI" w:eastAsia="Segoe UI"/>
                <w:b w:val="0"/>
                <w:i w:val="0"/>
                <w:color w:val="1C2533"/>
                <w:sz w:val="22"/>
              </w:rPr>
              <w:t>Whether a load failed is a separate question with a separate answer: the run's status, and the per-handler statuses beneath it. A run can finish perfectly while producing Errors, and a run can fail while producing none at all.</w:t>
            </w:r>
          </w:p>
        </w:tc>
      </w:tr>
    </w:tbl>
    <w:p>
      <w:pPr>
        <w:spacing w:before="0" w:after="120"/>
      </w:pPr>
      <w:r>
        <w:rPr>
          <w:rFonts w:ascii="Segoe UI" w:hAnsi="Segoe UI" w:eastAsia="Segoe UI"/>
          <w:b w:val="0"/>
          <w:i w:val="0"/>
          <w:color w:val="1C2533"/>
          <w:sz w:val="2"/>
        </w:rPr>
      </w:r>
    </w:p>
    <w:p>
      <w:pPr>
        <w:spacing w:after="160" w:before="0"/>
        <w:ind w:left="1728" w:right="1872"/>
      </w:pPr>
      <w:r>
        <w:rPr>
          <w:rFonts w:ascii="Segoe UI" w:hAnsi="Segoe UI" w:eastAsia="Segoe UI"/>
          <w:b w:val="0"/>
          <w:i w:val="0"/>
          <w:color w:val="1C2533"/>
          <w:sz w:val="22"/>
        </w:rPr>
        <w:t>The wording is chosen so that severity means the same thing in every kind of note. A Warning about a missing code list and a Warning about a handler's current version are asking for the same amount of attention, even though they come from completely different parts of the load.</w:t>
      </w:r>
    </w:p>
    <w:p>
      <w:pPr>
        <w:keepNext/>
        <w:spacing w:before="0" w:after="200"/>
      </w:pPr>
      <w:r>
        <w:br w:type="page"/>
      </w:r>
      <w:r>
        <w:rPr>
          <w:rFonts w:ascii="Segoe UI" w:hAnsi="Segoe UI" w:eastAsia="Segoe UI"/>
          <w:b/>
          <w:i w:val="0"/>
          <w:color w:val="96A1B2"/>
          <w:sz w:val="40"/>
        </w:rPr>
        <w:t xml:space="preserve">4   </w:t>
      </w:r>
      <w:r>
        <w:rPr>
          <w:rFonts w:ascii="Segoe UI" w:hAnsi="Segoe UI" w:eastAsia="Segoe UI"/>
          <w:b/>
          <w:i w:val="0"/>
          <w:color w:val="1F4E79"/>
          <w:sz w:val="40"/>
        </w:rPr>
        <w:t>Reading one observation</w:t>
      </w:r>
    </w:p>
    <w:p>
      <w:pPr>
        <w:spacing w:after="160" w:before="0"/>
        <w:ind w:left="1728" w:right="1872"/>
      </w:pPr>
      <w:r>
        <w:rPr>
          <w:rFonts w:ascii="Segoe UI" w:hAnsi="Segoe UI" w:eastAsia="Segoe UI"/>
          <w:b w:val="0"/>
          <w:i w:val="0"/>
          <w:color w:val="1C2533"/>
          <w:sz w:val="22"/>
        </w:rPr>
        <w:t>A single note answers six questions. You do not need to know the database to read one — every field is either a plain name or a plain sentence.</w:t>
      </w:r>
    </w:p>
    <w:tbl>
      <w:tblPr>
        <w:tblW w:type="auto" w:w="0"/>
        <w:jc w:val="left"/>
        <w:tblLayout w:type="fixed"/>
        <w:tblLook w:firstColumn="1" w:firstRow="1" w:lastColumn="0" w:lastRow="0" w:noHBand="0" w:noVBand="1" w:val="04A0"/>
        <w:tblInd w:w="1728" w:type="dxa"/>
      </w:tblPr>
      <w:tblGrid>
        <w:gridCol w:w="3096"/>
        <w:gridCol w:w="2808"/>
        <w:gridCol w:w="4032"/>
      </w:tblGrid>
      <w:tr>
        <w:trPr>
          <w:cantSplit/>
        </w:trPr>
        <w:tc>
          <w:tcPr>
            <w:tcW w:type="dxa" w:w="3096"/>
            <w:shd w:val="clear" w:color="auto" w:fill="E9F0F8"/>
            <w:tcBorders>
              <w:top w:val="single" w:sz="8" w:space="0" w:color="1F4E79"/>
              <w:left w:val="nil"/>
              <w:bottom w:val="single" w:sz="12" w:space="0" w:color="1F4E79"/>
              <w:right w:val="nil"/>
            </w:tcBorders>
            <w:tcMar>
              <w:top w:w="70" w:type="dxa"/>
              <w:start w:w="180" w:type="dxa"/>
              <w:bottom w:w="70" w:type="dxa"/>
              <w:end w:w="180" w:type="dxa"/>
            </w:tcMar>
          </w:tcPr>
          <w:p>
            <w:pPr>
              <w:keepNext/>
              <w:spacing w:after="0"/>
            </w:pPr>
            <w:r>
              <w:rPr>
                <w:rFonts w:ascii="Segoe UI" w:hAnsi="Segoe UI" w:eastAsia="Segoe UI"/>
                <w:b/>
                <w:i w:val="0"/>
                <w:color w:val="1C2533"/>
                <w:sz w:val="21"/>
              </w:rPr>
              <w:t>The question</w:t>
            </w:r>
          </w:p>
        </w:tc>
        <w:tc>
          <w:tcPr>
            <w:tcW w:type="dxa" w:w="2808"/>
            <w:shd w:val="clear" w:color="auto" w:fill="E9F0F8"/>
            <w:tcBorders>
              <w:top w:val="single" w:sz="8" w:space="0" w:color="1F4E79"/>
              <w:left w:val="nil"/>
              <w:bottom w:val="single" w:sz="12" w:space="0" w:color="1F4E79"/>
              <w:right w:val="nil"/>
            </w:tcBorders>
            <w:tcMar>
              <w:top w:w="70" w:type="dxa"/>
              <w:start w:w="180" w:type="dxa"/>
              <w:bottom w:w="70" w:type="dxa"/>
              <w:end w:w="180" w:type="dxa"/>
            </w:tcMar>
          </w:tcPr>
          <w:p>
            <w:pPr>
              <w:keepNext/>
              <w:spacing w:after="0"/>
            </w:pPr>
            <w:r>
              <w:rPr>
                <w:rFonts w:ascii="Segoe UI" w:hAnsi="Segoe UI" w:eastAsia="Segoe UI"/>
                <w:b/>
                <w:i w:val="0"/>
                <w:color w:val="1C2533"/>
                <w:sz w:val="21"/>
              </w:rPr>
              <w:t>The field that answers it</w:t>
            </w:r>
          </w:p>
        </w:tc>
        <w:tc>
          <w:tcPr>
            <w:tcW w:type="dxa" w:w="4032"/>
            <w:shd w:val="clear" w:color="auto" w:fill="E9F0F8"/>
            <w:tcBorders>
              <w:top w:val="single" w:sz="8" w:space="0" w:color="1F4E79"/>
              <w:left w:val="nil"/>
              <w:bottom w:val="single" w:sz="12" w:space="0" w:color="1F4E79"/>
              <w:right w:val="nil"/>
            </w:tcBorders>
            <w:tcMar>
              <w:top w:w="70" w:type="dxa"/>
              <w:start w:w="180" w:type="dxa"/>
              <w:bottom w:w="70" w:type="dxa"/>
              <w:end w:w="180" w:type="dxa"/>
            </w:tcMar>
          </w:tcPr>
          <w:p>
            <w:pPr>
              <w:keepNext/>
              <w:spacing w:after="0"/>
            </w:pPr>
            <w:r>
              <w:rPr>
                <w:rFonts w:ascii="Segoe UI" w:hAnsi="Segoe UI" w:eastAsia="Segoe UI"/>
                <w:b/>
                <w:i w:val="0"/>
                <w:color w:val="1C2533"/>
                <w:sz w:val="21"/>
              </w:rPr>
              <w:t>Example</w:t>
            </w:r>
          </w:p>
        </w:tc>
      </w:tr>
      <w:tr>
        <w:trPr>
          <w:cantSplit/>
        </w:trPr>
        <w:tc>
          <w:tcPr>
            <w:tcW w:type="dxa" w:w="309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Which night?</w:t>
            </w:r>
          </w:p>
        </w:tc>
        <w:tc>
          <w:tcPr>
            <w:tcW w:type="dxa" w:w="2808"/>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LoadRunId</w:t>
            </w:r>
          </w:p>
        </w:tc>
        <w:tc>
          <w:tcPr>
            <w:tcW w:type="dxa" w:w="403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the run you are already looking at</w:t>
            </w:r>
          </w:p>
        </w:tc>
      </w:tr>
      <w:tr>
        <w:trPr>
          <w:cantSplit/>
        </w:trPr>
        <w:tc>
          <w:tcPr>
            <w:tcW w:type="dxa" w:w="309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What kind of thing was noticed?</w:t>
            </w:r>
          </w:p>
        </w:tc>
        <w:tc>
          <w:tcPr>
            <w:tcW w:type="dxa" w:w="2808"/>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ObservationType</w:t>
            </w:r>
          </w:p>
        </w:tc>
        <w:tc>
          <w:tcPr>
            <w:tcW w:type="dxa" w:w="403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CurrentRecordAmbiguousInSource</w:t>
            </w:r>
          </w:p>
        </w:tc>
      </w:tr>
      <w:tr>
        <w:trPr>
          <w:cantSplit/>
        </w:trPr>
        <w:tc>
          <w:tcPr>
            <w:tcW w:type="dxa" w:w="309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How hard should I look?</w:t>
            </w:r>
          </w:p>
        </w:tc>
        <w:tc>
          <w:tcPr>
            <w:tcW w:type="dxa" w:w="2808"/>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Severity</w:t>
            </w:r>
          </w:p>
        </w:tc>
        <w:tc>
          <w:tcPr>
            <w:tcW w:type="dxa" w:w="403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Info, Warning, or Error</w:t>
            </w:r>
          </w:p>
        </w:tc>
      </w:tr>
      <w:tr>
        <w:trPr>
          <w:cantSplit/>
        </w:trPr>
        <w:tc>
          <w:tcPr>
            <w:tcW w:type="dxa" w:w="309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Which handler?</w:t>
            </w:r>
          </w:p>
        </w:tc>
        <w:tc>
          <w:tcPr>
            <w:tcW w:type="dxa" w:w="2808"/>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HandlerId</w:t>
            </w:r>
          </w:p>
        </w:tc>
        <w:tc>
          <w:tcPr>
            <w:tcW w:type="dxa" w:w="403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MDD000000000 — blank if it is not about one handler</w:t>
            </w:r>
          </w:p>
        </w:tc>
      </w:tr>
      <w:tr>
        <w:trPr>
          <w:cantSplit/>
        </w:trPr>
        <w:tc>
          <w:tcPr>
            <w:tcW w:type="dxa" w:w="309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What exactly surprised us?</w:t>
            </w:r>
          </w:p>
        </w:tc>
        <w:tc>
          <w:tcPr>
            <w:tcW w:type="dxa" w:w="2808"/>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ObservedValue</w:t>
            </w:r>
          </w:p>
        </w:tc>
        <w:tc>
          <w:tcPr>
            <w:tcW w:type="dxa" w:w="403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the value or count, kept short</w:t>
            </w:r>
          </w:p>
        </w:tc>
      </w:tr>
      <w:tr>
        <w:trPr>
          <w:cantSplit/>
        </w:trPr>
        <w:tc>
          <w:tcPr>
            <w:tcW w:type="dxa" w:w="3096"/>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i w:val="0"/>
                <w:color w:val="1C2533"/>
                <w:sz w:val="21"/>
              </w:rPr>
              <w:t>What am I supposed to make of it?</w:t>
            </w:r>
          </w:p>
        </w:tc>
        <w:tc>
          <w:tcPr>
            <w:tcW w:type="dxa" w:w="2808"/>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val="0"/>
                <w:i w:val="0"/>
                <w:color w:val="1C2533"/>
                <w:sz w:val="21"/>
              </w:rPr>
              <w:t>Detail</w:t>
            </w:r>
          </w:p>
        </w:tc>
        <w:tc>
          <w:tcPr>
            <w:tcW w:type="dxa" w:w="4032"/>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val="0"/>
                <w:i w:val="0"/>
                <w:color w:val="1C2533"/>
                <w:sz w:val="21"/>
              </w:rPr>
              <w:t>several sentences of plain English, written when the note was made</w:t>
            </w:r>
          </w:p>
        </w:tc>
      </w:tr>
    </w:tbl>
    <w:p>
      <w:pPr>
        <w:spacing w:before="0" w:after="160"/>
      </w:pPr>
      <w:r>
        <w:rPr>
          <w:rFonts w:ascii="Segoe UI" w:hAnsi="Segoe UI" w:eastAsia="Segoe UI"/>
          <w:b w:val="0"/>
          <w:i w:val="0"/>
          <w:color w:val="1C2533"/>
          <w:sz w:val="2"/>
        </w:rPr>
      </w:r>
    </w:p>
    <w:tbl>
      <w:tblPr>
        <w:tblW w:type="auto" w:w="0"/>
        <w:jc w:val="left"/>
        <w:tblLayout w:type="fixed"/>
        <w:tblLook w:firstColumn="1" w:firstRow="1" w:lastColumn="0" w:lastRow="0" w:noHBand="0" w:noVBand="1" w:val="04A0"/>
        <w:tblInd w:w="1728" w:type="dxa"/>
      </w:tblPr>
      <w:tblGrid>
        <w:gridCol w:w="9936"/>
      </w:tblGrid>
      <w:tr>
        <w:trPr>
          <w:cantSplit/>
        </w:trPr>
        <w:tc>
          <w:tcPr>
            <w:tcW w:type="dxa" w:w="9936"/>
            <w:shd w:val="clear" w:color="auto" w:fill="E5F3EB"/>
            <w:tcBorders>
              <w:top w:val="single" w:sz="6" w:space="0" w:color="1A6A42"/>
              <w:left w:val="single" w:sz="36" w:space="0" w:color="1A6A42"/>
              <w:bottom w:val="single" w:sz="6" w:space="0" w:color="1A6A42"/>
              <w:right w:val="single" w:sz="6" w:space="0" w:color="1A6A42"/>
            </w:tcBorders>
            <w:tcMar>
              <w:top w:w="140" w:type="dxa"/>
              <w:start w:w="200" w:type="dxa"/>
              <w:bottom w:w="140" w:type="dxa"/>
              <w:end w:w="200" w:type="dxa"/>
            </w:tcMar>
          </w:tcPr>
          <w:p>
            <w:pPr>
              <w:spacing w:after="80"/>
            </w:pPr>
            <w:r>
              <w:rPr>
                <w:rFonts w:ascii="Segoe UI" w:hAnsi="Segoe UI" w:eastAsia="Segoe UI"/>
                <w:b/>
                <w:i w:val="0"/>
                <w:color w:val="1A6A42"/>
                <w:sz w:val="24"/>
              </w:rPr>
              <w:t>Detail is the part worth reading.</w:t>
            </w:r>
          </w:p>
          <w:p>
            <w:pPr>
              <w:spacing w:after="80"/>
            </w:pPr>
            <w:r>
              <w:rPr>
                <w:rFonts w:ascii="Segoe UI" w:hAnsi="Segoe UI" w:eastAsia="Segoe UI"/>
                <w:b w:val="0"/>
                <w:i w:val="0"/>
                <w:color w:val="1C2533"/>
                <w:sz w:val="22"/>
              </w:rPr>
              <w:t>It is not a code and not a stack trace. It is a short piece of writing that says what was noticed, why the load decided to continue, what it did about it, and what would usually fix it.</w:t>
            </w:r>
          </w:p>
          <w:p>
            <w:pPr>
              <w:spacing w:after="80"/>
            </w:pPr>
            <w:r>
              <w:rPr>
                <w:rFonts w:ascii="Segoe UI" w:hAnsi="Segoe UI" w:eastAsia="Segoe UI"/>
                <w:b w:val="0"/>
                <w:i w:val="0"/>
                <w:color w:val="1C2533"/>
                <w:sz w:val="22"/>
              </w:rPr>
              <w:t>It was composed at the moment the note was written, by the part of the load that noticed — so it knows things that cannot be worked out afterwards.</w:t>
            </w:r>
          </w:p>
          <w:p>
            <w:pPr>
              <w:spacing w:after="0"/>
            </w:pPr>
            <w:r>
              <w:rPr>
                <w:rFonts w:ascii="Segoe UI" w:hAnsi="Segoe UI" w:eastAsia="Segoe UI"/>
                <w:b w:val="0"/>
                <w:i w:val="0"/>
                <w:color w:val="1C2533"/>
                <w:sz w:val="22"/>
              </w:rPr>
              <w:t>A few notes also name the table, column or code list involved. Those are for a developer, and are safe to skip.</w:t>
            </w:r>
          </w:p>
        </w:tc>
      </w:tr>
    </w:tbl>
    <w:p>
      <w:pPr>
        <w:keepNext/>
        <w:spacing w:before="0" w:after="200"/>
      </w:pPr>
      <w:r>
        <w:br w:type="page"/>
      </w:r>
      <w:r>
        <w:rPr>
          <w:rFonts w:ascii="Segoe UI" w:hAnsi="Segoe UI" w:eastAsia="Segoe UI"/>
          <w:b/>
          <w:i w:val="0"/>
          <w:color w:val="96A1B2"/>
          <w:sz w:val="40"/>
        </w:rPr>
        <w:t xml:space="preserve">5   </w:t>
      </w:r>
      <w:r>
        <w:rPr>
          <w:rFonts w:ascii="Segoe UI" w:hAnsi="Segoe UI" w:eastAsia="Segoe UI"/>
          <w:b/>
          <w:i w:val="0"/>
          <w:color w:val="1F4E79"/>
          <w:sz w:val="40"/>
        </w:rPr>
        <w:t>The eight things the load notices today</w:t>
      </w:r>
    </w:p>
    <w:p>
      <w:pPr>
        <w:spacing w:after="160" w:before="0"/>
        <w:ind w:left="1728" w:right="1872"/>
      </w:pPr>
      <w:r>
        <w:rPr>
          <w:rFonts w:ascii="Segoe UI" w:hAnsi="Segoe UI" w:eastAsia="Segoe UI"/>
          <w:b w:val="0"/>
          <w:i w:val="0"/>
          <w:color w:val="1C2533"/>
          <w:sz w:val="22"/>
        </w:rPr>
        <w:t>The complete list as the load stands today. The names are the exact text on screen; the plain meaning is beside them.</w:t>
      </w:r>
    </w:p>
    <w:tbl>
      <w:tblPr>
        <w:tblW w:type="auto" w:w="0"/>
        <w:jc w:val="left"/>
        <w:tblLayout w:type="fixed"/>
        <w:tblLook w:firstColumn="1" w:firstRow="1" w:lastColumn="0" w:lastRow="0" w:noHBand="0" w:noVBand="1" w:val="04A0"/>
        <w:tblInd w:w="1728" w:type="dxa"/>
      </w:tblPr>
      <w:tblGrid>
        <w:gridCol w:w="9936"/>
      </w:tblGrid>
      <w:tr>
        <w:trPr>
          <w:cantSplit/>
        </w:trPr>
        <w:tc>
          <w:tcPr>
            <w:tcW w:type="dxa" w:w="9936"/>
            <w:shd w:val="clear" w:color="auto" w:fill="FDF3E0"/>
            <w:tcBorders>
              <w:top w:val="single" w:sz="6" w:space="0" w:color="A96304"/>
              <w:left w:val="single" w:sz="36" w:space="0" w:color="A96304"/>
              <w:bottom w:val="single" w:sz="6" w:space="0" w:color="A96304"/>
              <w:right w:val="single" w:sz="6" w:space="0" w:color="A96304"/>
            </w:tcBorders>
            <w:tcMar>
              <w:top w:w="140" w:type="dxa"/>
              <w:start w:w="200" w:type="dxa"/>
              <w:bottom w:w="140" w:type="dxa"/>
              <w:end w:w="200" w:type="dxa"/>
            </w:tcMar>
          </w:tcPr>
          <w:p>
            <w:pPr>
              <w:spacing w:after="80"/>
            </w:pPr>
            <w:r>
              <w:rPr>
                <w:rFonts w:ascii="Segoe UI" w:hAnsi="Segoe UI" w:eastAsia="Segoe UI"/>
                <w:b/>
                <w:i w:val="0"/>
                <w:color w:val="A96304"/>
                <w:sz w:val="24"/>
              </w:rPr>
              <w:t>A name you have not seen before is possible.</w:t>
            </w:r>
          </w:p>
          <w:p>
            <w:pPr>
              <w:spacing w:after="0"/>
            </w:pPr>
            <w:r>
              <w:rPr>
                <w:rFonts w:ascii="Segoe UI" w:hAnsi="Segoe UI" w:eastAsia="Segoe UI"/>
                <w:b w:val="0"/>
                <w:i w:val="0"/>
                <w:color w:val="1C2533"/>
                <w:sz w:val="22"/>
              </w:rPr>
              <w:t>The list of names is not fixed in the database, deliberately: the load can add a new kind of note without a database change. So an unfamiliar name is not a fault — read its Detail, and tell the project team.</w:t>
            </w:r>
          </w:p>
        </w:tc>
      </w:tr>
    </w:tbl>
    <w:p>
      <w:pPr>
        <w:spacing w:before="0" w:after="120"/>
      </w:pPr>
      <w:r>
        <w:rPr>
          <w:rFonts w:ascii="Segoe UI" w:hAnsi="Segoe UI" w:eastAsia="Segoe UI"/>
          <w:b w:val="0"/>
          <w:i w:val="0"/>
          <w:color w:val="1C2533"/>
          <w:sz w:val="2"/>
        </w:rPr>
      </w:r>
    </w:p>
    <w:tbl>
      <w:tblPr>
        <w:tblW w:type="auto" w:w="0"/>
        <w:jc w:val="left"/>
        <w:tblLayout w:type="fixed"/>
        <w:tblLook w:firstColumn="1" w:firstRow="1" w:lastColumn="0" w:lastRow="0" w:noHBand="0" w:noVBand="1" w:val="04A0"/>
        <w:tblInd w:w="1728" w:type="dxa"/>
      </w:tblPr>
      <w:tblGrid>
        <w:gridCol w:w="3312"/>
        <w:gridCol w:w="1224"/>
        <w:gridCol w:w="2736"/>
        <w:gridCol w:w="2664"/>
      </w:tblGrid>
      <w:tr>
        <w:trPr>
          <w:cantSplit/>
        </w:trPr>
        <w:tc>
          <w:tcPr>
            <w:tcW w:type="dxa" w:w="3312"/>
            <w:shd w:val="clear" w:color="auto" w:fill="F4F6F9"/>
            <w:tcBorders>
              <w:top w:val="single" w:sz="8" w:space="0" w:color="96A1B2"/>
              <w:left w:val="nil"/>
              <w:bottom w:val="single" w:sz="12" w:space="0" w:color="96A1B2"/>
              <w:right w:val="nil"/>
            </w:tcBorders>
            <w:tcMar>
              <w:top w:w="70" w:type="dxa"/>
              <w:start w:w="180" w:type="dxa"/>
              <w:bottom w:w="70" w:type="dxa"/>
              <w:end w:w="180" w:type="dxa"/>
            </w:tcMar>
          </w:tcPr>
          <w:p>
            <w:pPr>
              <w:keepNext/>
              <w:spacing w:after="0"/>
            </w:pPr>
            <w:r>
              <w:rPr>
                <w:rFonts w:ascii="Segoe UI" w:hAnsi="Segoe UI" w:eastAsia="Segoe UI"/>
                <w:b/>
                <w:i w:val="0"/>
                <w:color w:val="1C2533"/>
                <w:sz w:val="17"/>
              </w:rPr>
              <w:t>Name you will see</w:t>
            </w:r>
          </w:p>
        </w:tc>
        <w:tc>
          <w:tcPr>
            <w:tcW w:type="dxa" w:w="1224"/>
            <w:shd w:val="clear" w:color="auto" w:fill="F4F6F9"/>
            <w:tcBorders>
              <w:top w:val="single" w:sz="8" w:space="0" w:color="96A1B2"/>
              <w:left w:val="nil"/>
              <w:bottom w:val="single" w:sz="12" w:space="0" w:color="96A1B2"/>
              <w:right w:val="nil"/>
            </w:tcBorders>
            <w:tcMar>
              <w:top w:w="70" w:type="dxa"/>
              <w:start w:w="180" w:type="dxa"/>
              <w:bottom w:w="70" w:type="dxa"/>
              <w:end w:w="180" w:type="dxa"/>
            </w:tcMar>
          </w:tcPr>
          <w:p>
            <w:pPr>
              <w:keepNext/>
              <w:spacing w:after="0"/>
            </w:pPr>
            <w:r>
              <w:rPr>
                <w:rFonts w:ascii="Segoe UI" w:hAnsi="Segoe UI" w:eastAsia="Segoe UI"/>
                <w:b/>
                <w:i w:val="0"/>
                <w:color w:val="1C2533"/>
                <w:sz w:val="17"/>
              </w:rPr>
              <w:t>Severity</w:t>
            </w:r>
          </w:p>
        </w:tc>
        <w:tc>
          <w:tcPr>
            <w:tcW w:type="dxa" w:w="2736"/>
            <w:shd w:val="clear" w:color="auto" w:fill="F4F6F9"/>
            <w:tcBorders>
              <w:top w:val="single" w:sz="8" w:space="0" w:color="96A1B2"/>
              <w:left w:val="nil"/>
              <w:bottom w:val="single" w:sz="12" w:space="0" w:color="96A1B2"/>
              <w:right w:val="nil"/>
            </w:tcBorders>
            <w:tcMar>
              <w:top w:w="70" w:type="dxa"/>
              <w:start w:w="180" w:type="dxa"/>
              <w:bottom w:w="70" w:type="dxa"/>
              <w:end w:w="180" w:type="dxa"/>
            </w:tcMar>
          </w:tcPr>
          <w:p>
            <w:pPr>
              <w:keepNext/>
              <w:spacing w:after="0"/>
            </w:pPr>
            <w:r>
              <w:rPr>
                <w:rFonts w:ascii="Segoe UI" w:hAnsi="Segoe UI" w:eastAsia="Segoe UI"/>
                <w:b/>
                <w:i w:val="0"/>
                <w:color w:val="1C2533"/>
                <w:sz w:val="17"/>
              </w:rPr>
              <w:t>What it means</w:t>
            </w:r>
          </w:p>
        </w:tc>
        <w:tc>
          <w:tcPr>
            <w:tcW w:type="dxa" w:w="2664"/>
            <w:shd w:val="clear" w:color="auto" w:fill="F4F6F9"/>
            <w:tcBorders>
              <w:top w:val="single" w:sz="8" w:space="0" w:color="96A1B2"/>
              <w:left w:val="nil"/>
              <w:bottom w:val="single" w:sz="12" w:space="0" w:color="96A1B2"/>
              <w:right w:val="nil"/>
            </w:tcBorders>
            <w:tcMar>
              <w:top w:w="70" w:type="dxa"/>
              <w:start w:w="180" w:type="dxa"/>
              <w:bottom w:w="70" w:type="dxa"/>
              <w:end w:w="180" w:type="dxa"/>
            </w:tcMar>
          </w:tcPr>
          <w:p>
            <w:pPr>
              <w:keepNext/>
              <w:spacing w:after="0"/>
            </w:pPr>
            <w:r>
              <w:rPr>
                <w:rFonts w:ascii="Segoe UI" w:hAnsi="Segoe UI" w:eastAsia="Segoe UI"/>
                <w:b/>
                <w:i w:val="0"/>
                <w:color w:val="1C2533"/>
                <w:sz w:val="17"/>
              </w:rPr>
              <w:t>What to do</w:t>
            </w:r>
          </w:p>
        </w:tc>
      </w:tr>
      <w:tr>
        <w:trPr>
          <w:cantSplit/>
        </w:trPr>
        <w:tc>
          <w:tcPr>
            <w:tcW w:type="dxa" w:w="331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7"/>
              </w:rPr>
              <w:t>CollectionAbsentButStored</w:t>
            </w:r>
          </w:p>
        </w:tc>
        <w:tc>
          <w:tcPr>
            <w:tcW w:type="dxa" w:w="122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7"/>
              </w:rPr>
              <w:t>Warning</w:t>
            </w:r>
          </w:p>
        </w:tc>
        <w:tc>
          <w:tcPr>
            <w:tcW w:type="dxa" w:w="27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7"/>
              </w:rPr>
              <w:t>EPA sent no value at all for a whole group of details.</w:t>
            </w:r>
          </w:p>
        </w:tc>
        <w:tc>
          <w:tcPr>
            <w:tcW w:type="dxa" w:w="266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7"/>
              </w:rPr>
              <w:t>Nothing. Many at once may mean EPA renamed something.</w:t>
            </w:r>
          </w:p>
        </w:tc>
      </w:tr>
      <w:tr>
        <w:trPr>
          <w:cantSplit/>
        </w:trPr>
        <w:tc>
          <w:tcPr>
            <w:tcW w:type="dxa" w:w="331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7"/>
              </w:rPr>
              <w:t>CurrentRecordAmbiguousInSource</w:t>
            </w:r>
          </w:p>
        </w:tc>
        <w:tc>
          <w:tcPr>
            <w:tcW w:type="dxa" w:w="122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7"/>
              </w:rPr>
              <w:t>Error</w:t>
            </w:r>
          </w:p>
        </w:tc>
        <w:tc>
          <w:tcPr>
            <w:tcW w:type="dxa" w:w="27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7"/>
              </w:rPr>
              <w:t>EPA's own list named two versions of a handler as current.</w:t>
            </w:r>
          </w:p>
        </w:tc>
        <w:tc>
          <w:tcPr>
            <w:tcW w:type="dxa" w:w="266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7"/>
              </w:rPr>
              <w:t>Section 6. The load picked one, and said which.</w:t>
            </w:r>
          </w:p>
        </w:tc>
      </w:tr>
      <w:tr>
        <w:trPr>
          <w:cantSplit/>
        </w:trPr>
        <w:tc>
          <w:tcPr>
            <w:tcW w:type="dxa" w:w="331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7"/>
              </w:rPr>
              <w:t>VersionNotInSourceSummary</w:t>
            </w:r>
          </w:p>
        </w:tc>
        <w:tc>
          <w:tcPr>
            <w:tcW w:type="dxa" w:w="122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7"/>
              </w:rPr>
              <w:t>Warning</w:t>
            </w:r>
          </w:p>
        </w:tc>
        <w:tc>
          <w:tcPr>
            <w:tcW w:type="dxa" w:w="27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7"/>
              </w:rPr>
              <w:t>A version we hold as current is no longer in EPA's list.</w:t>
            </w:r>
          </w:p>
        </w:tc>
        <w:tc>
          <w:tcPr>
            <w:tcW w:type="dxa" w:w="266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7"/>
              </w:rPr>
              <w:t>Nothing, unless many handlers at once.</w:t>
            </w:r>
          </w:p>
        </w:tc>
      </w:tr>
      <w:tr>
        <w:trPr>
          <w:cantSplit/>
        </w:trPr>
        <w:tc>
          <w:tcPr>
            <w:tcW w:type="dxa" w:w="331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7"/>
              </w:rPr>
              <w:t>CurrentRecordAmbiguousInMirror</w:t>
            </w:r>
          </w:p>
        </w:tc>
        <w:tc>
          <w:tcPr>
            <w:tcW w:type="dxa" w:w="122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7"/>
              </w:rPr>
              <w:t>Error</w:t>
            </w:r>
          </w:p>
        </w:tc>
        <w:tc>
          <w:tcPr>
            <w:tcW w:type="dxa" w:w="27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7"/>
              </w:rPr>
              <w:t>After tidying, a handler still has two current versions.</w:t>
            </w:r>
          </w:p>
        </w:tc>
        <w:tc>
          <w:tcPr>
            <w:tcW w:type="dxa" w:w="266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7"/>
              </w:rPr>
              <w:t>Section 6. This one always needs a person.</w:t>
            </w:r>
          </w:p>
        </w:tc>
      </w:tr>
      <w:tr>
        <w:trPr>
          <w:cantSplit/>
        </w:trPr>
        <w:tc>
          <w:tcPr>
            <w:tcW w:type="dxa" w:w="331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7"/>
              </w:rPr>
              <w:t>CurrentRecordMissingInMirror</w:t>
            </w:r>
          </w:p>
        </w:tc>
        <w:tc>
          <w:tcPr>
            <w:tcW w:type="dxa" w:w="122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7"/>
              </w:rPr>
              <w:t>Warning</w:t>
            </w:r>
          </w:p>
        </w:tc>
        <w:tc>
          <w:tcPr>
            <w:tcW w:type="dxa" w:w="27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7"/>
              </w:rPr>
              <w:t>A handler we hold has no current version at all.</w:t>
            </w:r>
          </w:p>
        </w:tc>
        <w:tc>
          <w:tcPr>
            <w:tcW w:type="dxa" w:w="266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7"/>
              </w:rPr>
              <w:t>Nothing for one or two. Many is worth reporting.</w:t>
            </w:r>
          </w:p>
        </w:tc>
      </w:tr>
      <w:tr>
        <w:trPr>
          <w:cantSplit/>
        </w:trPr>
        <w:tc>
          <w:tcPr>
            <w:tcW w:type="dxa" w:w="331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7"/>
              </w:rPr>
              <w:t>LookupRefreshRetiredTooMany</w:t>
            </w:r>
          </w:p>
        </w:tc>
        <w:tc>
          <w:tcPr>
            <w:tcW w:type="dxa" w:w="122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7"/>
              </w:rPr>
              <w:t>Error</w:t>
            </w:r>
          </w:p>
        </w:tc>
        <w:tc>
          <w:tcPr>
            <w:tcW w:type="dxa" w:w="27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7"/>
              </w:rPr>
              <w:t>A code-list refresh would have retired most of the list.</w:t>
            </w:r>
          </w:p>
        </w:tc>
        <w:tc>
          <w:tcPr>
            <w:tcW w:type="dxa" w:w="266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7"/>
              </w:rPr>
              <w:t>Section 6. Nothing changed — it is a safety catch.</w:t>
            </w:r>
          </w:p>
        </w:tc>
      </w:tr>
      <w:tr>
        <w:trPr>
          <w:cantSplit/>
        </w:trPr>
        <w:tc>
          <w:tcPr>
            <w:tcW w:type="dxa" w:w="331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7"/>
              </w:rPr>
              <w:t>LookupCodesRetired</w:t>
            </w:r>
          </w:p>
        </w:tc>
        <w:tc>
          <w:tcPr>
            <w:tcW w:type="dxa" w:w="122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7"/>
              </w:rPr>
              <w:t>Info</w:t>
            </w:r>
          </w:p>
        </w:tc>
        <w:tc>
          <w:tcPr>
            <w:tcW w:type="dxa" w:w="27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7"/>
              </w:rPr>
              <w:t>EPA stopped publishing codes we hold; marked retired.</w:t>
            </w:r>
          </w:p>
        </w:tc>
        <w:tc>
          <w:tcPr>
            <w:tcW w:type="dxa" w:w="266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7"/>
              </w:rPr>
              <w:t>Nothing. A record that it happened.</w:t>
            </w:r>
          </w:p>
        </w:tc>
      </w:tr>
      <w:tr>
        <w:trPr>
          <w:cantSplit/>
        </w:trPr>
        <w:tc>
          <w:tcPr>
            <w:tcW w:type="dxa" w:w="3312"/>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i w:val="0"/>
                <w:color w:val="1C2533"/>
                <w:sz w:val="17"/>
              </w:rPr>
              <w:t>StatusRowsStrandedByClosedRun</w:t>
            </w:r>
          </w:p>
        </w:tc>
        <w:tc>
          <w:tcPr>
            <w:tcW w:type="dxa" w:w="1224"/>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val="0"/>
                <w:i w:val="0"/>
                <w:color w:val="1C2533"/>
                <w:sz w:val="17"/>
              </w:rPr>
              <w:t>Warning</w:t>
            </w:r>
          </w:p>
        </w:tc>
        <w:tc>
          <w:tcPr>
            <w:tcW w:type="dxa" w:w="2736"/>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val="0"/>
                <w:i w:val="0"/>
                <w:color w:val="1C2533"/>
                <w:sz w:val="17"/>
              </w:rPr>
              <w:t>A run reported success leaving some handlers unfinished.</w:t>
            </w:r>
          </w:p>
        </w:tc>
        <w:tc>
          <w:tcPr>
            <w:tcW w:type="dxa" w:w="2664"/>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val="0"/>
                <w:i w:val="0"/>
                <w:color w:val="1C2533"/>
                <w:sz w:val="17"/>
              </w:rPr>
              <w:t>Nothing now; the next run re-fetches them.</w:t>
            </w:r>
          </w:p>
        </w:tc>
      </w:tr>
    </w:tbl>
    <w:p>
      <w:pPr>
        <w:keepNext/>
        <w:spacing w:before="0" w:after="200"/>
      </w:pPr>
      <w:r>
        <w:br w:type="page"/>
      </w:r>
      <w:r>
        <w:rPr>
          <w:rFonts w:ascii="Segoe UI" w:hAnsi="Segoe UI" w:eastAsia="Segoe UI"/>
          <w:b/>
          <w:i w:val="0"/>
          <w:color w:val="96A1B2"/>
          <w:sz w:val="40"/>
        </w:rPr>
        <w:t xml:space="preserve">6   </w:t>
      </w:r>
      <w:r>
        <w:rPr>
          <w:rFonts w:ascii="Segoe UI" w:hAnsi="Segoe UI" w:eastAsia="Segoe UI"/>
          <w:b/>
          <w:i w:val="0"/>
          <w:color w:val="1F4E79"/>
          <w:sz w:val="40"/>
        </w:rPr>
        <w:t>The three that actually ask something of you</w:t>
      </w:r>
    </w:p>
    <w:p>
      <w:pPr>
        <w:spacing w:after="160" w:before="0"/>
        <w:ind w:left="1728" w:right="1872"/>
      </w:pPr>
      <w:r>
        <w:rPr>
          <w:rFonts w:ascii="Segoe UI" w:hAnsi="Segoe UI" w:eastAsia="Segoe UI"/>
          <w:b w:val="0"/>
          <w:i w:val="0"/>
          <w:color w:val="1C2533"/>
          <w:sz w:val="22"/>
        </w:rPr>
        <w:t>Five of the eight kinds are for the record. Three are worth acting on, and all three have a known first move.</w:t>
      </w:r>
    </w:p>
    <w:p>
      <w:pPr>
        <w:keepNext/>
        <w:spacing w:before="240" w:after="120"/>
        <w:ind w:left="1728"/>
      </w:pPr>
      <w:r>
        <w:rPr>
          <w:rFonts w:ascii="Segoe UI" w:hAnsi="Segoe UI" w:eastAsia="Segoe UI"/>
          <w:b/>
          <w:i w:val="0"/>
          <w:color w:val="A32820"/>
          <w:sz w:val="26"/>
        </w:rPr>
        <w:t>EPA named two current versions of the same handler</w:t>
      </w:r>
    </w:p>
    <w:p>
      <w:pPr>
        <w:keepNext/>
        <w:spacing w:after="160" w:before="0"/>
        <w:ind w:left="1728" w:right="1872"/>
      </w:pPr>
      <w:r>
        <w:rPr>
          <w:rFonts w:ascii="Segoe UI" w:hAnsi="Segoe UI" w:eastAsia="Segoe UI"/>
          <w:b w:val="0"/>
          <w:i w:val="0"/>
          <w:color w:val="1C2533"/>
          <w:sz w:val="22"/>
        </w:rPr>
        <w:t>Name on screen: CurrentRecordAmbiguousInSource   ·   Severity: Error</w:t>
      </w:r>
    </w:p>
    <w:p>
      <w:pPr>
        <w:keepNext/>
        <w:spacing w:after="160" w:before="0"/>
        <w:ind w:left="1728" w:right="1872"/>
      </w:pPr>
      <w:r>
        <w:rPr>
          <w:rFonts w:ascii="Segoe UI" w:hAnsi="Segoe UI" w:eastAsia="Segoe UI"/>
          <w:b w:val="0"/>
          <w:i w:val="0"/>
          <w:color w:val="1C2533"/>
          <w:sz w:val="22"/>
        </w:rPr>
        <w:t>At most one version of a handler can be the current one, and EPA's list named several. The load did not stop: it chose the version EPA received most recently, and the note says which one it chose and which ones competed. Our copy is therefore usable right now.</w:t>
      </w:r>
    </w:p>
    <w:p>
      <w:pPr>
        <w:spacing w:after="160" w:before="0"/>
        <w:ind w:left="1728" w:right="1872"/>
      </w:pPr>
      <w:r>
        <w:rPr>
          <w:rFonts w:ascii="Segoe UI" w:hAnsi="Segoe UI" w:eastAsia="Segoe UI"/>
          <w:b/>
          <w:i w:val="0"/>
          <w:color w:val="1C2533"/>
          <w:sz w:val="22"/>
        </w:rPr>
        <w:t xml:space="preserve">What to do:  </w:t>
      </w:r>
      <w:r>
        <w:rPr>
          <w:rFonts w:ascii="Segoe UI" w:hAnsi="Segoe UI" w:eastAsia="Segoe UI"/>
          <w:b w:val="0"/>
          <w:i w:val="0"/>
          <w:color w:val="58657A"/>
          <w:sz w:val="22"/>
        </w:rPr>
        <w:t>ask for that one handler to be fetched and reconciled again. The contradiction is in EPA's data, so it usually clears on the next fetch. If it survives a re-fetch, it is a question for EPA.</w:t>
      </w:r>
    </w:p>
    <w:p>
      <w:pPr>
        <w:keepNext/>
        <w:spacing w:before="240" w:after="120"/>
        <w:ind w:left="1728"/>
      </w:pPr>
      <w:r>
        <w:rPr>
          <w:rFonts w:ascii="Segoe UI" w:hAnsi="Segoe UI" w:eastAsia="Segoe UI"/>
          <w:b/>
          <w:i w:val="0"/>
          <w:color w:val="A32820"/>
          <w:sz w:val="26"/>
        </w:rPr>
        <w:t>Our copy still has two current versions after tidying</w:t>
      </w:r>
    </w:p>
    <w:p>
      <w:pPr>
        <w:keepNext/>
        <w:spacing w:after="160" w:before="0"/>
        <w:ind w:left="1728" w:right="1872"/>
      </w:pPr>
      <w:r>
        <w:rPr>
          <w:rFonts w:ascii="Segoe UI" w:hAnsi="Segoe UI" w:eastAsia="Segoe UI"/>
          <w:b w:val="0"/>
          <w:i w:val="0"/>
          <w:color w:val="1C2533"/>
          <w:sz w:val="22"/>
        </w:rPr>
        <w:t>Name on screen: CurrentRecordAmbiguousInMirror   ·   Severity: Error</w:t>
      </w:r>
    </w:p>
    <w:p>
      <w:pPr>
        <w:keepNext/>
        <w:spacing w:after="160" w:before="0"/>
        <w:ind w:left="1728" w:right="1872"/>
      </w:pPr>
      <w:r>
        <w:rPr>
          <w:rFonts w:ascii="Segoe UI" w:hAnsi="Segoe UI" w:eastAsia="Segoe UI"/>
          <w:b w:val="0"/>
          <w:i w:val="0"/>
          <w:color w:val="1C2533"/>
          <w:sz w:val="22"/>
        </w:rPr>
        <w:t>This is the rarest note and the only one that always needs a person. The load's own tidying step cannot produce this outcome, so something else did — most likely two parts of the load working on the same handler at the same time. While it lasts, that handler appears twice on screens that should show it once.</w:t>
      </w:r>
    </w:p>
    <w:p>
      <w:pPr>
        <w:spacing w:after="160" w:before="0"/>
        <w:ind w:left="1728" w:right="1872"/>
      </w:pPr>
      <w:r>
        <w:rPr>
          <w:rFonts w:ascii="Segoe UI" w:hAnsi="Segoe UI" w:eastAsia="Segoe UI"/>
          <w:b/>
          <w:i w:val="0"/>
          <w:color w:val="1C2533"/>
          <w:sz w:val="22"/>
        </w:rPr>
        <w:t xml:space="preserve">What to do:  </w:t>
      </w:r>
      <w:r>
        <w:rPr>
          <w:rFonts w:ascii="Segoe UI" w:hAnsi="Segoe UI" w:eastAsia="Segoe UI"/>
          <w:b w:val="0"/>
          <w:i w:val="0"/>
          <w:color w:val="58657A"/>
          <w:sz w:val="22"/>
        </w:rPr>
        <w:t>report it. Note the handler, and say that it is CurrentRecordAmbiguousInMirror rather than the other ambiguous one — the two look alike and need different investigation.</w:t>
      </w:r>
    </w:p>
    <w:p>
      <w:pPr>
        <w:keepNext/>
        <w:spacing w:before="240" w:after="120"/>
        <w:ind w:left="1728"/>
      </w:pPr>
      <w:r>
        <w:rPr>
          <w:rFonts w:ascii="Segoe UI" w:hAnsi="Segoe UI" w:eastAsia="Segoe UI"/>
          <w:b/>
          <w:i w:val="0"/>
          <w:color w:val="A32820"/>
          <w:sz w:val="26"/>
        </w:rPr>
        <w:t>A code-list refresh was refused for taking too much away</w:t>
      </w:r>
    </w:p>
    <w:p>
      <w:pPr>
        <w:keepNext/>
        <w:spacing w:after="160" w:before="0"/>
        <w:ind w:left="1728" w:right="1872"/>
      </w:pPr>
      <w:r>
        <w:rPr>
          <w:rFonts w:ascii="Segoe UI" w:hAnsi="Segoe UI" w:eastAsia="Segoe UI"/>
          <w:b w:val="0"/>
          <w:i w:val="0"/>
          <w:color w:val="1C2533"/>
          <w:sz w:val="22"/>
        </w:rPr>
        <w:t>Name on screen: LookupRefreshRetiredTooMany   ·   Severity: Error</w:t>
      </w:r>
    </w:p>
    <w:p>
      <w:pPr>
        <w:keepNext/>
        <w:spacing w:after="160" w:before="0"/>
        <w:ind w:left="1728" w:right="1872"/>
      </w:pPr>
      <w:r>
        <w:rPr>
          <w:rFonts w:ascii="Segoe UI" w:hAnsi="Segoe UI" w:eastAsia="Segoe UI"/>
          <w:b w:val="0"/>
          <w:i w:val="0"/>
          <w:color w:val="1C2533"/>
          <w:sz w:val="22"/>
        </w:rPr>
        <w:t>EPA publishes about two dozen code lists that we mirror. If a refresh would retire most of a list at once, the load treats that as a truncated answer from EPA rather than a real change, refuses the refresh, and leaves the list exactly as it was. Nothing was lost and nothing was changed.</w:t>
      </w:r>
    </w:p>
    <w:p>
      <w:pPr>
        <w:spacing w:after="160" w:before="0"/>
        <w:ind w:left="1728" w:right="1872"/>
      </w:pPr>
      <w:r>
        <w:rPr>
          <w:rFonts w:ascii="Segoe UI" w:hAnsi="Segoe UI" w:eastAsia="Segoe UI"/>
          <w:b/>
          <w:i w:val="0"/>
          <w:color w:val="1C2533"/>
          <w:sz w:val="22"/>
        </w:rPr>
        <w:t xml:space="preserve">What to do:  </w:t>
      </w:r>
      <w:r>
        <w:rPr>
          <w:rFonts w:ascii="Segoe UI" w:hAnsi="Segoe UI" w:eastAsia="Segoe UI"/>
          <w:b w:val="0"/>
          <w:i w:val="0"/>
          <w:color w:val="58657A"/>
          <w:sz w:val="22"/>
        </w:rPr>
        <w:t>ask for that one list to be refreshed again later. A genuinely shrunken list needs a developer to allow it deliberately, which is the point of the catch.</w:t>
      </w:r>
    </w:p>
    <w:p>
      <w:pPr>
        <w:spacing w:before="0" w:after="80"/>
      </w:pPr>
      <w:r>
        <w:rPr>
          <w:rFonts w:ascii="Segoe UI" w:hAnsi="Segoe UI" w:eastAsia="Segoe UI"/>
          <w:b w:val="0"/>
          <w:i w:val="0"/>
          <w:color w:val="1C2533"/>
          <w:sz w:val="2"/>
        </w:rPr>
      </w:r>
    </w:p>
    <w:tbl>
      <w:tblPr>
        <w:tblW w:type="auto" w:w="0"/>
        <w:jc w:val="left"/>
        <w:tblLayout w:type="fixed"/>
        <w:tblLook w:firstColumn="1" w:firstRow="1" w:lastColumn="0" w:lastRow="0" w:noHBand="0" w:noVBand="1" w:val="04A0"/>
        <w:tblInd w:w="1728" w:type="dxa"/>
      </w:tblPr>
      <w:tblGrid>
        <w:gridCol w:w="9936"/>
      </w:tblGrid>
      <w:tr>
        <w:trPr>
          <w:cantSplit/>
        </w:trPr>
        <w:tc>
          <w:tcPr>
            <w:tcW w:type="dxa" w:w="9936"/>
            <w:shd w:val="clear" w:color="auto" w:fill="E9F0F8"/>
            <w:tcBorders>
              <w:top w:val="single" w:sz="6" w:space="0" w:color="1F4E79"/>
              <w:left w:val="single" w:sz="36" w:space="0" w:color="1F4E79"/>
              <w:bottom w:val="single" w:sz="6" w:space="0" w:color="1F4E79"/>
              <w:right w:val="single" w:sz="6" w:space="0" w:color="1F4E79"/>
            </w:tcBorders>
            <w:tcMar>
              <w:top w:w="140" w:type="dxa"/>
              <w:start w:w="200" w:type="dxa"/>
              <w:bottom w:w="140" w:type="dxa"/>
              <w:end w:w="200" w:type="dxa"/>
            </w:tcMar>
          </w:tcPr>
          <w:p>
            <w:pPr>
              <w:spacing w:after="80"/>
            </w:pPr>
            <w:r>
              <w:rPr>
                <w:rFonts w:ascii="Segoe UI" w:hAnsi="Segoe UI" w:eastAsia="Segoe UI"/>
                <w:b/>
                <w:i w:val="0"/>
                <w:color w:val="1F4E79"/>
                <w:sz w:val="24"/>
              </w:rPr>
              <w:t>And one more that is worth watching rather than acting on</w:t>
            </w:r>
          </w:p>
          <w:p>
            <w:pPr>
              <w:spacing w:after="80"/>
            </w:pPr>
            <w:r>
              <w:rPr>
                <w:rFonts w:ascii="Segoe UI" w:hAnsi="Segoe UI" w:eastAsia="Segoe UI"/>
                <w:b w:val="0"/>
                <w:i w:val="0"/>
                <w:color w:val="1C2533"/>
                <w:sz w:val="22"/>
              </w:rPr>
              <w:t>StatusRowsStrandedByClosedRun says a run claimed success while leaving some handlers unfinished. The unfinished ones were marked failed, so the next run collects them — nothing is lost.</w:t>
            </w:r>
          </w:p>
          <w:p>
            <w:pPr>
              <w:spacing w:after="0"/>
            </w:pPr>
            <w:r>
              <w:rPr>
                <w:rFonts w:ascii="Segoe UI" w:hAnsi="Segoe UI" w:eastAsia="Segoe UI"/>
                <w:b w:val="0"/>
                <w:i w:val="0"/>
                <w:color w:val="1C2533"/>
                <w:sz w:val="22"/>
              </w:rPr>
              <w:t>It is only a Warning because it repairs itself. But it means a run's report did not match what the run actually did, so if it appears on several nights in a row, that is worth raising.</w:t>
            </w:r>
          </w:p>
        </w:tc>
      </w:tr>
    </w:tbl>
    <w:p>
      <w:pPr>
        <w:keepNext/>
        <w:spacing w:before="0" w:after="200"/>
      </w:pPr>
      <w:r>
        <w:br w:type="page"/>
      </w:r>
      <w:r>
        <w:rPr>
          <w:rFonts w:ascii="Segoe UI" w:hAnsi="Segoe UI" w:eastAsia="Segoe UI"/>
          <w:b/>
          <w:i w:val="0"/>
          <w:color w:val="96A1B2"/>
          <w:sz w:val="40"/>
        </w:rPr>
        <w:t xml:space="preserve">7   </w:t>
      </w:r>
      <w:r>
        <w:rPr>
          <w:rFonts w:ascii="Segoe UI" w:hAnsi="Segoe UI" w:eastAsia="Segoe UI"/>
          <w:b/>
          <w:i w:val="0"/>
          <w:color w:val="1F4E79"/>
          <w:sz w:val="40"/>
        </w:rPr>
        <w:t>Where the notes come from, and who reads them</w:t>
      </w:r>
    </w:p>
    <w:p>
      <w:pPr>
        <w:spacing w:after="160" w:before="0"/>
        <w:ind w:left="1728" w:right="1872"/>
      </w:pPr>
      <w:r>
        <w:rPr>
          <w:rFonts w:ascii="Segoe UI" w:hAnsi="Segoe UI" w:eastAsia="Segoe UI"/>
          <w:b w:val="0"/>
          <w:i w:val="0"/>
          <w:color w:val="1C2533"/>
          <w:sz w:val="22"/>
        </w:rPr>
        <w:t>All of them land in one table, whichever part of the load wrote them. That is why one screen can show you everything a run noticed, without knowing which step noticed it.</w:t>
      </w:r>
    </w:p>
    <w:p>
      <w:pPr>
        <w:keepNext/>
        <w:spacing w:before="160" w:after="80"/>
        <w:jc w:val="center"/>
      </w:pPr>
      <w:r>
        <w:drawing>
          <wp:inline xmlns:a="http://schemas.openxmlformats.org/drawingml/2006/main" xmlns:pic="http://schemas.openxmlformats.org/drawingml/2006/picture">
            <wp:extent cx="5669280" cy="2722073"/>
            <wp:docPr id="2" name="Picture 2"/>
            <wp:cNvGraphicFramePr>
              <a:graphicFrameLocks noChangeAspect="1"/>
            </wp:cNvGraphicFramePr>
            <a:graphic>
              <a:graphicData uri="http://schemas.openxmlformats.org/drawingml/2006/picture">
                <pic:pic>
                  <pic:nvPicPr>
                    <pic:cNvPr id="0" name="02-writers-and-readers.png"/>
                    <pic:cNvPicPr/>
                  </pic:nvPicPr>
                  <pic:blipFill>
                    <a:blip r:embed="rId11"/>
                    <a:stretch>
                      <a:fillRect/>
                    </a:stretch>
                  </pic:blipFill>
                  <pic:spPr>
                    <a:xfrm>
                      <a:off x="0" y="0"/>
                      <a:ext cx="5669280" cy="2722073"/>
                    </a:xfrm>
                    <a:prstGeom prst="rect"/>
                  </pic:spPr>
                </pic:pic>
              </a:graphicData>
            </a:graphic>
          </wp:inline>
        </w:drawing>
      </w:r>
    </w:p>
    <w:p>
      <w:pPr>
        <w:spacing w:after="280"/>
        <w:jc w:val="center"/>
      </w:pPr>
      <w:r>
        <w:rPr>
          <w:rFonts w:ascii="Segoe UI" w:hAnsi="Segoe UI" w:eastAsia="Segoe UI"/>
          <w:b w:val="0"/>
          <w:i/>
          <w:color w:val="58657A"/>
          <w:sz w:val="19"/>
        </w:rPr>
        <w:t>Figure 2 — Several parts of the load write notes; they all go to one table; the monitoring website reads the counts from it.</w:t>
      </w:r>
    </w:p>
    <w:p>
      <w:pPr>
        <w:spacing w:after="160" w:before="0"/>
        <w:ind w:left="1728" w:right="1872"/>
      </w:pPr>
      <w:r>
        <w:rPr>
          <w:rFonts w:ascii="Segoe UI" w:hAnsi="Segoe UI" w:eastAsia="Segoe UI"/>
          <w:b w:val="0"/>
          <w:i w:val="0"/>
          <w:color w:val="1C2533"/>
          <w:sz w:val="22"/>
        </w:rPr>
        <w:t>Three groups of work write notes: storing the batch of records EPA sent, deciding which version of a handler is current, and the maintenance steps that refresh EPA's code lists and tidy up after a run. Between them they produce the eight kinds in Section 5.</w:t>
      </w:r>
    </w:p>
    <w:tbl>
      <w:tblPr>
        <w:tblW w:type="auto" w:w="0"/>
        <w:jc w:val="left"/>
        <w:tblLayout w:type="fixed"/>
        <w:tblLook w:firstColumn="1" w:firstRow="1" w:lastColumn="0" w:lastRow="0" w:noHBand="0" w:noVBand="1" w:val="04A0"/>
        <w:tblInd w:w="1728" w:type="dxa"/>
      </w:tblPr>
      <w:tblGrid>
        <w:gridCol w:w="9936"/>
      </w:tblGrid>
      <w:tr>
        <w:trPr>
          <w:cantSplit/>
        </w:trPr>
        <w:tc>
          <w:tcPr>
            <w:tcW w:type="dxa" w:w="9936"/>
            <w:shd w:val="clear" w:color="auto" w:fill="E5F3EB"/>
            <w:tcBorders>
              <w:top w:val="single" w:sz="6" w:space="0" w:color="1A6A42"/>
              <w:left w:val="single" w:sz="36" w:space="0" w:color="1A6A42"/>
              <w:bottom w:val="single" w:sz="6" w:space="0" w:color="1A6A42"/>
              <w:right w:val="single" w:sz="6" w:space="0" w:color="1A6A42"/>
            </w:tcBorders>
            <w:tcMar>
              <w:top w:w="140" w:type="dxa"/>
              <w:start w:w="200" w:type="dxa"/>
              <w:bottom w:w="140" w:type="dxa"/>
              <w:end w:w="200" w:type="dxa"/>
            </w:tcMar>
          </w:tcPr>
          <w:p>
            <w:pPr>
              <w:spacing w:after="80"/>
            </w:pPr>
            <w:r>
              <w:rPr>
                <w:rFonts w:ascii="Segoe UI" w:hAnsi="Segoe UI" w:eastAsia="Segoe UI"/>
                <w:b/>
                <w:i w:val="0"/>
                <w:color w:val="1A6A42"/>
                <w:sz w:val="24"/>
              </w:rPr>
              <w:t>Notes survive even when the work is undone.</w:t>
            </w:r>
          </w:p>
          <w:p>
            <w:pPr>
              <w:spacing w:after="80"/>
            </w:pPr>
            <w:r>
              <w:rPr>
                <w:rFonts w:ascii="Segoe UI" w:hAnsi="Segoe UI" w:eastAsia="Segoe UI"/>
                <w:b w:val="0"/>
                <w:i w:val="0"/>
                <w:color w:val="1C2533"/>
                <w:sz w:val="22"/>
              </w:rPr>
              <w:t>If a step has to abandon what it was doing, its notes are still kept — with an extra sentence added to say that the change never happened.</w:t>
            </w:r>
          </w:p>
          <w:p>
            <w:pPr>
              <w:spacing w:after="0"/>
            </w:pPr>
            <w:r>
              <w:rPr>
                <w:rFonts w:ascii="Segoe UI" w:hAnsi="Segoe UI" w:eastAsia="Segoe UI"/>
                <w:b w:val="0"/>
                <w:i w:val="0"/>
                <w:color w:val="1C2533"/>
                <w:sz w:val="22"/>
              </w:rPr>
              <w:t>That may look odd, and it is on purpose. A note about what the load was about to do is evidence, and throwing it away would leave nobody able to explain the night afterwards.</w:t>
            </w:r>
          </w:p>
        </w:tc>
      </w:tr>
    </w:tbl>
    <w:p>
      <w:pPr>
        <w:keepNext/>
        <w:spacing w:before="0" w:after="200"/>
      </w:pPr>
      <w:r>
        <w:br w:type="page"/>
      </w:r>
      <w:r>
        <w:rPr>
          <w:rFonts w:ascii="Segoe UI" w:hAnsi="Segoe UI" w:eastAsia="Segoe UI"/>
          <w:b/>
          <w:i w:val="0"/>
          <w:color w:val="96A1B2"/>
          <w:sz w:val="40"/>
        </w:rPr>
        <w:t xml:space="preserve">8   </w:t>
      </w:r>
      <w:r>
        <w:rPr>
          <w:rFonts w:ascii="Segoe UI" w:hAnsi="Segoe UI" w:eastAsia="Segoe UI"/>
          <w:b/>
          <w:i w:val="0"/>
          <w:color w:val="1F4E79"/>
          <w:sz w:val="40"/>
        </w:rPr>
        <w:t>How to read a run, step by step</w:t>
      </w:r>
    </w:p>
    <w:p>
      <w:pPr>
        <w:spacing w:after="160" w:before="0"/>
        <w:ind w:left="1728" w:right="1872"/>
      </w:pPr>
      <w:r>
        <w:rPr>
          <w:rFonts w:ascii="Segoe UI" w:hAnsi="Segoe UI" w:eastAsia="Segoe UI"/>
          <w:b w:val="0"/>
          <w:i w:val="0"/>
          <w:color w:val="1C2533"/>
          <w:sz w:val="22"/>
        </w:rPr>
        <w:t>This is the routine. On most nights it takes under a minute and ends at step 4.</w:t>
      </w:r>
    </w:p>
    <w:p>
      <w:pPr>
        <w:keepNext/>
        <w:spacing w:before="160" w:after="80"/>
        <w:jc w:val="center"/>
      </w:pPr>
      <w:r>
        <w:drawing>
          <wp:inline xmlns:a="http://schemas.openxmlformats.org/drawingml/2006/main" xmlns:pic="http://schemas.openxmlformats.org/drawingml/2006/picture">
            <wp:extent cx="5486400" cy="2010801"/>
            <wp:docPr id="3" name="Picture 3"/>
            <wp:cNvGraphicFramePr>
              <a:graphicFrameLocks noChangeAspect="1"/>
            </wp:cNvGraphicFramePr>
            <a:graphic>
              <a:graphicData uri="http://schemas.openxmlformats.org/drawingml/2006/picture">
                <pic:pic>
                  <pic:nvPicPr>
                    <pic:cNvPr id="0" name="03-triage.png"/>
                    <pic:cNvPicPr/>
                  </pic:nvPicPr>
                  <pic:blipFill>
                    <a:blip r:embed="rId12"/>
                    <a:stretch>
                      <a:fillRect/>
                    </a:stretch>
                  </pic:blipFill>
                  <pic:spPr>
                    <a:xfrm>
                      <a:off x="0" y="0"/>
                      <a:ext cx="5486400" cy="2010801"/>
                    </a:xfrm>
                    <a:prstGeom prst="rect"/>
                  </pic:spPr>
                </pic:pic>
              </a:graphicData>
            </a:graphic>
          </wp:inline>
        </w:drawing>
      </w:r>
    </w:p>
    <w:p>
      <w:pPr>
        <w:spacing w:after="280"/>
        <w:jc w:val="center"/>
      </w:pPr>
      <w:r>
        <w:rPr>
          <w:rFonts w:ascii="Segoe UI" w:hAnsi="Segoe UI" w:eastAsia="Segoe UI"/>
          <w:b w:val="0"/>
          <w:i/>
          <w:color w:val="58657A"/>
          <w:sz w:val="19"/>
        </w:rPr>
        <w:t>Figure 3 — Errors first, then Warnings, then Info. The lower row is only entered when something needs a person.</w:t>
      </w:r>
    </w:p>
    <w:p>
      <w:pPr>
        <w:spacing w:after="100"/>
        <w:ind w:left="2232" w:hanging="504"/>
      </w:pPr>
      <w:r>
        <w:rPr>
          <w:rFonts w:ascii="Segoe UI" w:hAnsi="Segoe UI" w:eastAsia="Segoe UI"/>
          <w:b/>
          <w:i w:val="0"/>
          <w:color w:val="A96304"/>
          <w:sz w:val="23"/>
        </w:rPr>
        <w:t xml:space="preserve">1.  </w:t>
      </w:r>
      <w:r>
        <w:rPr>
          <w:rFonts w:ascii="Segoe UI" w:hAnsi="Segoe UI" w:eastAsia="Segoe UI"/>
          <w:b/>
          <w:i w:val="0"/>
          <w:color w:val="1C2533"/>
          <w:sz w:val="23"/>
        </w:rPr>
        <w:t xml:space="preserve">Open the run on the monitoring website.  </w:t>
      </w:r>
      <w:r>
        <w:rPr>
          <w:rFonts w:ascii="Segoe UI" w:hAnsi="Segoe UI" w:eastAsia="Segoe UI"/>
          <w:b w:val="0"/>
          <w:i w:val="0"/>
          <w:color w:val="58657A"/>
          <w:sz w:val="23"/>
        </w:rPr>
        <w:t>One run is one night's work.</w:t>
      </w:r>
    </w:p>
    <w:p>
      <w:pPr>
        <w:spacing w:after="100"/>
        <w:ind w:left="2232" w:hanging="504"/>
      </w:pPr>
      <w:r>
        <w:rPr>
          <w:rFonts w:ascii="Segoe UI" w:hAnsi="Segoe UI" w:eastAsia="Segoe UI"/>
          <w:b/>
          <w:i w:val="0"/>
          <w:color w:val="A96304"/>
          <w:sz w:val="23"/>
        </w:rPr>
        <w:t xml:space="preserve">2.  </w:t>
      </w:r>
      <w:r>
        <w:rPr>
          <w:rFonts w:ascii="Segoe UI" w:hAnsi="Segoe UI" w:eastAsia="Segoe UI"/>
          <w:b/>
          <w:i w:val="0"/>
          <w:color w:val="1C2533"/>
          <w:sz w:val="23"/>
        </w:rPr>
        <w:t xml:space="preserve">Read the three counts: Errors, Warnings, Info.  </w:t>
      </w:r>
      <w:r>
        <w:rPr>
          <w:rFonts w:ascii="Segoe UI" w:hAnsi="Segoe UI" w:eastAsia="Segoe UI"/>
          <w:b w:val="0"/>
          <w:i w:val="0"/>
          <w:color w:val="58657A"/>
          <w:sz w:val="23"/>
        </w:rPr>
        <w:t>Reading them in that order stops you spending time on notes that ask nothing of you.</w:t>
      </w:r>
    </w:p>
    <w:p>
      <w:pPr>
        <w:spacing w:after="100"/>
        <w:ind w:left="2232" w:hanging="504"/>
      </w:pPr>
      <w:r>
        <w:rPr>
          <w:rFonts w:ascii="Segoe UI" w:hAnsi="Segoe UI" w:eastAsia="Segoe UI"/>
          <w:b/>
          <w:i w:val="0"/>
          <w:color w:val="A96304"/>
          <w:sz w:val="23"/>
        </w:rPr>
        <w:t xml:space="preserve">3.  </w:t>
      </w:r>
      <w:r>
        <w:rPr>
          <w:rFonts w:ascii="Segoe UI" w:hAnsi="Segoe UI" w:eastAsia="Segoe UI"/>
          <w:b/>
          <w:i w:val="0"/>
          <w:color w:val="1C2533"/>
          <w:sz w:val="23"/>
        </w:rPr>
        <w:t xml:space="preserve">If there are Errors, look at those first.  </w:t>
      </w:r>
      <w:r>
        <w:rPr>
          <w:rFonts w:ascii="Segoe UI" w:hAnsi="Segoe UI" w:eastAsia="Segoe UI"/>
          <w:b w:val="0"/>
          <w:i w:val="0"/>
          <w:color w:val="58657A"/>
          <w:sz w:val="23"/>
        </w:rPr>
        <w:t>Section 6 covers all three kinds, and each has a known first move.</w:t>
      </w:r>
    </w:p>
    <w:p>
      <w:pPr>
        <w:spacing w:after="100"/>
        <w:ind w:left="2232" w:hanging="504"/>
      </w:pPr>
      <w:r>
        <w:rPr>
          <w:rFonts w:ascii="Segoe UI" w:hAnsi="Segoe UI" w:eastAsia="Segoe UI"/>
          <w:b/>
          <w:i w:val="0"/>
          <w:color w:val="A96304"/>
          <w:sz w:val="23"/>
        </w:rPr>
        <w:t xml:space="preserve">4.  </w:t>
      </w:r>
      <w:r>
        <w:rPr>
          <w:rFonts w:ascii="Segoe UI" w:hAnsi="Segoe UI" w:eastAsia="Segoe UI"/>
          <w:b/>
          <w:i w:val="0"/>
          <w:color w:val="1C2533"/>
          <w:sz w:val="23"/>
        </w:rPr>
        <w:t xml:space="preserve">If there are only Warnings and Info, the run is accepted.  </w:t>
      </w:r>
      <w:r>
        <w:rPr>
          <w:rFonts w:ascii="Segoe UI" w:hAnsi="Segoe UI" w:eastAsia="Segoe UI"/>
          <w:b w:val="0"/>
          <w:i w:val="0"/>
          <w:color w:val="58657A"/>
          <w:sz w:val="23"/>
        </w:rPr>
        <w:t>Warnings are expected. A run with several hundred can be perfectly healthy.</w:t>
      </w:r>
    </w:p>
    <w:p>
      <w:pPr>
        <w:spacing w:after="100"/>
        <w:ind w:left="2232" w:hanging="504"/>
      </w:pPr>
      <w:r>
        <w:rPr>
          <w:rFonts w:ascii="Segoe UI" w:hAnsi="Segoe UI" w:eastAsia="Segoe UI"/>
          <w:b/>
          <w:i w:val="0"/>
          <w:color w:val="A96304"/>
          <w:sz w:val="23"/>
        </w:rPr>
        <w:t xml:space="preserve">5.  </w:t>
      </w:r>
      <w:r>
        <w:rPr>
          <w:rFonts w:ascii="Segoe UI" w:hAnsi="Segoe UI" w:eastAsia="Segoe UI"/>
          <w:b/>
          <w:i w:val="0"/>
          <w:color w:val="1C2533"/>
          <w:sz w:val="23"/>
        </w:rPr>
        <w:t xml:space="preserve">Before escalating, ask how many different kinds there are.  </w:t>
      </w:r>
      <w:r>
        <w:rPr>
          <w:rFonts w:ascii="Segoe UI" w:hAnsi="Segoe UI" w:eastAsia="Segoe UI"/>
          <w:b w:val="0"/>
          <w:i w:val="0"/>
          <w:color w:val="58657A"/>
          <w:sz w:val="23"/>
        </w:rPr>
        <w:t>The run summary reports that too. One kind repeated ten thousand times is one problem; ten thousand kinds is a different conversation.</w:t>
      </w:r>
    </w:p>
    <w:p>
      <w:pPr>
        <w:spacing w:after="100"/>
        <w:ind w:left="2232" w:hanging="504"/>
      </w:pPr>
      <w:r>
        <w:rPr>
          <w:rFonts w:ascii="Segoe UI" w:hAnsi="Segoe UI" w:eastAsia="Segoe UI"/>
          <w:b/>
          <w:i w:val="0"/>
          <w:color w:val="A96304"/>
          <w:sz w:val="23"/>
        </w:rPr>
        <w:t xml:space="preserve">6.  </w:t>
      </w:r>
      <w:r>
        <w:rPr>
          <w:rFonts w:ascii="Segoe UI" w:hAnsi="Segoe UI" w:eastAsia="Segoe UI"/>
          <w:b/>
          <w:i w:val="0"/>
          <w:color w:val="1C2533"/>
          <w:sz w:val="23"/>
        </w:rPr>
        <w:t xml:space="preserve">For a handler-specific note, ask for that handler to be reconciled.  </w:t>
      </w:r>
      <w:r>
        <w:rPr>
          <w:rFonts w:ascii="Segoe UI" w:hAnsi="Segoe UI" w:eastAsia="Segoe UI"/>
          <w:b w:val="0"/>
          <w:i w:val="0"/>
          <w:color w:val="58657A"/>
          <w:sz w:val="23"/>
        </w:rPr>
        <w:t>This is the usual fix, and it is safe to ask for at any time.</w:t>
      </w:r>
    </w:p>
    <w:p>
      <w:pPr>
        <w:spacing w:after="100"/>
        <w:ind w:left="2232" w:hanging="504"/>
      </w:pPr>
      <w:r>
        <w:rPr>
          <w:rFonts w:ascii="Segoe UI" w:hAnsi="Segoe UI" w:eastAsia="Segoe UI"/>
          <w:b/>
          <w:i w:val="0"/>
          <w:color w:val="A96304"/>
          <w:sz w:val="23"/>
        </w:rPr>
        <w:t xml:space="preserve">7.  </w:t>
      </w:r>
      <w:r>
        <w:rPr>
          <w:rFonts w:ascii="Segoe UI" w:hAnsi="Segoe UI" w:eastAsia="Segoe UI"/>
          <w:b/>
          <w:i w:val="0"/>
          <w:color w:val="1C2533"/>
          <w:sz w:val="23"/>
        </w:rPr>
        <w:t xml:space="preserve">If it survives a reconcile, raise it.  </w:t>
      </w:r>
      <w:r>
        <w:rPr>
          <w:rFonts w:ascii="Segoe UI" w:hAnsi="Segoe UI" w:eastAsia="Segoe UI"/>
          <w:b w:val="0"/>
          <w:i w:val="0"/>
          <w:color w:val="58657A"/>
          <w:sz w:val="23"/>
        </w:rPr>
        <w:t>It has stopped being routine, and is now either a developer's question or EPA's.</w:t>
      </w:r>
    </w:p>
    <w:p>
      <w:pPr>
        <w:keepNext/>
        <w:spacing w:before="0" w:after="200"/>
      </w:pPr>
      <w:r>
        <w:br w:type="page"/>
      </w:r>
      <w:r>
        <w:rPr>
          <w:rFonts w:ascii="Segoe UI" w:hAnsi="Segoe UI" w:eastAsia="Segoe UI"/>
          <w:b/>
          <w:i w:val="0"/>
          <w:color w:val="96A1B2"/>
          <w:sz w:val="40"/>
        </w:rPr>
        <w:t xml:space="preserve">9   </w:t>
      </w:r>
      <w:r>
        <w:rPr>
          <w:rFonts w:ascii="Segoe UI" w:hAnsi="Segoe UI" w:eastAsia="Segoe UI"/>
          <w:b/>
          <w:i w:val="0"/>
          <w:color w:val="1F4E79"/>
          <w:sz w:val="40"/>
        </w:rPr>
        <w:t>Things that look alarming and are not</w:t>
      </w:r>
    </w:p>
    <w:tbl>
      <w:tblPr>
        <w:tblW w:type="auto" w:w="0"/>
        <w:jc w:val="left"/>
        <w:tblLayout w:type="fixed"/>
        <w:tblLook w:firstColumn="1" w:firstRow="1" w:lastColumn="0" w:lastRow="0" w:noHBand="0" w:noVBand="1" w:val="04A0"/>
        <w:tblInd w:w="1728" w:type="dxa"/>
      </w:tblPr>
      <w:tblGrid>
        <w:gridCol w:w="3744"/>
        <w:gridCol w:w="6192"/>
      </w:tblGrid>
      <w:tr>
        <w:trPr>
          <w:cantSplit/>
        </w:trPr>
        <w:tc>
          <w:tcPr>
            <w:tcW w:type="dxa" w:w="3744"/>
            <w:shd w:val="clear" w:color="auto" w:fill="E5F3EB"/>
            <w:tcBorders>
              <w:top w:val="single" w:sz="8" w:space="0" w:color="1A6A42"/>
              <w:left w:val="nil"/>
              <w:bottom w:val="single" w:sz="12" w:space="0" w:color="1A6A42"/>
              <w:right w:val="nil"/>
            </w:tcBorders>
            <w:tcMar>
              <w:top w:w="70" w:type="dxa"/>
              <w:start w:w="180" w:type="dxa"/>
              <w:bottom w:w="70" w:type="dxa"/>
              <w:end w:w="180" w:type="dxa"/>
            </w:tcMar>
          </w:tcPr>
          <w:p>
            <w:pPr>
              <w:keepNext/>
              <w:spacing w:after="0"/>
            </w:pPr>
            <w:r>
              <w:rPr>
                <w:rFonts w:ascii="Segoe UI" w:hAnsi="Segoe UI" w:eastAsia="Segoe UI"/>
                <w:b/>
                <w:i w:val="0"/>
                <w:color w:val="1C2533"/>
                <w:sz w:val="21"/>
              </w:rPr>
              <w:t>What you see</w:t>
            </w:r>
          </w:p>
        </w:tc>
        <w:tc>
          <w:tcPr>
            <w:tcW w:type="dxa" w:w="6192"/>
            <w:shd w:val="clear" w:color="auto" w:fill="E5F3EB"/>
            <w:tcBorders>
              <w:top w:val="single" w:sz="8" w:space="0" w:color="1A6A42"/>
              <w:left w:val="nil"/>
              <w:bottom w:val="single" w:sz="12" w:space="0" w:color="1A6A42"/>
              <w:right w:val="nil"/>
            </w:tcBorders>
            <w:tcMar>
              <w:top w:w="70" w:type="dxa"/>
              <w:start w:w="180" w:type="dxa"/>
              <w:bottom w:w="70" w:type="dxa"/>
              <w:end w:w="180" w:type="dxa"/>
            </w:tcMar>
          </w:tcPr>
          <w:p>
            <w:pPr>
              <w:keepNext/>
              <w:spacing w:after="0"/>
            </w:pPr>
            <w:r>
              <w:rPr>
                <w:rFonts w:ascii="Segoe UI" w:hAnsi="Segoe UI" w:eastAsia="Segoe UI"/>
                <w:b/>
                <w:i w:val="0"/>
                <w:color w:val="1C2533"/>
                <w:sz w:val="21"/>
              </w:rPr>
              <w:t>Why it is fine</w:t>
            </w:r>
          </w:p>
        </w:tc>
      </w:tr>
      <w:tr>
        <w:trPr>
          <w:cantSplit/>
        </w:trPr>
        <w:tc>
          <w:tcPr>
            <w:tcW w:type="dxa" w:w="374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Hundreds of Warnings on a successful run</w:t>
            </w:r>
          </w:p>
        </w:tc>
        <w:tc>
          <w:tcPr>
            <w:tcW w:type="dxa" w:w="619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Warnings are the expected middle case. The load was designed to produce them rather than to hide them.</w:t>
            </w:r>
          </w:p>
        </w:tc>
      </w:tr>
      <w:tr>
        <w:trPr>
          <w:cantSplit/>
        </w:trPr>
        <w:tc>
          <w:tcPr>
            <w:tcW w:type="dxa" w:w="374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An Error on a run that finished successfully</w:t>
            </w:r>
          </w:p>
        </w:tc>
        <w:tc>
          <w:tcPr>
            <w:tcW w:type="dxa" w:w="619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Both are true at once. Errors describe data the load could not resolve; they do not stop it.</w:t>
            </w:r>
          </w:p>
        </w:tc>
      </w:tr>
      <w:tr>
        <w:trPr>
          <w:cantSplit/>
        </w:trPr>
        <w:tc>
          <w:tcPr>
            <w:tcW w:type="dxa" w:w="374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The same note repeated many times</w:t>
            </w:r>
          </w:p>
        </w:tc>
        <w:tc>
          <w:tcPr>
            <w:tcW w:type="dxa" w:w="619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Nothing removes duplicates, on purpose. Two identical notes mean it was noticed twice, which is itself worth knowing.</w:t>
            </w:r>
          </w:p>
        </w:tc>
      </w:tr>
      <w:tr>
        <w:trPr>
          <w:cantSplit/>
        </w:trPr>
        <w:tc>
          <w:tcPr>
            <w:tcW w:type="dxa" w:w="374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A note about a code EPA no longer publishes</w:t>
            </w:r>
          </w:p>
        </w:tc>
        <w:tc>
          <w:tcPr>
            <w:tcW w:type="dxa" w:w="619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Old records still need old codes to describe them. The code is marked retired and still works.</w:t>
            </w:r>
          </w:p>
        </w:tc>
      </w:tr>
      <w:tr>
        <w:trPr>
          <w:cantSplit/>
        </w:trPr>
        <w:tc>
          <w:tcPr>
            <w:tcW w:type="dxa" w:w="374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A note that says its own change was undone</w:t>
            </w:r>
          </w:p>
        </w:tc>
        <w:tc>
          <w:tcPr>
            <w:tcW w:type="dxa" w:w="619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Deliberate. The note is kept as evidence of what was about to happen, with a sentence added saying it did not.</w:t>
            </w:r>
          </w:p>
        </w:tc>
      </w:tr>
      <w:tr>
        <w:trPr>
          <w:cantSplit/>
        </w:trPr>
        <w:tc>
          <w:tcPr>
            <w:tcW w:type="dxa" w:w="374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A count of deleted notes that is not zero</w:t>
            </w:r>
          </w:p>
        </w:tc>
        <w:tc>
          <w:tcPr>
            <w:tcW w:type="dxa" w:w="619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Notes are never truly removed. If one is marked deleted, the summary still counts it and says so separately.</w:t>
            </w:r>
          </w:p>
        </w:tc>
      </w:tr>
      <w:tr>
        <w:trPr>
          <w:cantSplit/>
        </w:trPr>
        <w:tc>
          <w:tcPr>
            <w:tcW w:type="dxa" w:w="3744"/>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i w:val="0"/>
                <w:color w:val="1C2533"/>
                <w:sz w:val="21"/>
              </w:rPr>
              <w:t>A note naming a handler outside Maryland</w:t>
            </w:r>
          </w:p>
        </w:tc>
        <w:tc>
          <w:tcPr>
            <w:tcW w:type="dxa" w:w="6192"/>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val="0"/>
                <w:i w:val="0"/>
                <w:color w:val="1C2533"/>
                <w:sz w:val="21"/>
              </w:rPr>
              <w:t>Contacts and mailing addresses are legitimately out of state. Only the handler's own location is restricted to Maryland.</w:t>
            </w:r>
          </w:p>
        </w:tc>
      </w:tr>
    </w:tbl>
    <w:p>
      <w:pPr>
        <w:spacing w:before="0" w:after="160"/>
      </w:pPr>
      <w:r>
        <w:rPr>
          <w:rFonts w:ascii="Segoe UI" w:hAnsi="Segoe UI" w:eastAsia="Segoe UI"/>
          <w:b w:val="0"/>
          <w:i w:val="0"/>
          <w:color w:val="1C2533"/>
          <w:sz w:val="2"/>
        </w:rPr>
      </w:r>
    </w:p>
    <w:tbl>
      <w:tblPr>
        <w:tblW w:type="auto" w:w="0"/>
        <w:jc w:val="left"/>
        <w:tblLayout w:type="fixed"/>
        <w:tblLook w:firstColumn="1" w:firstRow="1" w:lastColumn="0" w:lastRow="0" w:noHBand="0" w:noVBand="1" w:val="04A0"/>
        <w:tblInd w:w="1728" w:type="dxa"/>
      </w:tblPr>
      <w:tblGrid>
        <w:gridCol w:w="9936"/>
      </w:tblGrid>
      <w:tr>
        <w:trPr>
          <w:cantSplit/>
        </w:trPr>
        <w:tc>
          <w:tcPr>
            <w:tcW w:type="dxa" w:w="9936"/>
            <w:shd w:val="clear" w:color="auto" w:fill="FDF3E0"/>
            <w:tcBorders>
              <w:top w:val="single" w:sz="6" w:space="0" w:color="A96304"/>
              <w:left w:val="single" w:sz="36" w:space="0" w:color="A96304"/>
              <w:bottom w:val="single" w:sz="6" w:space="0" w:color="A96304"/>
              <w:right w:val="single" w:sz="6" w:space="0" w:color="A96304"/>
            </w:tcBorders>
            <w:tcMar>
              <w:top w:w="140" w:type="dxa"/>
              <w:start w:w="200" w:type="dxa"/>
              <w:bottom w:w="140" w:type="dxa"/>
              <w:end w:w="200" w:type="dxa"/>
            </w:tcMar>
          </w:tcPr>
          <w:p>
            <w:pPr>
              <w:spacing w:after="80"/>
            </w:pPr>
            <w:r>
              <w:rPr>
                <w:rFonts w:ascii="Segoe UI" w:hAnsi="Segoe UI" w:eastAsia="Segoe UI"/>
                <w:b/>
                <w:i w:val="0"/>
                <w:color w:val="A96304"/>
                <w:sz w:val="24"/>
              </w:rPr>
              <w:t>Count the kinds, not the rows.</w:t>
            </w:r>
          </w:p>
          <w:p>
            <w:pPr>
              <w:spacing w:after="80"/>
            </w:pPr>
            <w:r>
              <w:rPr>
                <w:rFonts w:ascii="Segoe UI" w:hAnsi="Segoe UI" w:eastAsia="Segoe UI"/>
                <w:b w:val="0"/>
                <w:i w:val="0"/>
                <w:color w:val="1C2533"/>
                <w:sz w:val="22"/>
              </w:rPr>
              <w:t>The most common mistake in reading a run is reacting to a large number. A single handler fetched repeatedly can produce a great many identical notes, and that is one small problem, not a large one.</w:t>
            </w:r>
          </w:p>
          <w:p>
            <w:pPr>
              <w:spacing w:after="0"/>
            </w:pPr>
            <w:r>
              <w:rPr>
                <w:rFonts w:ascii="Segoe UI" w:hAnsi="Segoe UI" w:eastAsia="Segoe UI"/>
                <w:b w:val="0"/>
                <w:i w:val="0"/>
                <w:color w:val="1C2533"/>
                <w:sz w:val="22"/>
              </w:rPr>
              <w:t>The number of distinct kinds — which the run summary also reports — is the figure that tells you whether something broad went wrong.</w:t>
            </w:r>
          </w:p>
        </w:tc>
      </w:tr>
    </w:tbl>
    <w:p>
      <w:pPr>
        <w:keepNext/>
        <w:spacing w:before="0" w:after="200"/>
      </w:pPr>
      <w:r>
        <w:br w:type="page"/>
      </w:r>
      <w:r>
        <w:rPr>
          <w:rFonts w:ascii="Segoe UI" w:hAnsi="Segoe UI" w:eastAsia="Segoe UI"/>
          <w:b/>
          <w:i w:val="0"/>
          <w:color w:val="96A1B2"/>
          <w:sz w:val="40"/>
        </w:rPr>
        <w:t xml:space="preserve">10   </w:t>
      </w:r>
      <w:r>
        <w:rPr>
          <w:rFonts w:ascii="Segoe UI" w:hAnsi="Segoe UI" w:eastAsia="Segoe UI"/>
          <w:b/>
          <w:i w:val="0"/>
          <w:color w:val="1F4E79"/>
          <w:sz w:val="40"/>
        </w:rPr>
        <w:t>What is not built yet</w:t>
      </w:r>
    </w:p>
    <w:p>
      <w:pPr>
        <w:spacing w:after="160" w:before="0"/>
        <w:ind w:left="1728" w:right="1872"/>
      </w:pPr>
      <w:r>
        <w:rPr>
          <w:rFonts w:ascii="Segoe UI" w:hAnsi="Segoe UI" w:eastAsia="Segoe UI"/>
          <w:b w:val="0"/>
          <w:i w:val="0"/>
          <w:color w:val="1C2533"/>
          <w:sz w:val="22"/>
        </w:rPr>
        <w:t>This section is here so that nobody spends time looking for something that does not exist. None of these are faults; they are work not yet done.</w:t>
      </w:r>
    </w:p>
    <w:p>
      <w:pPr>
        <w:pStyle w:val="ListBullet"/>
        <w:spacing w:after="100" w:before="0"/>
        <w:ind w:left="2160"/>
      </w:pPr>
      <w:r>
        <w:rPr>
          <w:rFonts w:ascii="Segoe UI" w:hAnsi="Segoe UI" w:eastAsia="Segoe UI"/>
          <w:b/>
          <w:i w:val="0"/>
          <w:color w:val="1C2533"/>
          <w:sz w:val="22"/>
        </w:rPr>
        <w:t xml:space="preserve">There is no screen for individual notes.  </w:t>
      </w:r>
      <w:r>
        <w:rPr>
          <w:rFonts w:ascii="Segoe UI" w:hAnsi="Segoe UI" w:eastAsia="Segoe UI"/>
          <w:b w:val="0"/>
          <w:i w:val="0"/>
          <w:color w:val="1C2533"/>
          <w:sz w:val="22"/>
        </w:rPr>
        <w:t>The monitoring website shows the counts for a run. Reading the notes themselves means asking someone to query the table — which is quick, but it is not self-service yet.</w:t>
      </w:r>
    </w:p>
    <w:p>
      <w:pPr>
        <w:pStyle w:val="ListBullet"/>
        <w:spacing w:after="100" w:before="0"/>
        <w:ind w:left="2160"/>
      </w:pPr>
      <w:r>
        <w:rPr>
          <w:rFonts w:ascii="Segoe UI" w:hAnsi="Segoe UI" w:eastAsia="Segoe UI"/>
          <w:b/>
          <w:i w:val="0"/>
          <w:color w:val="1C2533"/>
          <w:sz w:val="22"/>
        </w:rPr>
        <w:t xml:space="preserve">There is no way to acknowledge or close a note.  </w:t>
      </w:r>
      <w:r>
        <w:rPr>
          <w:rFonts w:ascii="Segoe UI" w:hAnsi="Segoe UI" w:eastAsia="Segoe UI"/>
          <w:b w:val="0"/>
          <w:i w:val="0"/>
          <w:color w:val="1C2533"/>
          <w:sz w:val="22"/>
        </w:rPr>
        <w:t>The table has no notion of a note being dealt with. Tracking what has been looked at is, for now, a matter for whatever notes you keep yourself.</w:t>
      </w:r>
    </w:p>
    <w:p>
      <w:pPr>
        <w:pStyle w:val="ListBullet"/>
        <w:spacing w:after="100" w:before="0"/>
        <w:ind w:left="2160"/>
      </w:pPr>
      <w:r>
        <w:rPr>
          <w:rFonts w:ascii="Segoe UI" w:hAnsi="Segoe UI" w:eastAsia="Segoe UI"/>
          <w:b/>
          <w:i w:val="0"/>
          <w:color w:val="1C2533"/>
          <w:sz w:val="22"/>
        </w:rPr>
        <w:t xml:space="preserve">Four kinds of note are described but never written.  </w:t>
      </w:r>
      <w:r>
        <w:rPr>
          <w:rFonts w:ascii="Segoe UI" w:hAnsi="Segoe UI" w:eastAsia="Segoe UI"/>
          <w:b w:val="0"/>
          <w:i w:val="0"/>
          <w:color w:val="1C2533"/>
          <w:sz w:val="22"/>
        </w:rPr>
        <w:t>The database's own documentation lists names for an unknown code, a value too long, an unexpected blank, and an unexpected property. Nothing in the load writes any of them today.</w:t>
      </w:r>
    </w:p>
    <w:p>
      <w:pPr>
        <w:pStyle w:val="ListBullet"/>
        <w:spacing w:after="100" w:before="0"/>
        <w:ind w:left="2160"/>
      </w:pPr>
      <w:r>
        <w:rPr>
          <w:rFonts w:ascii="Segoe UI" w:hAnsi="Segoe UI" w:eastAsia="Segoe UI"/>
          <w:b/>
          <w:i w:val="0"/>
          <w:color w:val="1C2533"/>
          <w:sz w:val="22"/>
        </w:rPr>
        <w:t xml:space="preserve">In particular, unknown codes are not yet reported.  </w:t>
      </w:r>
      <w:r>
        <w:rPr>
          <w:rFonts w:ascii="Segoe UI" w:hAnsi="Segoe UI" w:eastAsia="Segoe UI"/>
          <w:b w:val="0"/>
          <w:i w:val="0"/>
          <w:color w:val="1C2533"/>
          <w:sz w:val="22"/>
        </w:rPr>
        <w:t>The load deliberately accepts a code that is in no EPA list — that is the decision described in Section 2 — but nothing yet writes a note when it happens. So the absence of such notes is not evidence that there are no unknown codes.</w:t>
      </w:r>
    </w:p>
    <w:p>
      <w:pPr>
        <w:spacing w:before="0" w:after="120"/>
      </w:pPr>
      <w:r>
        <w:rPr>
          <w:rFonts w:ascii="Segoe UI" w:hAnsi="Segoe UI" w:eastAsia="Segoe UI"/>
          <w:b w:val="0"/>
          <w:i w:val="0"/>
          <w:color w:val="1C2533"/>
          <w:sz w:val="2"/>
        </w:rPr>
      </w:r>
    </w:p>
    <w:tbl>
      <w:tblPr>
        <w:tblW w:type="auto" w:w="0"/>
        <w:jc w:val="left"/>
        <w:tblLayout w:type="fixed"/>
        <w:tblLook w:firstColumn="1" w:firstRow="1" w:lastColumn="0" w:lastRow="0" w:noHBand="0" w:noVBand="1" w:val="04A0"/>
        <w:tblInd w:w="1728" w:type="dxa"/>
      </w:tblPr>
      <w:tblGrid>
        <w:gridCol w:w="9936"/>
      </w:tblGrid>
      <w:tr>
        <w:trPr>
          <w:cantSplit/>
        </w:trPr>
        <w:tc>
          <w:tcPr>
            <w:tcW w:type="dxa" w:w="9936"/>
            <w:shd w:val="clear" w:color="auto" w:fill="F4F6F9"/>
            <w:tcBorders>
              <w:top w:val="single" w:sz="6" w:space="0" w:color="96A1B2"/>
              <w:left w:val="single" w:sz="36" w:space="0" w:color="96A1B2"/>
              <w:bottom w:val="single" w:sz="6" w:space="0" w:color="96A1B2"/>
              <w:right w:val="single" w:sz="6" w:space="0" w:color="96A1B2"/>
            </w:tcBorders>
            <w:tcMar>
              <w:top w:w="140" w:type="dxa"/>
              <w:start w:w="200" w:type="dxa"/>
              <w:bottom w:w="140" w:type="dxa"/>
              <w:end w:w="200" w:type="dxa"/>
            </w:tcMar>
          </w:tcPr>
          <w:p>
            <w:pPr>
              <w:spacing w:after="80"/>
            </w:pPr>
            <w:r>
              <w:rPr>
                <w:rFonts w:ascii="Segoe UI" w:hAnsi="Segoe UI" w:eastAsia="Segoe UI"/>
                <w:b/>
                <w:i w:val="0"/>
                <w:color w:val="58657A"/>
                <w:sz w:val="24"/>
              </w:rPr>
              <w:t>What this means when you are asked “is the data clean?”</w:t>
            </w:r>
          </w:p>
          <w:p>
            <w:pPr>
              <w:spacing w:after="80"/>
            </w:pPr>
            <w:r>
              <w:rPr>
                <w:rFonts w:ascii="Segoe UI" w:hAnsi="Segoe UI" w:eastAsia="Segoe UI"/>
                <w:b w:val="0"/>
                <w:i w:val="0"/>
                <w:color w:val="1C2533"/>
                <w:sz w:val="22"/>
              </w:rPr>
              <w:t>The honest answer is: the data is complete, and everything the load noticed about it is written down where it can be read.</w:t>
            </w:r>
          </w:p>
          <w:p>
            <w:pPr>
              <w:spacing w:after="0"/>
            </w:pPr>
            <w:r>
              <w:rPr>
                <w:rFonts w:ascii="Segoe UI" w:hAnsi="Segoe UI" w:eastAsia="Segoe UI"/>
                <w:b w:val="0"/>
                <w:i w:val="0"/>
                <w:color w:val="1C2533"/>
                <w:sz w:val="22"/>
              </w:rPr>
              <w:t>It is not an answer about every possible problem, because the load only reports the eight things in Section 5. Anything it does not look for, it does not report.</w:t>
            </w:r>
          </w:p>
        </w:tc>
      </w:tr>
    </w:tbl>
    <w:p>
      <w:pPr>
        <w:keepNext/>
        <w:spacing w:before="0" w:after="200"/>
      </w:pPr>
      <w:r>
        <w:br w:type="page"/>
      </w:r>
      <w:r>
        <w:rPr>
          <w:rFonts w:ascii="Segoe UI" w:hAnsi="Segoe UI" w:eastAsia="Segoe UI"/>
          <w:b/>
          <w:i w:val="0"/>
          <w:color w:val="96A1B2"/>
          <w:sz w:val="40"/>
        </w:rPr>
        <w:t xml:space="preserve">A   </w:t>
      </w:r>
      <w:r>
        <w:rPr>
          <w:rFonts w:ascii="Segoe UI" w:hAnsi="Segoe UI" w:eastAsia="Segoe UI"/>
          <w:b/>
          <w:i w:val="0"/>
          <w:color w:val="58657A"/>
          <w:sz w:val="40"/>
        </w:rPr>
        <w:t>Appendix — every field on a note</w:t>
      </w:r>
    </w:p>
    <w:p>
      <w:pPr>
        <w:spacing w:after="160" w:before="0"/>
        <w:ind w:left="1728" w:right="1872"/>
      </w:pPr>
      <w:r>
        <w:rPr>
          <w:rFonts w:ascii="Segoe UI" w:hAnsi="Segoe UI" w:eastAsia="Segoe UI"/>
          <w:b w:val="0"/>
          <w:i w:val="0"/>
          <w:color w:val="1C2533"/>
          <w:sz w:val="22"/>
        </w:rPr>
        <w:t>For a technical reader. This is the whole of logs.DataQualityObservation, in the order the fields appear.</w:t>
      </w:r>
    </w:p>
    <w:tbl>
      <w:tblPr>
        <w:tblW w:type="auto" w:w="0"/>
        <w:jc w:val="left"/>
        <w:tblLayout w:type="fixed"/>
        <w:tblLook w:firstColumn="1" w:firstRow="1" w:lastColumn="0" w:lastRow="0" w:noHBand="0" w:noVBand="1" w:val="04A0"/>
        <w:tblInd w:w="1728" w:type="dxa"/>
      </w:tblPr>
      <w:tblGrid>
        <w:gridCol w:w="3600"/>
        <w:gridCol w:w="6336"/>
      </w:tblGrid>
      <w:tr>
        <w:trPr>
          <w:cantSplit/>
        </w:trPr>
        <w:tc>
          <w:tcPr>
            <w:tcW w:type="dxa" w:w="3600"/>
            <w:shd w:val="clear" w:color="auto" w:fill="F4F6F9"/>
            <w:tcBorders>
              <w:top w:val="single" w:sz="8" w:space="0" w:color="96A1B2"/>
              <w:left w:val="nil"/>
              <w:bottom w:val="single" w:sz="12" w:space="0" w:color="96A1B2"/>
              <w:right w:val="nil"/>
            </w:tcBorders>
            <w:tcMar>
              <w:top w:w="70" w:type="dxa"/>
              <w:start w:w="180" w:type="dxa"/>
              <w:bottom w:w="70" w:type="dxa"/>
              <w:end w:w="180" w:type="dxa"/>
            </w:tcMar>
          </w:tcPr>
          <w:p>
            <w:pPr>
              <w:keepNext/>
              <w:spacing w:after="0"/>
            </w:pPr>
            <w:r>
              <w:rPr>
                <w:rFonts w:ascii="Segoe UI" w:hAnsi="Segoe UI" w:eastAsia="Segoe UI"/>
                <w:b/>
                <w:i w:val="0"/>
                <w:color w:val="1C2533"/>
                <w:sz w:val="18"/>
              </w:rPr>
              <w:t>Field</w:t>
            </w:r>
          </w:p>
        </w:tc>
        <w:tc>
          <w:tcPr>
            <w:tcW w:type="dxa" w:w="6336"/>
            <w:shd w:val="clear" w:color="auto" w:fill="F4F6F9"/>
            <w:tcBorders>
              <w:top w:val="single" w:sz="8" w:space="0" w:color="96A1B2"/>
              <w:left w:val="nil"/>
              <w:bottom w:val="single" w:sz="12" w:space="0" w:color="96A1B2"/>
              <w:right w:val="nil"/>
            </w:tcBorders>
            <w:tcMar>
              <w:top w:w="70" w:type="dxa"/>
              <w:start w:w="180" w:type="dxa"/>
              <w:bottom w:w="70" w:type="dxa"/>
              <w:end w:w="180" w:type="dxa"/>
            </w:tcMar>
          </w:tcPr>
          <w:p>
            <w:pPr>
              <w:keepNext/>
              <w:spacing w:after="0"/>
            </w:pPr>
            <w:r>
              <w:rPr>
                <w:rFonts w:ascii="Segoe UI" w:hAnsi="Segoe UI" w:eastAsia="Segoe UI"/>
                <w:b/>
                <w:i w:val="0"/>
                <w:color w:val="1C2533"/>
                <w:sz w:val="18"/>
              </w:rPr>
              <w:t>Holds</w:t>
            </w:r>
          </w:p>
        </w:tc>
      </w:tr>
      <w:tr>
        <w:trPr>
          <w:cantSplit/>
        </w:trPr>
        <w:tc>
          <w:tcPr>
            <w:tcW w:type="dxa" w:w="36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8"/>
              </w:rPr>
              <w:t>DataQualityObservationId</w:t>
            </w:r>
          </w:p>
        </w:tc>
        <w:tc>
          <w:tcPr>
            <w:tcW w:type="dxa" w:w="63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8"/>
              </w:rPr>
              <w:t>The note's own number. Assigned in order.</w:t>
            </w:r>
          </w:p>
        </w:tc>
      </w:tr>
      <w:tr>
        <w:trPr>
          <w:cantSplit/>
        </w:trPr>
        <w:tc>
          <w:tcPr>
            <w:tcW w:type="dxa" w:w="36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8"/>
              </w:rPr>
              <w:t>LoadRunId</w:t>
            </w:r>
          </w:p>
        </w:tc>
        <w:tc>
          <w:tcPr>
            <w:tcW w:type="dxa" w:w="63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8"/>
              </w:rPr>
              <w:t>The run that produced it. Always present.</w:t>
            </w:r>
          </w:p>
        </w:tc>
      </w:tr>
      <w:tr>
        <w:trPr>
          <w:cantSplit/>
        </w:trPr>
        <w:tc>
          <w:tcPr>
            <w:tcW w:type="dxa" w:w="36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8"/>
              </w:rPr>
              <w:t>HandlerLoadStatusId</w:t>
            </w:r>
          </w:p>
        </w:tc>
        <w:tc>
          <w:tcPr>
            <w:tcW w:type="dxa" w:w="63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8"/>
              </w:rPr>
              <w:t>The specific handler-version attempt, when there was one.</w:t>
            </w:r>
          </w:p>
        </w:tc>
      </w:tr>
      <w:tr>
        <w:trPr>
          <w:cantSplit/>
        </w:trPr>
        <w:tc>
          <w:tcPr>
            <w:tcW w:type="dxa" w:w="36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8"/>
              </w:rPr>
              <w:t>ObservationType</w:t>
            </w:r>
          </w:p>
        </w:tc>
        <w:tc>
          <w:tcPr>
            <w:tcW w:type="dxa" w:w="63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8"/>
              </w:rPr>
              <w:t>The kind of note. Free text by design — no database constraint limits the values.</w:t>
            </w:r>
          </w:p>
        </w:tc>
      </w:tr>
      <w:tr>
        <w:trPr>
          <w:cantSplit/>
        </w:trPr>
        <w:tc>
          <w:tcPr>
            <w:tcW w:type="dxa" w:w="36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8"/>
              </w:rPr>
              <w:t>Severity</w:t>
            </w:r>
          </w:p>
        </w:tc>
        <w:tc>
          <w:tcPr>
            <w:tcW w:type="dxa" w:w="63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8"/>
              </w:rPr>
              <w:t>Info, Warning, or Error. Constrained to those three; defaults to Warning.</w:t>
            </w:r>
          </w:p>
        </w:tc>
      </w:tr>
      <w:tr>
        <w:trPr>
          <w:cantSplit/>
        </w:trPr>
        <w:tc>
          <w:tcPr>
            <w:tcW w:type="dxa" w:w="36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8"/>
              </w:rPr>
              <w:t>HandlerId</w:t>
            </w:r>
          </w:p>
        </w:tc>
        <w:tc>
          <w:tcPr>
            <w:tcW w:type="dxa" w:w="63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8"/>
              </w:rPr>
              <w:t>EPA's handler identifier, when the note is about one.</w:t>
            </w:r>
          </w:p>
        </w:tc>
      </w:tr>
      <w:tr>
        <w:trPr>
          <w:cantSplit/>
        </w:trPr>
        <w:tc>
          <w:tcPr>
            <w:tcW w:type="dxa" w:w="36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8"/>
              </w:rPr>
              <w:t>SourceType</w:t>
            </w:r>
          </w:p>
        </w:tc>
        <w:tc>
          <w:tcPr>
            <w:tcW w:type="dxa" w:w="63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8"/>
              </w:rPr>
              <w:t>EPA's single-character source type, when relevant.</w:t>
            </w:r>
          </w:p>
        </w:tc>
      </w:tr>
      <w:tr>
        <w:trPr>
          <w:cantSplit/>
        </w:trPr>
        <w:tc>
          <w:tcPr>
            <w:tcW w:type="dxa" w:w="36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8"/>
              </w:rPr>
              <w:t>Sequence</w:t>
            </w:r>
          </w:p>
        </w:tc>
        <w:tc>
          <w:tcPr>
            <w:tcW w:type="dxa" w:w="63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8"/>
              </w:rPr>
              <w:t>EPA's version number within that handler and source type.</w:t>
            </w:r>
          </w:p>
        </w:tc>
      </w:tr>
      <w:tr>
        <w:trPr>
          <w:cantSplit/>
        </w:trPr>
        <w:tc>
          <w:tcPr>
            <w:tcW w:type="dxa" w:w="36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8"/>
              </w:rPr>
              <w:t>TableName</w:t>
            </w:r>
          </w:p>
        </w:tc>
        <w:tc>
          <w:tcPr>
            <w:tcW w:type="dxa" w:w="63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8"/>
              </w:rPr>
              <w:t>The table the note concerns, when it concerns one.</w:t>
            </w:r>
          </w:p>
        </w:tc>
      </w:tr>
      <w:tr>
        <w:trPr>
          <w:cantSplit/>
        </w:trPr>
        <w:tc>
          <w:tcPr>
            <w:tcW w:type="dxa" w:w="36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8"/>
              </w:rPr>
              <w:t>ColumnName</w:t>
            </w:r>
          </w:p>
        </w:tc>
        <w:tc>
          <w:tcPr>
            <w:tcW w:type="dxa" w:w="63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8"/>
              </w:rPr>
              <w:t>The column, likewise.</w:t>
            </w:r>
          </w:p>
        </w:tc>
      </w:tr>
      <w:tr>
        <w:trPr>
          <w:cantSplit/>
        </w:trPr>
        <w:tc>
          <w:tcPr>
            <w:tcW w:type="dxa" w:w="36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8"/>
              </w:rPr>
              <w:t>JsonPath</w:t>
            </w:r>
          </w:p>
        </w:tc>
        <w:tc>
          <w:tcPr>
            <w:tcW w:type="dxa" w:w="63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8"/>
              </w:rPr>
              <w:t>The position in EPA's payload the value came from.</w:t>
            </w:r>
          </w:p>
        </w:tc>
      </w:tr>
      <w:tr>
        <w:trPr>
          <w:cantSplit/>
        </w:trPr>
        <w:tc>
          <w:tcPr>
            <w:tcW w:type="dxa" w:w="36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8"/>
              </w:rPr>
              <w:t>LookupName</w:t>
            </w:r>
          </w:p>
        </w:tc>
        <w:tc>
          <w:tcPr>
            <w:tcW w:type="dxa" w:w="63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8"/>
              </w:rPr>
              <w:t>The code list involved, for the code-list notes.</w:t>
            </w:r>
          </w:p>
        </w:tc>
      </w:tr>
      <w:tr>
        <w:trPr>
          <w:cantSplit/>
        </w:trPr>
        <w:tc>
          <w:tcPr>
            <w:tcW w:type="dxa" w:w="36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8"/>
              </w:rPr>
              <w:t>ObservedValue</w:t>
            </w:r>
          </w:p>
        </w:tc>
        <w:tc>
          <w:tcPr>
            <w:tcW w:type="dxa" w:w="63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8"/>
              </w:rPr>
              <w:t>The value or count that was noticed. Kept short deliberately.</w:t>
            </w:r>
          </w:p>
        </w:tc>
      </w:tr>
      <w:tr>
        <w:trPr>
          <w:cantSplit/>
        </w:trPr>
        <w:tc>
          <w:tcPr>
            <w:tcW w:type="dxa" w:w="36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8"/>
              </w:rPr>
              <w:t>Detail</w:t>
            </w:r>
          </w:p>
        </w:tc>
        <w:tc>
          <w:tcPr>
            <w:tcW w:type="dxa" w:w="63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8"/>
              </w:rPr>
              <w:t>The prose explanation. Up to 4,000 characters.</w:t>
            </w:r>
          </w:p>
        </w:tc>
      </w:tr>
      <w:tr>
        <w:trPr>
          <w:cantSplit/>
        </w:trPr>
        <w:tc>
          <w:tcPr>
            <w:tcW w:type="dxa" w:w="36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8"/>
              </w:rPr>
              <w:t>ObservedDateUtc</w:t>
            </w:r>
          </w:p>
        </w:tc>
        <w:tc>
          <w:tcPr>
            <w:tcW w:type="dxa" w:w="63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8"/>
              </w:rPr>
              <w:t>When the load noticed it, in UTC.</w:t>
            </w:r>
          </w:p>
        </w:tc>
      </w:tr>
      <w:tr>
        <w:trPr>
          <w:cantSplit/>
        </w:trPr>
        <w:tc>
          <w:tcPr>
            <w:tcW w:type="dxa" w:w="36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8"/>
              </w:rPr>
              <w:t>IsDeleted</w:t>
            </w:r>
          </w:p>
        </w:tc>
        <w:tc>
          <w:tcPr>
            <w:tcW w:type="dxa" w:w="63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8"/>
              </w:rPr>
              <w:t>Soft-delete flag. There is no hard delete anywhere in this database.</w:t>
            </w:r>
          </w:p>
        </w:tc>
      </w:tr>
      <w:tr>
        <w:trPr>
          <w:cantSplit/>
        </w:trPr>
        <w:tc>
          <w:tcPr>
            <w:tcW w:type="dxa" w:w="36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8"/>
              </w:rPr>
              <w:t>auditDeletedBy, auditDeletedDateUtc</w:t>
            </w:r>
          </w:p>
        </w:tc>
        <w:tc>
          <w:tcPr>
            <w:tcW w:type="dxa" w:w="63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8"/>
              </w:rPr>
              <w:t>Who marked it deleted, and when.</w:t>
            </w:r>
          </w:p>
        </w:tc>
      </w:tr>
      <w:tr>
        <w:trPr>
          <w:cantSplit/>
        </w:trPr>
        <w:tc>
          <w:tcPr>
            <w:tcW w:type="dxa" w:w="36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8"/>
              </w:rPr>
              <w:t>auditCreatedBy, auditCreatedDateUtc</w:t>
            </w:r>
          </w:p>
        </w:tc>
        <w:tc>
          <w:tcPr>
            <w:tcW w:type="dxa" w:w="63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8"/>
              </w:rPr>
              <w:t>Which login wrote the note, and when.</w:t>
            </w:r>
          </w:p>
        </w:tc>
      </w:tr>
      <w:tr>
        <w:trPr>
          <w:cantSplit/>
        </w:trPr>
        <w:tc>
          <w:tcPr>
            <w:tcW w:type="dxa" w:w="3600"/>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i w:val="0"/>
                <w:color w:val="1C2533"/>
                <w:sz w:val="18"/>
              </w:rPr>
              <w:t>auditModifiedBy, auditModifiedDateUtc</w:t>
            </w:r>
          </w:p>
        </w:tc>
        <w:tc>
          <w:tcPr>
            <w:tcW w:type="dxa" w:w="6336"/>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val="0"/>
                <w:i w:val="0"/>
                <w:color w:val="1C2533"/>
                <w:sz w:val="18"/>
              </w:rPr>
              <w:t>Who last changed the row, and when.</w:t>
            </w:r>
          </w:p>
        </w:tc>
      </w:tr>
    </w:tbl>
    <w:p>
      <w:pPr>
        <w:keepNext/>
        <w:spacing w:before="0" w:after="200"/>
      </w:pPr>
      <w:r>
        <w:br w:type="page"/>
      </w:r>
      <w:r>
        <w:rPr>
          <w:rFonts w:ascii="Segoe UI" w:hAnsi="Segoe UI" w:eastAsia="Segoe UI"/>
          <w:b/>
          <w:i w:val="0"/>
          <w:color w:val="96A1B2"/>
          <w:sz w:val="40"/>
        </w:rPr>
        <w:t xml:space="preserve">B   </w:t>
      </w:r>
      <w:r>
        <w:rPr>
          <w:rFonts w:ascii="Segoe UI" w:hAnsi="Segoe UI" w:eastAsia="Segoe UI"/>
          <w:b/>
          <w:i w:val="0"/>
          <w:color w:val="58657A"/>
          <w:sz w:val="40"/>
        </w:rPr>
        <w:t>Appendix — who writes the notes, and who reads them</w:t>
      </w:r>
    </w:p>
    <w:p>
      <w:pPr>
        <w:keepNext/>
        <w:spacing w:before="240" w:after="120"/>
        <w:ind w:left="1728"/>
      </w:pPr>
      <w:r>
        <w:rPr>
          <w:rFonts w:ascii="Segoe UI" w:hAnsi="Segoe UI" w:eastAsia="Segoe UI"/>
          <w:b/>
          <w:i w:val="0"/>
          <w:color w:val="1C2533"/>
          <w:sz w:val="26"/>
        </w:rPr>
        <w:t>The five procedures that write observations</w:t>
      </w:r>
    </w:p>
    <w:tbl>
      <w:tblPr>
        <w:tblW w:type="auto" w:w="0"/>
        <w:jc w:val="left"/>
        <w:tblLayout w:type="fixed"/>
        <w:tblLook w:firstColumn="1" w:firstRow="1" w:lastColumn="0" w:lastRow="0" w:noHBand="0" w:noVBand="1" w:val="04A0"/>
        <w:tblInd w:w="1728" w:type="dxa"/>
      </w:tblPr>
      <w:tblGrid>
        <w:gridCol w:w="4320"/>
        <w:gridCol w:w="5616"/>
      </w:tblGrid>
      <w:tr>
        <w:trPr>
          <w:cantSplit/>
        </w:trPr>
        <w:tc>
          <w:tcPr>
            <w:tcW w:type="dxa" w:w="4320"/>
            <w:shd w:val="clear" w:color="auto" w:fill="F4F6F9"/>
            <w:tcBorders>
              <w:top w:val="single" w:sz="8" w:space="0" w:color="96A1B2"/>
              <w:left w:val="nil"/>
              <w:bottom w:val="single" w:sz="12" w:space="0" w:color="96A1B2"/>
              <w:right w:val="nil"/>
            </w:tcBorders>
            <w:tcMar>
              <w:top w:w="70" w:type="dxa"/>
              <w:start w:w="180" w:type="dxa"/>
              <w:bottom w:w="70" w:type="dxa"/>
              <w:end w:w="180" w:type="dxa"/>
            </w:tcMar>
          </w:tcPr>
          <w:p>
            <w:pPr>
              <w:keepNext/>
              <w:spacing w:after="0"/>
            </w:pPr>
            <w:r>
              <w:rPr>
                <w:rFonts w:ascii="Segoe UI" w:hAnsi="Segoe UI" w:eastAsia="Segoe UI"/>
                <w:b/>
                <w:i w:val="0"/>
                <w:color w:val="1C2533"/>
                <w:sz w:val="18"/>
              </w:rPr>
              <w:t>Procedure</w:t>
            </w:r>
          </w:p>
        </w:tc>
        <w:tc>
          <w:tcPr>
            <w:tcW w:type="dxa" w:w="5616"/>
            <w:shd w:val="clear" w:color="auto" w:fill="F4F6F9"/>
            <w:tcBorders>
              <w:top w:val="single" w:sz="8" w:space="0" w:color="96A1B2"/>
              <w:left w:val="nil"/>
              <w:bottom w:val="single" w:sz="12" w:space="0" w:color="96A1B2"/>
              <w:right w:val="nil"/>
            </w:tcBorders>
            <w:tcMar>
              <w:top w:w="70" w:type="dxa"/>
              <w:start w:w="180" w:type="dxa"/>
              <w:bottom w:w="70" w:type="dxa"/>
              <w:end w:w="180" w:type="dxa"/>
            </w:tcMar>
          </w:tcPr>
          <w:p>
            <w:pPr>
              <w:keepNext/>
              <w:spacing w:after="0"/>
            </w:pPr>
            <w:r>
              <w:rPr>
                <w:rFonts w:ascii="Segoe UI" w:hAnsi="Segoe UI" w:eastAsia="Segoe UI"/>
                <w:b/>
                <w:i w:val="0"/>
                <w:color w:val="1C2533"/>
                <w:sz w:val="18"/>
              </w:rPr>
              <w:t>Kinds it writes</w:t>
            </w:r>
          </w:p>
        </w:tc>
      </w:tr>
      <w:tr>
        <w:trPr>
          <w:cantSplit/>
        </w:trPr>
        <w:tc>
          <w:tcPr>
            <w:tcW w:type="dxa" w:w="432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8"/>
              </w:rPr>
              <w:t>dbo.uspMergeHandlerSourceBatch</w:t>
            </w:r>
          </w:p>
        </w:tc>
        <w:tc>
          <w:tcPr>
            <w:tcW w:type="dxa" w:w="561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8"/>
              </w:rPr>
              <w:t>CollectionAbsentButStored</w:t>
            </w:r>
          </w:p>
        </w:tc>
      </w:tr>
      <w:tr>
        <w:trPr>
          <w:cantSplit/>
        </w:trPr>
        <w:tc>
          <w:tcPr>
            <w:tcW w:type="dxa" w:w="432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8"/>
              </w:rPr>
              <w:t>dbo.uspReconcileCurrentRecord</w:t>
            </w:r>
          </w:p>
        </w:tc>
        <w:tc>
          <w:tcPr>
            <w:tcW w:type="dxa" w:w="561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8"/>
              </w:rPr>
              <w:t>CurrentRecordAmbiguousInSource, VersionNotInSourceSummary, CurrentRecordAmbiguousInMirror, CurrentRecordMissingInMirror</w:t>
            </w:r>
          </w:p>
        </w:tc>
      </w:tr>
      <w:tr>
        <w:trPr>
          <w:cantSplit/>
        </w:trPr>
        <w:tc>
          <w:tcPr>
            <w:tcW w:type="dxa" w:w="432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8"/>
              </w:rPr>
              <w:t>dbo.uspSoftDeleteHandlerSourceSet</w:t>
            </w:r>
          </w:p>
        </w:tc>
        <w:tc>
          <w:tcPr>
            <w:tcW w:type="dxa" w:w="561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8"/>
              </w:rPr>
              <w:t>CurrentRecordMissingInMirror</w:t>
            </w:r>
          </w:p>
        </w:tc>
      </w:tr>
      <w:tr>
        <w:trPr>
          <w:cantSplit/>
        </w:trPr>
        <w:tc>
          <w:tcPr>
            <w:tcW w:type="dxa" w:w="432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8"/>
              </w:rPr>
              <w:t>dbo.uspRefreshLookupSet</w:t>
            </w:r>
          </w:p>
        </w:tc>
        <w:tc>
          <w:tcPr>
            <w:tcW w:type="dxa" w:w="561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8"/>
              </w:rPr>
              <w:t>LookupRefreshRetiredTooMany, LookupCodesRetired</w:t>
            </w:r>
          </w:p>
        </w:tc>
      </w:tr>
      <w:tr>
        <w:trPr>
          <w:cantSplit/>
        </w:trPr>
        <w:tc>
          <w:tcPr>
            <w:tcW w:type="dxa" w:w="4320"/>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i w:val="0"/>
                <w:color w:val="1C2533"/>
                <w:sz w:val="18"/>
              </w:rPr>
              <w:t>logs.uspSweepStrandedHandlerLoadStatus</w:t>
            </w:r>
          </w:p>
        </w:tc>
        <w:tc>
          <w:tcPr>
            <w:tcW w:type="dxa" w:w="5616"/>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val="0"/>
                <w:i w:val="0"/>
                <w:color w:val="1C2533"/>
                <w:sz w:val="18"/>
              </w:rPr>
              <w:t>StatusRowsStrandedByClosedRun</w:t>
            </w:r>
          </w:p>
        </w:tc>
      </w:tr>
    </w:tbl>
    <w:p>
      <w:pPr>
        <w:spacing w:before="0" w:after="160"/>
      </w:pPr>
      <w:r>
        <w:rPr>
          <w:rFonts w:ascii="Segoe UI" w:hAnsi="Segoe UI" w:eastAsia="Segoe UI"/>
          <w:b w:val="0"/>
          <w:i w:val="0"/>
          <w:color w:val="1C2533"/>
          <w:sz w:val="2"/>
        </w:rPr>
      </w:r>
    </w:p>
    <w:p>
      <w:pPr>
        <w:spacing w:after="160" w:before="0"/>
        <w:ind w:left="1728" w:right="1872"/>
      </w:pPr>
      <w:r>
        <w:rPr>
          <w:rFonts w:ascii="Segoe UI" w:hAnsi="Segoe UI" w:eastAsia="Segoe UI"/>
          <w:b w:val="0"/>
          <w:i w:val="0"/>
          <w:color w:val="1C2533"/>
          <w:sz w:val="22"/>
        </w:rPr>
        <w:t>CurrentRecordMissingInMirror is written by two of them, for the same condition reached two ways — so a change to its meaning has to be made in both places at once.</w:t>
      </w:r>
    </w:p>
    <w:p>
      <w:pPr>
        <w:keepNext/>
        <w:spacing w:before="240" w:after="120"/>
        <w:ind w:left="1728"/>
      </w:pPr>
      <w:r>
        <w:rPr>
          <w:rFonts w:ascii="Segoe UI" w:hAnsi="Segoe UI" w:eastAsia="Segoe UI"/>
          <w:b/>
          <w:i w:val="0"/>
          <w:color w:val="1C2533"/>
          <w:sz w:val="26"/>
        </w:rPr>
        <w:t>How the monitoring website reads them</w:t>
      </w:r>
    </w:p>
    <w:p>
      <w:pPr>
        <w:spacing w:after="160" w:before="0"/>
        <w:ind w:left="1728" w:right="1872"/>
      </w:pPr>
      <w:r>
        <w:rPr>
          <w:rFonts w:ascii="Segoe UI" w:hAnsi="Segoe UI" w:eastAsia="Segoe UI"/>
          <w:b w:val="0"/>
          <w:i w:val="0"/>
          <w:color w:val="1C2533"/>
          <w:sz w:val="22"/>
        </w:rPr>
        <w:t>logs.uspGetLoadRunSummary returns one row per run, carrying six figures about observations: the total, how many are marked deleted, the counts of Error, Warning and Info, and the number of distinct kinds — the last being what separates one problem repeated from many. It deliberately does not filter out soft-deleted notes, the one read path in the database that does not, because a note marked deleted is still evidence and hiding it would make the totals lie.</w:t>
      </w:r>
    </w:p>
    <w:p>
      <w:pPr>
        <w:pStyle w:val="ListBullet"/>
        <w:spacing w:after="100" w:before="0"/>
        <w:ind w:left="2160"/>
      </w:pPr>
      <w:r>
        <w:rPr>
          <w:rFonts w:ascii="Segoe UI" w:hAnsi="Segoe UI" w:eastAsia="Segoe UI"/>
          <w:b/>
          <w:i w:val="0"/>
          <w:color w:val="1C2533"/>
          <w:sz w:val="22"/>
        </w:rPr>
        <w:t xml:space="preserve">They survive a rollback.  </w:t>
      </w:r>
      <w:r>
        <w:rPr>
          <w:rFonts w:ascii="Segoe UI" w:hAnsi="Segoe UI" w:eastAsia="Segoe UI"/>
          <w:b w:val="0"/>
          <w:i w:val="0"/>
          <w:color w:val="1C2533"/>
          <w:sz w:val="22"/>
        </w:rPr>
        <w:t>Notes accumulate in memory during a step and are written even if that step has to abandon its work, with a sentence appended recording that the change did not happen.</w:t>
      </w:r>
    </w:p>
    <w:p>
      <w:pPr>
        <w:pStyle w:val="ListBullet"/>
        <w:spacing w:after="100" w:before="0"/>
        <w:ind w:left="2160"/>
      </w:pPr>
      <w:r>
        <w:rPr>
          <w:rFonts w:ascii="Segoe UI" w:hAnsi="Segoe UI" w:eastAsia="Segoe UI"/>
          <w:b/>
          <w:i w:val="0"/>
          <w:color w:val="1C2533"/>
          <w:sz w:val="22"/>
        </w:rPr>
        <w:t xml:space="preserve">They carry no secrets.  </w:t>
      </w:r>
      <w:r>
        <w:rPr>
          <w:rFonts w:ascii="Segoe UI" w:hAnsi="Segoe UI" w:eastAsia="Segoe UI"/>
          <w:b w:val="0"/>
          <w:i w:val="0"/>
          <w:color w:val="1C2533"/>
          <w:sz w:val="22"/>
        </w:rPr>
        <w:t>Detail is prose the load wrote about the data. It never contains the EPA API key or any other credential.</w:t>
      </w:r>
    </w:p>
    <w:p>
      <w:pPr>
        <w:pStyle w:val="ListBullet"/>
        <w:spacing w:after="100" w:before="0"/>
        <w:ind w:left="2160"/>
      </w:pPr>
      <w:r>
        <w:rPr>
          <w:rFonts w:ascii="Segoe UI" w:hAnsi="Segoe UI" w:eastAsia="Segoe UI"/>
          <w:b/>
          <w:i w:val="0"/>
          <w:color w:val="1C2533"/>
          <w:sz w:val="22"/>
        </w:rPr>
        <w:t xml:space="preserve">The diagrams are live.  </w:t>
      </w:r>
      <w:r>
        <w:rPr>
          <w:rFonts w:ascii="Segoe UI" w:hAnsi="Segoe UI" w:eastAsia="Segoe UI"/>
          <w:b w:val="0"/>
          <w:i w:val="0"/>
          <w:color w:val="1C2533"/>
          <w:sz w:val="22"/>
        </w:rPr>
        <w:t>the three figures in this document are also interactive, in docs/data-quality/diagrams. Open one in a browser to zoom, search it, or trace a single path.</w:t>
      </w:r>
    </w:p>
    <w:p>
      <w:pPr>
        <w:keepNext/>
        <w:spacing w:before="0" w:after="200"/>
      </w:pPr>
      <w:r>
        <w:br w:type="page"/>
      </w:r>
      <w:r>
        <w:rPr>
          <w:rFonts w:ascii="Segoe UI" w:hAnsi="Segoe UI" w:eastAsia="Segoe UI"/>
          <w:b/>
          <w:i w:val="0"/>
          <w:color w:val="96A1B2"/>
          <w:sz w:val="40"/>
        </w:rPr>
        <w:t xml:space="preserve">C   </w:t>
      </w:r>
      <w:r>
        <w:rPr>
          <w:rFonts w:ascii="Segoe UI" w:hAnsi="Segoe UI" w:eastAsia="Segoe UI"/>
          <w:b/>
          <w:i w:val="0"/>
          <w:color w:val="58657A"/>
          <w:sz w:val="40"/>
        </w:rPr>
        <w:t>Appendix — words you may hear</w:t>
      </w:r>
    </w:p>
    <w:tbl>
      <w:tblPr>
        <w:tblW w:type="auto" w:w="0"/>
        <w:jc w:val="left"/>
        <w:tblLayout w:type="fixed"/>
        <w:tblLook w:firstColumn="1" w:firstRow="1" w:lastColumn="0" w:lastRow="0" w:noHBand="0" w:noVBand="1" w:val="04A0"/>
        <w:tblInd w:w="1728" w:type="dxa"/>
      </w:tblPr>
      <w:tblGrid>
        <w:gridCol w:w="2592"/>
        <w:gridCol w:w="7344"/>
      </w:tblGrid>
      <w:tr>
        <w:trPr>
          <w:cantSplit/>
        </w:trPr>
        <w:tc>
          <w:tcPr>
            <w:tcW w:type="dxa" w:w="2592"/>
            <w:shd w:val="clear" w:color="auto" w:fill="F4F6F9"/>
            <w:tcBorders>
              <w:top w:val="single" w:sz="8" w:space="0" w:color="96A1B2"/>
              <w:left w:val="nil"/>
              <w:bottom w:val="single" w:sz="12" w:space="0" w:color="96A1B2"/>
              <w:right w:val="nil"/>
            </w:tcBorders>
            <w:tcMar>
              <w:top w:w="70" w:type="dxa"/>
              <w:start w:w="180" w:type="dxa"/>
              <w:bottom w:w="70" w:type="dxa"/>
              <w:end w:w="180" w:type="dxa"/>
            </w:tcMar>
          </w:tcPr>
          <w:p>
            <w:pPr>
              <w:keepNext/>
              <w:spacing w:after="0"/>
            </w:pPr>
            <w:r>
              <w:rPr>
                <w:rFonts w:ascii="Segoe UI" w:hAnsi="Segoe UI" w:eastAsia="Segoe UI"/>
                <w:b/>
                <w:i w:val="0"/>
                <w:color w:val="1C2533"/>
                <w:sz w:val="19"/>
              </w:rPr>
              <w:t>Word</w:t>
            </w:r>
          </w:p>
        </w:tc>
        <w:tc>
          <w:tcPr>
            <w:tcW w:type="dxa" w:w="7344"/>
            <w:shd w:val="clear" w:color="auto" w:fill="F4F6F9"/>
            <w:tcBorders>
              <w:top w:val="single" w:sz="8" w:space="0" w:color="96A1B2"/>
              <w:left w:val="nil"/>
              <w:bottom w:val="single" w:sz="12" w:space="0" w:color="96A1B2"/>
              <w:right w:val="nil"/>
            </w:tcBorders>
            <w:tcMar>
              <w:top w:w="70" w:type="dxa"/>
              <w:start w:w="180" w:type="dxa"/>
              <w:bottom w:w="70" w:type="dxa"/>
              <w:end w:w="180" w:type="dxa"/>
            </w:tcMar>
          </w:tcPr>
          <w:p>
            <w:pPr>
              <w:keepNext/>
              <w:spacing w:after="0"/>
            </w:pPr>
            <w:r>
              <w:rPr>
                <w:rFonts w:ascii="Segoe UI" w:hAnsi="Segoe UI" w:eastAsia="Segoe UI"/>
                <w:b/>
                <w:i w:val="0"/>
                <w:color w:val="1C2533"/>
                <w:sz w:val="19"/>
              </w:rPr>
              <w:t>What it actually means</w:t>
            </w:r>
          </w:p>
        </w:tc>
      </w:tr>
      <w:tr>
        <w:trPr>
          <w:cantSplit/>
        </w:trPr>
        <w:tc>
          <w:tcPr>
            <w:tcW w:type="dxa" w:w="259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9"/>
              </w:rPr>
              <w:t>Observation</w:t>
            </w:r>
          </w:p>
        </w:tc>
        <w:tc>
          <w:tcPr>
            <w:tcW w:type="dxa" w:w="734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9"/>
              </w:rPr>
              <w:t>One note the load wrote about something it noticed. The subject of this document.</w:t>
            </w:r>
          </w:p>
        </w:tc>
      </w:tr>
      <w:tr>
        <w:trPr>
          <w:cantSplit/>
        </w:trPr>
        <w:tc>
          <w:tcPr>
            <w:tcW w:type="dxa" w:w="259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9"/>
              </w:rPr>
              <w:t>Severity</w:t>
            </w:r>
          </w:p>
        </w:tc>
        <w:tc>
          <w:tcPr>
            <w:tcW w:type="dxa" w:w="734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9"/>
              </w:rPr>
              <w:t>How hard to look: Info, Warning, or Error.</w:t>
            </w:r>
          </w:p>
        </w:tc>
      </w:tr>
      <w:tr>
        <w:trPr>
          <w:cantSplit/>
        </w:trPr>
        <w:tc>
          <w:tcPr>
            <w:tcW w:type="dxa" w:w="259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9"/>
              </w:rPr>
              <w:t>Run</w:t>
            </w:r>
          </w:p>
        </w:tc>
        <w:tc>
          <w:tcPr>
            <w:tcW w:type="dxa" w:w="734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9"/>
              </w:rPr>
              <w:t>One night's work. Everything the load did between starting and stopping.</w:t>
            </w:r>
          </w:p>
        </w:tc>
      </w:tr>
      <w:tr>
        <w:trPr>
          <w:cantSplit/>
        </w:trPr>
        <w:tc>
          <w:tcPr>
            <w:tcW w:type="dxa" w:w="259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9"/>
              </w:rPr>
              <w:t>Handler</w:t>
            </w:r>
          </w:p>
        </w:tc>
        <w:tc>
          <w:tcPr>
            <w:tcW w:type="dxa" w:w="734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9"/>
              </w:rPr>
              <w:t>EPA's word for a regulated business or site.</w:t>
            </w:r>
          </w:p>
        </w:tc>
      </w:tr>
      <w:tr>
        <w:trPr>
          <w:cantSplit/>
        </w:trPr>
        <w:tc>
          <w:tcPr>
            <w:tcW w:type="dxa" w:w="259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9"/>
              </w:rPr>
              <w:t>Version</w:t>
            </w:r>
          </w:p>
        </w:tc>
        <w:tc>
          <w:tcPr>
            <w:tcW w:type="dxa" w:w="734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9"/>
              </w:rPr>
              <w:t>One copy of a handler's record as EPA received it. A handler has many, over the years.</w:t>
            </w:r>
          </w:p>
        </w:tc>
      </w:tr>
      <w:tr>
        <w:trPr>
          <w:cantSplit/>
        </w:trPr>
        <w:tc>
          <w:tcPr>
            <w:tcW w:type="dxa" w:w="259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9"/>
              </w:rPr>
              <w:t>Current version</w:t>
            </w:r>
          </w:p>
        </w:tc>
        <w:tc>
          <w:tcPr>
            <w:tcW w:type="dxa" w:w="734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9"/>
              </w:rPr>
              <w:t>The one version EPA says describes the handler today. There should be exactly one.</w:t>
            </w:r>
          </w:p>
        </w:tc>
      </w:tr>
      <w:tr>
        <w:trPr>
          <w:cantSplit/>
        </w:trPr>
        <w:tc>
          <w:tcPr>
            <w:tcW w:type="dxa" w:w="259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9"/>
              </w:rPr>
              <w:t>Reconcile</w:t>
            </w:r>
          </w:p>
        </w:tc>
        <w:tc>
          <w:tcPr>
            <w:tcW w:type="dxa" w:w="734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9"/>
              </w:rPr>
              <w:t>Fetch a handler's list of versions from EPA again and settle which one is current. The usual fix.</w:t>
            </w:r>
          </w:p>
        </w:tc>
      </w:tr>
      <w:tr>
        <w:trPr>
          <w:cantSplit/>
        </w:trPr>
        <w:tc>
          <w:tcPr>
            <w:tcW w:type="dxa" w:w="259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9"/>
              </w:rPr>
              <w:t>Code list (lookup)</w:t>
            </w:r>
          </w:p>
        </w:tc>
        <w:tc>
          <w:tcPr>
            <w:tcW w:type="dxa" w:w="734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9"/>
              </w:rPr>
              <w:t>One of EPA's published lists of allowed codes. We mirror about two dozen of them.</w:t>
            </w:r>
          </w:p>
        </w:tc>
      </w:tr>
      <w:tr>
        <w:trPr>
          <w:cantSplit/>
        </w:trPr>
        <w:tc>
          <w:tcPr>
            <w:tcW w:type="dxa" w:w="259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9"/>
              </w:rPr>
              <w:t>Retired</w:t>
            </w:r>
          </w:p>
        </w:tc>
        <w:tc>
          <w:tcPr>
            <w:tcW w:type="dxa" w:w="734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9"/>
              </w:rPr>
              <w:t>A code EPA no longer publishes. Kept, because older records still need it. Not the same as inactive.</w:t>
            </w:r>
          </w:p>
        </w:tc>
      </w:tr>
      <w:tr>
        <w:trPr>
          <w:cantSplit/>
        </w:trPr>
        <w:tc>
          <w:tcPr>
            <w:tcW w:type="dxa" w:w="259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9"/>
              </w:rPr>
              <w:t>Soft delete</w:t>
            </w:r>
          </w:p>
        </w:tc>
        <w:tc>
          <w:tcPr>
            <w:tcW w:type="dxa" w:w="734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9"/>
              </w:rPr>
              <w:t>Marking a row deleted while keeping it. The only kind of delete this database has.</w:t>
            </w:r>
          </w:p>
        </w:tc>
      </w:tr>
      <w:tr>
        <w:trPr>
          <w:cantSplit/>
        </w:trPr>
        <w:tc>
          <w:tcPr>
            <w:tcW w:type="dxa" w:w="259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19"/>
              </w:rPr>
              <w:t>Stranded row</w:t>
            </w:r>
          </w:p>
        </w:tc>
        <w:tc>
          <w:tcPr>
            <w:tcW w:type="dxa" w:w="734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19"/>
              </w:rPr>
              <w:t>A handler a run listed and never finished. Marked failed so the next run collects it.</w:t>
            </w:r>
          </w:p>
        </w:tc>
      </w:tr>
      <w:tr>
        <w:trPr>
          <w:cantSplit/>
        </w:trPr>
        <w:tc>
          <w:tcPr>
            <w:tcW w:type="dxa" w:w="2592"/>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i w:val="0"/>
                <w:color w:val="1C2533"/>
                <w:sz w:val="19"/>
              </w:rPr>
              <w:t>Mirror</w:t>
            </w:r>
          </w:p>
        </w:tc>
        <w:tc>
          <w:tcPr>
            <w:tcW w:type="dxa" w:w="7344"/>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val="0"/>
                <w:i w:val="0"/>
                <w:color w:val="1C2533"/>
                <w:sz w:val="19"/>
              </w:rPr>
              <w:t>Our copy of EPA's data. When a note says the mirror, it means our database, not EPA's.</w:t>
            </w:r>
          </w:p>
        </w:tc>
      </w:tr>
    </w:tbl>
    <w:p>
      <w:pPr>
        <w:spacing w:before="0" w:after="160"/>
      </w:pPr>
      <w:r>
        <w:rPr>
          <w:rFonts w:ascii="Segoe UI" w:hAnsi="Segoe UI" w:eastAsia="Segoe UI"/>
          <w:b w:val="0"/>
          <w:i w:val="0"/>
          <w:color w:val="1C2533"/>
          <w:sz w:val="2"/>
        </w:rPr>
      </w:r>
    </w:p>
    <w:tbl>
      <w:tblPr>
        <w:tblW w:type="auto" w:w="0"/>
        <w:jc w:val="left"/>
        <w:tblLayout w:type="fixed"/>
        <w:tblLook w:firstColumn="1" w:firstRow="1" w:lastColumn="0" w:lastRow="0" w:noHBand="0" w:noVBand="1" w:val="04A0"/>
        <w:tblInd w:w="1728" w:type="dxa"/>
      </w:tblPr>
      <w:tblGrid>
        <w:gridCol w:w="9936"/>
      </w:tblGrid>
      <w:tr>
        <w:trPr>
          <w:cantSplit/>
        </w:trPr>
        <w:tc>
          <w:tcPr>
            <w:tcW w:type="dxa" w:w="9936"/>
            <w:shd w:val="clear" w:color="auto" w:fill="F4F6F9"/>
            <w:tcBorders>
              <w:top w:val="single" w:sz="6" w:space="0" w:color="96A1B2"/>
              <w:left w:val="single" w:sz="36" w:space="0" w:color="96A1B2"/>
              <w:bottom w:val="single" w:sz="6" w:space="0" w:color="96A1B2"/>
              <w:right w:val="single" w:sz="6" w:space="0" w:color="96A1B2"/>
            </w:tcBorders>
            <w:tcMar>
              <w:top w:w="140" w:type="dxa"/>
              <w:start w:w="200" w:type="dxa"/>
              <w:bottom w:w="140" w:type="dxa"/>
              <w:end w:w="200" w:type="dxa"/>
            </w:tcMar>
          </w:tcPr>
          <w:p>
            <w:pPr>
              <w:spacing w:after="80"/>
            </w:pPr>
            <w:r>
              <w:rPr>
                <w:rFonts w:ascii="Segoe UI" w:hAnsi="Segoe UI" w:eastAsia="Segoe UI"/>
                <w:b/>
                <w:i w:val="0"/>
                <w:color w:val="58657A"/>
                <w:sz w:val="24"/>
              </w:rPr>
              <w:t>Where the exact detail lives</w:t>
            </w:r>
          </w:p>
          <w:p>
            <w:pPr>
              <w:spacing w:after="0"/>
            </w:pPr>
            <w:r>
              <w:rPr>
                <w:rFonts w:ascii="Segoe UI" w:hAnsi="Segoe UI" w:eastAsia="Segoe UI"/>
                <w:b w:val="0"/>
                <w:i w:val="0"/>
                <w:color w:val="1C2533"/>
                <w:sz w:val="22"/>
              </w:rPr>
              <w:t>This document is deliberately simplified, and nothing in it is untrue. For the precise definitions, the reasoning behind each decision, and the full text the load writes, the source is the database scripts themselves and Phase1-Analysis.md.</w:t>
            </w:r>
          </w:p>
        </w:tc>
      </w:tr>
    </w:tbl>
    <w:p>
      <w:pPr>
        <w:spacing w:before="0" w:after="120"/>
      </w:pPr>
      <w:r>
        <w:rPr>
          <w:rFonts w:ascii="Segoe UI" w:hAnsi="Segoe UI" w:eastAsia="Segoe UI"/>
          <w:b w:val="0"/>
          <w:i w:val="0"/>
          <w:color w:val="1C2533"/>
          <w:sz w:val="2"/>
        </w:rPr>
      </w:r>
    </w:p>
    <w:sectPr w:rsidR="00FC693F" w:rsidRPr="0006063C" w:rsidSect="00034616">
      <w:footerReference w:type="default" r:id="rId9"/>
      <w:pgSz w:w="15840" w:h="12240" w:orient="landscape"/>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b w:val="0"/>
        <w:i w:val="0"/>
        <w:color w:val="58657A"/>
        <w:sz w:val="18"/>
      </w:rPr>
      <w:t>Data Quality Observations — Explained Simply   ·   MDE Phase 1   ·   September 8,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