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71A" w:rsidRPr="00AF5EAC" w:rsidRDefault="0067071A">
      <w:pPr>
        <w:rPr>
          <w:rFonts w:ascii="Cambria" w:eastAsia="Times New Roman" w:hAnsi="Cambria" w:cs="Times New Roman"/>
          <w:b/>
          <w:bCs/>
          <w:color w:val="1F4E79" w:themeColor="accent5" w:themeShade="80"/>
          <w:sz w:val="32"/>
          <w:szCs w:val="32"/>
        </w:rPr>
      </w:pPr>
      <w:r w:rsidRPr="00AF5EAC">
        <w:rPr>
          <w:rFonts w:ascii="Cambria" w:eastAsia="Times New Roman" w:hAnsi="Cambria" w:cs="Times New Roman"/>
          <w:b/>
          <w:bCs/>
          <w:color w:val="1F4E79" w:themeColor="accent5" w:themeShade="80"/>
          <w:sz w:val="32"/>
          <w:szCs w:val="32"/>
        </w:rPr>
        <w:t xml:space="preserve">                    </w:t>
      </w:r>
      <w:r w:rsidR="00AF5EAC">
        <w:rPr>
          <w:rFonts w:ascii="Cambria" w:eastAsia="Times New Roman" w:hAnsi="Cambria" w:cs="Times New Roman"/>
          <w:b/>
          <w:bCs/>
          <w:color w:val="1F4E79" w:themeColor="accent5" w:themeShade="80"/>
          <w:sz w:val="32"/>
          <w:szCs w:val="32"/>
        </w:rPr>
        <w:t xml:space="preserve">                     </w:t>
      </w:r>
      <w:r w:rsidRPr="00AF5EAC">
        <w:rPr>
          <w:rFonts w:ascii="Cambria" w:eastAsia="Times New Roman" w:hAnsi="Cambria" w:cs="Times New Roman"/>
          <w:b/>
          <w:bCs/>
          <w:color w:val="1F4E79" w:themeColor="accent5" w:themeShade="80"/>
          <w:sz w:val="32"/>
          <w:szCs w:val="32"/>
        </w:rPr>
        <w:t xml:space="preserve">SURVIVAL ANALYSIS USING </w:t>
      </w:r>
    </w:p>
    <w:p w:rsidR="00F07A22" w:rsidRPr="00AF5EAC" w:rsidRDefault="0067071A">
      <w:pPr>
        <w:rPr>
          <w:rFonts w:ascii="Cambria" w:eastAsia="Times New Roman" w:hAnsi="Cambria" w:cs="Times New Roman"/>
          <w:b/>
          <w:bCs/>
          <w:color w:val="1F4E79" w:themeColor="accent5" w:themeShade="80"/>
          <w:sz w:val="32"/>
          <w:szCs w:val="32"/>
        </w:rPr>
      </w:pPr>
      <w:r w:rsidRPr="00AF5EAC">
        <w:rPr>
          <w:rFonts w:ascii="Cambria" w:eastAsia="Times New Roman" w:hAnsi="Cambria" w:cs="Times New Roman"/>
          <w:b/>
          <w:bCs/>
          <w:color w:val="1F4E79" w:themeColor="accent5" w:themeShade="80"/>
          <w:sz w:val="32"/>
          <w:szCs w:val="32"/>
        </w:rPr>
        <w:t xml:space="preserve">           </w:t>
      </w:r>
      <w:r w:rsidR="00AF5EAC">
        <w:rPr>
          <w:rFonts w:ascii="Cambria" w:eastAsia="Times New Roman" w:hAnsi="Cambria" w:cs="Times New Roman"/>
          <w:b/>
          <w:bCs/>
          <w:color w:val="1F4E79" w:themeColor="accent5" w:themeShade="80"/>
          <w:sz w:val="32"/>
          <w:szCs w:val="32"/>
        </w:rPr>
        <w:t xml:space="preserve">                   </w:t>
      </w:r>
      <w:r w:rsidRPr="00AF5EAC">
        <w:rPr>
          <w:rFonts w:ascii="Cambria" w:eastAsia="Times New Roman" w:hAnsi="Cambria" w:cs="Times New Roman"/>
          <w:b/>
          <w:bCs/>
          <w:color w:val="1F4E79" w:themeColor="accent5" w:themeShade="80"/>
          <w:sz w:val="32"/>
          <w:szCs w:val="32"/>
        </w:rPr>
        <w:t>COX PROPORTIONAL-HAZARDS MODEL</w:t>
      </w:r>
    </w:p>
    <w:p w:rsidR="00AE579E" w:rsidRDefault="00AE579E">
      <w:pPr>
        <w:rPr>
          <w:rFonts w:ascii="Rockwell Condensed" w:hAnsi="Rockwell Condensed" w:cs="Rockwell Condensed"/>
          <w:b/>
          <w:bCs/>
          <w:color w:val="2E74B5" w:themeColor="accent5" w:themeShade="BF"/>
        </w:rPr>
      </w:pPr>
    </w:p>
    <w:p w:rsidR="00AE579E" w:rsidRDefault="00AE579E">
      <w:pPr>
        <w:rPr>
          <w:rFonts w:ascii="Rockwell Condensed" w:hAnsi="Rockwell Condensed" w:cs="Rockwell Condensed"/>
          <w:b/>
          <w:bCs/>
          <w:color w:val="2E74B5" w:themeColor="accent5" w:themeShade="BF"/>
        </w:rPr>
      </w:pPr>
    </w:p>
    <w:p w:rsidR="00AE579E" w:rsidRDefault="00AE579E">
      <w:pPr>
        <w:rPr>
          <w:rFonts w:ascii="Rockwell Condensed" w:hAnsi="Rockwell Condensed" w:cs="Rockwell Condensed"/>
          <w:b/>
          <w:bCs/>
          <w:color w:val="2E74B5" w:themeColor="accent5" w:themeShade="BF"/>
        </w:rPr>
      </w:pPr>
    </w:p>
    <w:p w:rsidR="00AE579E" w:rsidRDefault="00CA7831">
      <w:pPr>
        <w:rPr>
          <w:rFonts w:ascii="Cambria" w:eastAsia="Times New Roman" w:hAnsi="Cambria" w:cs="Times New Roman"/>
          <w:b/>
          <w:bCs/>
          <w:color w:val="1F4E79" w:themeColor="accent5" w:themeShade="80"/>
          <w:sz w:val="28"/>
          <w:szCs w:val="28"/>
        </w:rPr>
      </w:pPr>
      <w:r w:rsidRPr="00CA7831">
        <w:rPr>
          <w:rFonts w:ascii="Cambria" w:eastAsia="Times New Roman" w:hAnsi="Cambria" w:cs="Times New Roman"/>
          <w:b/>
          <w:bCs/>
          <w:color w:val="1F4E79" w:themeColor="accent5" w:themeShade="80"/>
          <w:sz w:val="28"/>
          <w:szCs w:val="28"/>
        </w:rPr>
        <w:t>Graphical Representation of Features of Dataset</w:t>
      </w:r>
      <w:r w:rsidR="00C30CB0">
        <w:rPr>
          <w:rFonts w:ascii="Cambria" w:eastAsia="Times New Roman" w:hAnsi="Cambria" w:cs="Times New Roman"/>
          <w:b/>
          <w:bCs/>
          <w:color w:val="1F4E79" w:themeColor="accent5" w:themeShade="80"/>
          <w:sz w:val="28"/>
          <w:szCs w:val="28"/>
        </w:rPr>
        <w:t xml:space="preserve"> in percentage</w:t>
      </w:r>
      <w:r w:rsidRPr="00CA7831">
        <w:rPr>
          <w:rFonts w:ascii="Cambria" w:eastAsia="Times New Roman" w:hAnsi="Cambria" w:cs="Times New Roman"/>
          <w:b/>
          <w:bCs/>
          <w:color w:val="1F4E79" w:themeColor="accent5" w:themeShade="80"/>
          <w:sz w:val="28"/>
          <w:szCs w:val="28"/>
        </w:rPr>
        <w:t>:</w:t>
      </w:r>
    </w:p>
    <w:p w:rsidR="00C30CB0" w:rsidRDefault="00C30CB0">
      <w:pPr>
        <w:rPr>
          <w:rFonts w:ascii="Cambria" w:eastAsia="Times New Roman" w:hAnsi="Cambria" w:cs="Times New Roman"/>
          <w:b/>
          <w:bCs/>
          <w:color w:val="1F4E79" w:themeColor="accent5" w:themeShade="80"/>
          <w:sz w:val="28"/>
          <w:szCs w:val="28"/>
        </w:rPr>
      </w:pPr>
    </w:p>
    <w:p w:rsidR="00C30CB0" w:rsidRPr="00CA7831" w:rsidRDefault="00C30CB0">
      <w:pPr>
        <w:rPr>
          <w:rFonts w:ascii="Cambria" w:eastAsia="Times New Roman" w:hAnsi="Cambria" w:cs="Times New Roman"/>
          <w:b/>
          <w:bCs/>
          <w:color w:val="1F4E79" w:themeColor="accent5" w:themeShade="80"/>
          <w:sz w:val="28"/>
          <w:szCs w:val="28"/>
        </w:rPr>
      </w:pPr>
    </w:p>
    <w:p w:rsidR="00CA7831" w:rsidRDefault="002E6119">
      <w:pPr>
        <w:rPr>
          <w:rFonts w:ascii="Cambria" w:eastAsia="Times New Roman" w:hAnsi="Cambria" w:cs="Times New Roman"/>
          <w:b/>
          <w:bCs/>
          <w:color w:val="1F4E79" w:themeColor="accent5" w:themeShade="80"/>
          <w:sz w:val="28"/>
          <w:szCs w:val="28"/>
        </w:rPr>
      </w:pPr>
      <w:r w:rsidRPr="00280019">
        <w:rPr>
          <w:rFonts w:ascii="Cambria" w:eastAsia="Times New Roman" w:hAnsi="Cambria" w:cs="Times New Roman"/>
          <w:b/>
          <w:bCs/>
          <w:color w:val="1F4E79" w:themeColor="accent5" w:themeShade="80"/>
          <w:sz w:val="28"/>
          <w:szCs w:val="28"/>
        </w:rPr>
        <w:drawing>
          <wp:anchor distT="0" distB="0" distL="114300" distR="114300" simplePos="0" relativeHeight="251659264" behindDoc="0" locked="0" layoutInCell="1" allowOverlap="1" wp14:anchorId="1576D0CC">
            <wp:simplePos x="0" y="0"/>
            <wp:positionH relativeFrom="column">
              <wp:posOffset>4445</wp:posOffset>
            </wp:positionH>
            <wp:positionV relativeFrom="paragraph">
              <wp:posOffset>211455</wp:posOffset>
            </wp:positionV>
            <wp:extent cx="3110230" cy="2607945"/>
            <wp:effectExtent l="0" t="0" r="1270" b="0"/>
            <wp:wrapSquare wrapText="bothSides"/>
            <wp:docPr id="3" name="Picture 4">
              <a:extLst xmlns:a="http://schemas.openxmlformats.org/drawingml/2006/main">
                <a:ext uri="{FF2B5EF4-FFF2-40B4-BE49-F238E27FC236}">
                  <a16:creationId xmlns:a16="http://schemas.microsoft.com/office/drawing/2014/main" id="{EE39EB3F-C06B-A240-A895-C9937136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39EB3F-C06B-A240-A895-C9937136F17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10230" cy="2607945"/>
                    </a:xfrm>
                    <a:prstGeom prst="rect">
                      <a:avLst/>
                    </a:prstGeom>
                  </pic:spPr>
                </pic:pic>
              </a:graphicData>
            </a:graphic>
            <wp14:sizeRelH relativeFrom="margin">
              <wp14:pctWidth>0</wp14:pctWidth>
            </wp14:sizeRelH>
          </wp:anchor>
        </w:drawing>
      </w:r>
      <w:r>
        <w:rPr>
          <w:rFonts w:ascii="Cambria" w:eastAsia="Times New Roman" w:hAnsi="Cambria" w:cs="Times New Roman"/>
          <w:b/>
          <w:bCs/>
          <w:color w:val="1F4E79" w:themeColor="accent5" w:themeShade="80"/>
          <w:sz w:val="28"/>
          <w:szCs w:val="28"/>
        </w:rPr>
        <w:t xml:space="preserve">       </w:t>
      </w:r>
      <w:r w:rsidR="00C30CB0">
        <w:rPr>
          <w:rFonts w:ascii="Cambria" w:eastAsia="Times New Roman" w:hAnsi="Cambria" w:cs="Times New Roman"/>
          <w:b/>
          <w:bCs/>
          <w:color w:val="1F4E79" w:themeColor="accent5" w:themeShade="80"/>
          <w:sz w:val="28"/>
          <w:szCs w:val="28"/>
        </w:rPr>
        <w:t>Distribution of Sex                                         Distribution of Status.</w:t>
      </w:r>
      <w:r>
        <w:rPr>
          <w:rFonts w:ascii="Cambria" w:eastAsia="Times New Roman" w:hAnsi="Cambria" w:cs="Times New Roman"/>
          <w:b/>
          <w:bCs/>
          <w:color w:val="1F4E79" w:themeColor="accent5" w:themeShade="80"/>
          <w:sz w:val="28"/>
          <w:szCs w:val="28"/>
        </w:rPr>
        <w:t xml:space="preserve">                                                    </w:t>
      </w:r>
    </w:p>
    <w:p w:rsidR="002E6119" w:rsidRDefault="002E6119">
      <w:pPr>
        <w:rPr>
          <w:rFonts w:ascii="Cambria" w:eastAsia="Times New Roman" w:hAnsi="Cambria" w:cs="Times New Roman"/>
          <w:b/>
          <w:bCs/>
          <w:color w:val="1F4E79" w:themeColor="accent5" w:themeShade="80"/>
          <w:sz w:val="28"/>
          <w:szCs w:val="28"/>
        </w:rPr>
      </w:pPr>
      <w:r w:rsidRPr="002E6119">
        <w:rPr>
          <w:rFonts w:ascii="Cambria" w:eastAsia="Times New Roman" w:hAnsi="Cambria" w:cs="Times New Roman"/>
          <w:b/>
          <w:bCs/>
          <w:color w:val="1F4E79" w:themeColor="accent5" w:themeShade="80"/>
          <w:sz w:val="28"/>
          <w:szCs w:val="28"/>
        </w:rPr>
        <w:drawing>
          <wp:inline distT="0" distB="0" distL="0" distR="0" wp14:anchorId="19A4A894" wp14:editId="31ADDC36">
            <wp:extent cx="2985135" cy="2456329"/>
            <wp:effectExtent l="0" t="0" r="0" b="0"/>
            <wp:docPr id="6" name="Picture 2">
              <a:extLst xmlns:a="http://schemas.openxmlformats.org/drawingml/2006/main">
                <a:ext uri="{FF2B5EF4-FFF2-40B4-BE49-F238E27FC236}">
                  <a16:creationId xmlns:a16="http://schemas.microsoft.com/office/drawing/2014/main" id="{547B6461-E518-3143-B413-F1A7535C61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47B6461-E518-3143-B413-F1A7535C61D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06642" cy="2474026"/>
                    </a:xfrm>
                    <a:prstGeom prst="rect">
                      <a:avLst/>
                    </a:prstGeom>
                  </pic:spPr>
                </pic:pic>
              </a:graphicData>
            </a:graphic>
          </wp:inline>
        </w:drawing>
      </w:r>
    </w:p>
    <w:p w:rsidR="00830EAE" w:rsidRPr="00830EAE" w:rsidRDefault="002E6119" w:rsidP="00830EAE">
      <w:pPr>
        <w:rPr>
          <w:rFonts w:ascii="Cambria" w:eastAsia="Times New Roman" w:hAnsi="Cambria" w:cs="Times New Roman"/>
          <w:b/>
          <w:bCs/>
          <w:color w:val="1F4E79" w:themeColor="accent5" w:themeShade="80"/>
          <w:sz w:val="16"/>
          <w:szCs w:val="16"/>
        </w:rPr>
      </w:pPr>
      <w:r>
        <w:rPr>
          <w:rFonts w:ascii="Cambria" w:eastAsia="Times New Roman" w:hAnsi="Cambria" w:cs="Times New Roman"/>
          <w:b/>
          <w:bCs/>
          <w:color w:val="1F4E79" w:themeColor="accent5" w:themeShade="80"/>
          <w:sz w:val="28"/>
          <w:szCs w:val="28"/>
        </w:rPr>
        <w:tab/>
      </w:r>
      <w:r>
        <w:rPr>
          <w:rFonts w:ascii="Cambria" w:eastAsia="Times New Roman" w:hAnsi="Cambria" w:cs="Times New Roman"/>
          <w:b/>
          <w:bCs/>
          <w:color w:val="1F4E79" w:themeColor="accent5" w:themeShade="80"/>
          <w:sz w:val="28"/>
          <w:szCs w:val="28"/>
        </w:rPr>
        <w:br w:type="textWrapping" w:clear="all"/>
      </w:r>
      <w:r w:rsidR="00830EAE">
        <w:rPr>
          <w:rFonts w:ascii="Cambria" w:eastAsia="Times New Roman" w:hAnsi="Cambria" w:cs="Times New Roman"/>
          <w:b/>
          <w:bCs/>
          <w:color w:val="1F4E79" w:themeColor="accent5" w:themeShade="80"/>
          <w:sz w:val="28"/>
          <w:szCs w:val="28"/>
        </w:rPr>
        <w:t xml:space="preserve">                              </w:t>
      </w:r>
      <w:r w:rsidR="00830EAE" w:rsidRPr="00830EAE">
        <w:rPr>
          <w:rFonts w:ascii="Cambria" w:eastAsia="Times New Roman" w:hAnsi="Cambria" w:cs="Times New Roman"/>
          <w:b/>
          <w:bCs/>
          <w:color w:val="1F4E79" w:themeColor="accent5" w:themeShade="80"/>
          <w:sz w:val="16"/>
          <w:szCs w:val="16"/>
        </w:rPr>
        <w:t>1=Male</w:t>
      </w:r>
      <w:r w:rsidR="00830EAE" w:rsidRPr="00830EAE">
        <w:rPr>
          <w:rFonts w:ascii="Cambria" w:eastAsia="Times New Roman" w:hAnsi="Cambria" w:cs="Times New Roman"/>
          <w:b/>
          <w:bCs/>
          <w:color w:val="1F4E79" w:themeColor="accent5" w:themeShade="80"/>
          <w:sz w:val="16"/>
          <w:szCs w:val="16"/>
        </w:rPr>
        <w:t>,</w:t>
      </w:r>
      <w:r w:rsidR="00830EAE" w:rsidRPr="00830EAE">
        <w:rPr>
          <w:rFonts w:ascii="Cambria" w:eastAsia="Times New Roman" w:hAnsi="Cambria" w:cs="Times New Roman"/>
          <w:b/>
          <w:bCs/>
          <w:color w:val="1F4E79" w:themeColor="accent5" w:themeShade="80"/>
          <w:sz w:val="16"/>
          <w:szCs w:val="16"/>
        </w:rPr>
        <w:t>2=Female</w:t>
      </w:r>
      <w:r w:rsidR="003F35ED">
        <w:rPr>
          <w:rFonts w:ascii="Cambria" w:eastAsia="Times New Roman" w:hAnsi="Cambria" w:cs="Times New Roman"/>
          <w:b/>
          <w:bCs/>
          <w:color w:val="1F4E79" w:themeColor="accent5" w:themeShade="80"/>
          <w:sz w:val="16"/>
          <w:szCs w:val="16"/>
        </w:rPr>
        <w:t xml:space="preserve">                                    </w:t>
      </w:r>
      <w:r w:rsidR="00403A70">
        <w:rPr>
          <w:rFonts w:ascii="Cambria" w:eastAsia="Times New Roman" w:hAnsi="Cambria" w:cs="Times New Roman"/>
          <w:b/>
          <w:bCs/>
          <w:color w:val="1F4E79" w:themeColor="accent5" w:themeShade="80"/>
          <w:sz w:val="16"/>
          <w:szCs w:val="16"/>
        </w:rPr>
        <w:t xml:space="preserve">                               </w:t>
      </w:r>
      <w:r w:rsidR="00126DA1">
        <w:rPr>
          <w:rFonts w:ascii="Cambria" w:eastAsia="Times New Roman" w:hAnsi="Cambria" w:cs="Times New Roman"/>
          <w:b/>
          <w:bCs/>
          <w:color w:val="1F4E79" w:themeColor="accent5" w:themeShade="80"/>
          <w:sz w:val="16"/>
          <w:szCs w:val="16"/>
        </w:rPr>
        <w:t xml:space="preserve">                           </w:t>
      </w:r>
      <w:r w:rsidR="00403A70">
        <w:rPr>
          <w:rFonts w:ascii="Cambria" w:eastAsia="Times New Roman" w:hAnsi="Cambria" w:cs="Times New Roman"/>
          <w:b/>
          <w:bCs/>
          <w:color w:val="1F4E79" w:themeColor="accent5" w:themeShade="80"/>
          <w:sz w:val="16"/>
          <w:szCs w:val="16"/>
        </w:rPr>
        <w:t>1=</w:t>
      </w:r>
      <w:r w:rsidR="00403A70">
        <w:rPr>
          <w:rFonts w:ascii="Cambria" w:eastAsia="Times New Roman" w:hAnsi="Cambria" w:cs="Times New Roman"/>
          <w:b/>
          <w:bCs/>
          <w:color w:val="1F4E79" w:themeColor="accent5" w:themeShade="80"/>
          <w:sz w:val="16"/>
          <w:szCs w:val="16"/>
        </w:rPr>
        <w:t>Dead</w:t>
      </w:r>
      <w:r w:rsidR="00403A70">
        <w:rPr>
          <w:rFonts w:ascii="Cambria" w:eastAsia="Times New Roman" w:hAnsi="Cambria" w:cs="Times New Roman"/>
          <w:b/>
          <w:bCs/>
          <w:color w:val="1F4E79" w:themeColor="accent5" w:themeShade="80"/>
          <w:sz w:val="16"/>
          <w:szCs w:val="16"/>
        </w:rPr>
        <w:t xml:space="preserve"> ,2=Censored</w:t>
      </w:r>
    </w:p>
    <w:p w:rsidR="00CA7831" w:rsidRDefault="00CA7831" w:rsidP="002E6119">
      <w:pPr>
        <w:tabs>
          <w:tab w:val="left" w:pos="1708"/>
        </w:tabs>
        <w:rPr>
          <w:rFonts w:ascii="Cambria" w:eastAsia="Times New Roman" w:hAnsi="Cambria" w:cs="Times New Roman"/>
          <w:b/>
          <w:bCs/>
          <w:color w:val="1F4E79" w:themeColor="accent5" w:themeShade="80"/>
          <w:sz w:val="28"/>
          <w:szCs w:val="28"/>
        </w:rPr>
      </w:pPr>
    </w:p>
    <w:p w:rsidR="00CA7831" w:rsidRDefault="00CA7831">
      <w:pPr>
        <w:rPr>
          <w:rFonts w:ascii="Cambria" w:eastAsia="Times New Roman" w:hAnsi="Cambria" w:cs="Times New Roman"/>
          <w:b/>
          <w:bCs/>
          <w:color w:val="1F4E79" w:themeColor="accent5" w:themeShade="80"/>
          <w:sz w:val="28"/>
          <w:szCs w:val="28"/>
        </w:rPr>
      </w:pPr>
    </w:p>
    <w:p w:rsidR="00CA7831" w:rsidRDefault="00CA7831">
      <w:pPr>
        <w:rPr>
          <w:rFonts w:ascii="Cambria" w:eastAsia="Times New Roman" w:hAnsi="Cambria" w:cs="Times New Roman"/>
          <w:b/>
          <w:bCs/>
          <w:color w:val="1F4E79" w:themeColor="accent5" w:themeShade="80"/>
          <w:sz w:val="28"/>
          <w:szCs w:val="28"/>
        </w:rPr>
      </w:pPr>
    </w:p>
    <w:p w:rsidR="002F0596" w:rsidRPr="0052401E" w:rsidRDefault="008F04E9">
      <w:pPr>
        <w:rPr>
          <w:rFonts w:ascii="Rockwell Condensed" w:hAnsi="Rockwell Condensed" w:cs="Rockwell Condensed"/>
          <w:b/>
          <w:bCs/>
          <w:color w:val="2E74B5" w:themeColor="accent5" w:themeShade="BF"/>
          <w:sz w:val="28"/>
          <w:szCs w:val="28"/>
        </w:rPr>
      </w:pPr>
      <w:r w:rsidRPr="0052401E">
        <w:rPr>
          <w:rFonts w:ascii="Cambria" w:eastAsia="Times New Roman" w:hAnsi="Cambria" w:cs="Times New Roman"/>
          <w:b/>
          <w:bCs/>
          <w:color w:val="1F4E79" w:themeColor="accent5" w:themeShade="80"/>
          <w:sz w:val="28"/>
          <w:szCs w:val="28"/>
        </w:rPr>
        <w:t>Cox Proportional-Hazards Model</w:t>
      </w:r>
      <w:r w:rsidR="00AE579E" w:rsidRPr="0052401E">
        <w:rPr>
          <w:rFonts w:ascii="Cambria" w:eastAsia="Times New Roman" w:hAnsi="Cambria" w:cs="Times New Roman"/>
          <w:b/>
          <w:bCs/>
          <w:color w:val="1F4E79" w:themeColor="accent5" w:themeShade="80"/>
          <w:sz w:val="28"/>
          <w:szCs w:val="28"/>
        </w:rPr>
        <w:t>:</w:t>
      </w:r>
      <w:r w:rsidR="00AE579E" w:rsidRPr="0052401E">
        <w:rPr>
          <w:rFonts w:ascii="Rockwell Condensed" w:hAnsi="Rockwell Condensed" w:cs="Rockwell Condensed"/>
          <w:b/>
          <w:bCs/>
          <w:color w:val="2E74B5" w:themeColor="accent5" w:themeShade="BF"/>
          <w:sz w:val="28"/>
          <w:szCs w:val="28"/>
        </w:rPr>
        <w:br/>
      </w:r>
    </w:p>
    <w:p w:rsidR="00320CAD" w:rsidRDefault="00320CAD" w:rsidP="00320CAD">
      <w:pPr>
        <w:rPr>
          <w:rFonts w:ascii="Arial" w:eastAsia="Times New Roman" w:hAnsi="Arial" w:cs="Arial"/>
          <w:color w:val="021B34"/>
          <w:sz w:val="20"/>
          <w:szCs w:val="20"/>
          <w:shd w:val="clear" w:color="auto" w:fill="FFFFFF"/>
        </w:rPr>
      </w:pPr>
      <w:r w:rsidRPr="00320CAD">
        <w:rPr>
          <w:rFonts w:ascii="Arial" w:eastAsia="Times New Roman" w:hAnsi="Arial" w:cs="Arial"/>
          <w:color w:val="021B34"/>
          <w:sz w:val="20"/>
          <w:szCs w:val="20"/>
          <w:shd w:val="clear" w:color="auto" w:fill="FFFFFF"/>
        </w:rPr>
        <w:t>The </w:t>
      </w:r>
      <w:r w:rsidRPr="00320CAD">
        <w:rPr>
          <w:rFonts w:ascii="Arial" w:eastAsia="Times New Roman" w:hAnsi="Arial" w:cs="Arial"/>
          <w:b/>
          <w:bCs/>
          <w:color w:val="021B34"/>
          <w:sz w:val="20"/>
          <w:szCs w:val="20"/>
          <w:shd w:val="clear" w:color="auto" w:fill="FFFFFF"/>
        </w:rPr>
        <w:t>Cox proportional-hazards model</w:t>
      </w:r>
      <w:r w:rsidRPr="00320CAD">
        <w:rPr>
          <w:rFonts w:ascii="Arial" w:eastAsia="Times New Roman" w:hAnsi="Arial" w:cs="Arial"/>
          <w:color w:val="021B34"/>
          <w:sz w:val="20"/>
          <w:szCs w:val="20"/>
          <w:shd w:val="clear" w:color="auto" w:fill="FFFFFF"/>
        </w:rPr>
        <w:t> is essentially a regression model commonly used statistical in medical research for investigating the association between the survival time of patients and one or more predictor variables</w:t>
      </w:r>
      <w:r>
        <w:rPr>
          <w:rFonts w:ascii="Arial" w:eastAsia="Times New Roman" w:hAnsi="Arial" w:cs="Arial"/>
          <w:color w:val="021B34"/>
          <w:sz w:val="20"/>
          <w:szCs w:val="20"/>
          <w:shd w:val="clear" w:color="auto" w:fill="FFFFFF"/>
        </w:rPr>
        <w:t xml:space="preserve">. It </w:t>
      </w:r>
      <w:r w:rsidRPr="00320CAD">
        <w:rPr>
          <w:rFonts w:ascii="Arial" w:eastAsia="Times New Roman" w:hAnsi="Arial" w:cs="Arial"/>
          <w:color w:val="021B34"/>
          <w:sz w:val="20"/>
          <w:szCs w:val="20"/>
          <w:shd w:val="clear" w:color="auto" w:fill="FFFFFF"/>
        </w:rPr>
        <w:t>works for both quantitative predictor variables and for categorical variables. Furthermore, the Cox regression model extends survival analysis methods to assess simultaneously the effect of several risk factors on survival time.</w:t>
      </w:r>
    </w:p>
    <w:p w:rsidR="00AC3EF1" w:rsidRDefault="00AC3EF1" w:rsidP="00320CAD">
      <w:pPr>
        <w:rPr>
          <w:rFonts w:ascii="Arial" w:eastAsia="Times New Roman" w:hAnsi="Arial" w:cs="Arial"/>
          <w:color w:val="021B34"/>
          <w:sz w:val="20"/>
          <w:szCs w:val="20"/>
          <w:shd w:val="clear" w:color="auto" w:fill="FFFFFF"/>
        </w:rPr>
      </w:pPr>
    </w:p>
    <w:p w:rsidR="00AC3EF1" w:rsidRDefault="00AC3EF1" w:rsidP="00293E52">
      <w:pPr>
        <w:rPr>
          <w:rFonts w:ascii="Rockwell Condensed" w:hAnsi="Rockwell Condensed" w:cs="Rockwell Condensed"/>
          <w:b/>
          <w:bCs/>
          <w:color w:val="2E74B5" w:themeColor="accent5" w:themeShade="BF"/>
        </w:rPr>
      </w:pPr>
      <w:r w:rsidRPr="00AC3EF1">
        <w:rPr>
          <w:rFonts w:ascii="Cambria" w:eastAsia="Times New Roman" w:hAnsi="Cambria" w:cs="Times New Roman"/>
          <w:b/>
          <w:bCs/>
          <w:color w:val="1F4E79" w:themeColor="accent5" w:themeShade="80"/>
          <w:sz w:val="28"/>
          <w:szCs w:val="28"/>
        </w:rPr>
        <w:t>Basics of the Cox proportional hazards model</w:t>
      </w:r>
      <w:r w:rsidR="00293E52">
        <w:rPr>
          <w:rFonts w:ascii="Rockwell Condensed" w:hAnsi="Rockwell Condensed" w:cs="Rockwell Condensed"/>
          <w:b/>
          <w:bCs/>
          <w:color w:val="2E74B5" w:themeColor="accent5" w:themeShade="BF"/>
        </w:rPr>
        <w:t>:</w:t>
      </w:r>
    </w:p>
    <w:p w:rsidR="00410627" w:rsidRPr="00AC3EF1" w:rsidRDefault="00410627" w:rsidP="00293E52">
      <w:pPr>
        <w:rPr>
          <w:rFonts w:ascii="Rockwell Condensed" w:hAnsi="Rockwell Condensed" w:cs="Rockwell Condensed"/>
          <w:b/>
          <w:bCs/>
          <w:color w:val="2E74B5" w:themeColor="accent5" w:themeShade="BF"/>
        </w:rPr>
      </w:pPr>
    </w:p>
    <w:p w:rsidR="00AC3EF1" w:rsidRPr="00AC3EF1" w:rsidRDefault="00AC3EF1" w:rsidP="00AC3EF1">
      <w:pPr>
        <w:shd w:val="clear" w:color="auto" w:fill="FFFFFF"/>
        <w:jc w:val="both"/>
        <w:rPr>
          <w:rFonts w:ascii="Arial" w:eastAsia="Times New Roman" w:hAnsi="Arial" w:cs="Arial"/>
          <w:color w:val="021B34"/>
          <w:sz w:val="20"/>
          <w:szCs w:val="20"/>
        </w:rPr>
      </w:pPr>
      <w:r w:rsidRPr="00AC3EF1">
        <w:rPr>
          <w:rFonts w:ascii="Arial" w:eastAsia="Times New Roman" w:hAnsi="Arial" w:cs="Arial"/>
          <w:color w:val="021B34"/>
          <w:sz w:val="20"/>
          <w:szCs w:val="20"/>
        </w:rPr>
        <w:t>The purpose of the model is to evaluate simultaneously the effect of several factors on survival. In other words, it allows us to examine how specified factors influence the rate of a particular event happening (e.g., infection, death) at a particular point in time. This rate is commonly referred as the hazard rate. Predictor variables (or factors) are usually termed </w:t>
      </w:r>
      <w:r w:rsidRPr="00AC3EF1">
        <w:rPr>
          <w:rFonts w:ascii="Arial" w:eastAsia="Times New Roman" w:hAnsi="Arial" w:cs="Arial"/>
          <w:i/>
          <w:iCs/>
          <w:color w:val="021B34"/>
          <w:sz w:val="20"/>
          <w:szCs w:val="20"/>
        </w:rPr>
        <w:t>covariates</w:t>
      </w:r>
      <w:r w:rsidRPr="00AC3EF1">
        <w:rPr>
          <w:rFonts w:ascii="Arial" w:eastAsia="Times New Roman" w:hAnsi="Arial" w:cs="Arial"/>
          <w:color w:val="021B34"/>
          <w:sz w:val="20"/>
          <w:szCs w:val="20"/>
        </w:rPr>
        <w:t> in the survival-analysis literature.</w:t>
      </w:r>
    </w:p>
    <w:p w:rsidR="00AC3EF1" w:rsidRPr="00AC3EF1" w:rsidRDefault="00AC3EF1" w:rsidP="00AC3EF1">
      <w:pPr>
        <w:shd w:val="clear" w:color="auto" w:fill="FFFFFF"/>
        <w:jc w:val="both"/>
        <w:rPr>
          <w:rFonts w:ascii="Arial" w:eastAsia="Times New Roman" w:hAnsi="Arial" w:cs="Arial"/>
          <w:color w:val="021B34"/>
          <w:sz w:val="20"/>
          <w:szCs w:val="20"/>
        </w:rPr>
      </w:pPr>
      <w:r w:rsidRPr="00AC3EF1">
        <w:rPr>
          <w:rFonts w:ascii="Arial" w:eastAsia="Times New Roman" w:hAnsi="Arial" w:cs="Arial"/>
          <w:color w:val="021B34"/>
          <w:sz w:val="20"/>
          <w:szCs w:val="20"/>
        </w:rPr>
        <w:t>The Cox model is expressed by the </w:t>
      </w:r>
      <w:r w:rsidRPr="00AC3EF1">
        <w:rPr>
          <w:rFonts w:ascii="Arial" w:eastAsia="Times New Roman" w:hAnsi="Arial" w:cs="Arial"/>
          <w:i/>
          <w:iCs/>
          <w:color w:val="021B34"/>
          <w:sz w:val="20"/>
          <w:szCs w:val="20"/>
        </w:rPr>
        <w:t>hazard function</w:t>
      </w:r>
      <w:r w:rsidRPr="00AC3EF1">
        <w:rPr>
          <w:rFonts w:ascii="Arial" w:eastAsia="Times New Roman" w:hAnsi="Arial" w:cs="Arial"/>
          <w:color w:val="021B34"/>
          <w:sz w:val="20"/>
          <w:szCs w:val="20"/>
        </w:rPr>
        <w:t> denoted by h(t). Briefly, the hazard function can be interpreted as the risk of dying at time t. It can be estimated as follow:</w:t>
      </w:r>
    </w:p>
    <w:p w:rsidR="00AC3EF1" w:rsidRPr="00AC3EF1" w:rsidRDefault="00AC3EF1" w:rsidP="00AC3EF1">
      <w:pPr>
        <w:shd w:val="clear" w:color="auto" w:fill="FFFFFF"/>
        <w:jc w:val="center"/>
        <w:rPr>
          <w:rFonts w:ascii="Arial" w:eastAsia="Times New Roman" w:hAnsi="Arial" w:cs="Arial"/>
          <w:color w:val="021B34"/>
          <w:sz w:val="20"/>
          <w:szCs w:val="20"/>
        </w:rPr>
      </w:pPr>
      <w:r w:rsidRPr="00AC3EF1">
        <w:rPr>
          <w:rFonts w:ascii="STIXGeneral-Italic" w:eastAsia="Times New Roman" w:hAnsi="STIXGeneral-Italic" w:cs="STIXGeneral-Italic"/>
          <w:color w:val="021B34"/>
          <w:bdr w:val="none" w:sz="0" w:space="0" w:color="auto" w:frame="1"/>
        </w:rPr>
        <w:t>h</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t</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h</w:t>
      </w:r>
      <w:r w:rsidRPr="00AC3EF1">
        <w:rPr>
          <w:rFonts w:ascii="STIXGeneral-Regular" w:eastAsia="Times New Roman" w:hAnsi="STIXGeneral-Regular" w:cs="STIXGeneral-Regular"/>
          <w:color w:val="021B34"/>
          <w:sz w:val="17"/>
          <w:szCs w:val="17"/>
          <w:bdr w:val="none" w:sz="0" w:space="0" w:color="auto" w:frame="1"/>
        </w:rPr>
        <w:t>0</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t</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exp</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b</w:t>
      </w:r>
      <w:r w:rsidRPr="00AC3EF1">
        <w:rPr>
          <w:rFonts w:ascii="STIXGeneral-Regular" w:eastAsia="Times New Roman" w:hAnsi="STIXGeneral-Regular" w:cs="STIXGeneral-Regular"/>
          <w:color w:val="021B34"/>
          <w:sz w:val="17"/>
          <w:szCs w:val="17"/>
          <w:bdr w:val="none" w:sz="0" w:space="0" w:color="auto" w:frame="1"/>
        </w:rPr>
        <w:t>1</w:t>
      </w:r>
      <w:r w:rsidRPr="00AC3EF1">
        <w:rPr>
          <w:rFonts w:ascii="STIXGeneral-Italic" w:eastAsia="Times New Roman" w:hAnsi="STIXGeneral-Italic" w:cs="STIXGeneral-Italic"/>
          <w:color w:val="021B34"/>
          <w:bdr w:val="none" w:sz="0" w:space="0" w:color="auto" w:frame="1"/>
        </w:rPr>
        <w:t>x</w:t>
      </w:r>
      <w:r w:rsidRPr="00AC3EF1">
        <w:rPr>
          <w:rFonts w:ascii="STIXGeneral-Regular" w:eastAsia="Times New Roman" w:hAnsi="STIXGeneral-Regular" w:cs="STIXGeneral-Regular"/>
          <w:color w:val="021B34"/>
          <w:sz w:val="17"/>
          <w:szCs w:val="17"/>
          <w:bdr w:val="none" w:sz="0" w:space="0" w:color="auto" w:frame="1"/>
        </w:rPr>
        <w:t>1</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b</w:t>
      </w:r>
      <w:r w:rsidRPr="00AC3EF1">
        <w:rPr>
          <w:rFonts w:ascii="STIXGeneral-Regular" w:eastAsia="Times New Roman" w:hAnsi="STIXGeneral-Regular" w:cs="STIXGeneral-Regular"/>
          <w:color w:val="021B34"/>
          <w:sz w:val="17"/>
          <w:szCs w:val="17"/>
          <w:bdr w:val="none" w:sz="0" w:space="0" w:color="auto" w:frame="1"/>
        </w:rPr>
        <w:t>2</w:t>
      </w:r>
      <w:r w:rsidRPr="00AC3EF1">
        <w:rPr>
          <w:rFonts w:ascii="STIXGeneral-Italic" w:eastAsia="Times New Roman" w:hAnsi="STIXGeneral-Italic" w:cs="STIXGeneral-Italic"/>
          <w:color w:val="021B34"/>
          <w:bdr w:val="none" w:sz="0" w:space="0" w:color="auto" w:frame="1"/>
        </w:rPr>
        <w:t>x</w:t>
      </w:r>
      <w:r w:rsidRPr="00AC3EF1">
        <w:rPr>
          <w:rFonts w:ascii="STIXGeneral-Regular" w:eastAsia="Times New Roman" w:hAnsi="STIXGeneral-Regular" w:cs="STIXGeneral-Regular"/>
          <w:color w:val="021B34"/>
          <w:sz w:val="17"/>
          <w:szCs w:val="17"/>
          <w:bdr w:val="none" w:sz="0" w:space="0" w:color="auto" w:frame="1"/>
        </w:rPr>
        <w:t>2</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b</w:t>
      </w:r>
      <w:r w:rsidRPr="00AC3EF1">
        <w:rPr>
          <w:rFonts w:ascii="STIXGeneral-Italic" w:eastAsia="Times New Roman" w:hAnsi="STIXGeneral-Italic" w:cs="STIXGeneral-Italic"/>
          <w:color w:val="021B34"/>
          <w:sz w:val="17"/>
          <w:szCs w:val="17"/>
          <w:bdr w:val="none" w:sz="0" w:space="0" w:color="auto" w:frame="1"/>
        </w:rPr>
        <w:t>p</w:t>
      </w:r>
      <w:r w:rsidRPr="00AC3EF1">
        <w:rPr>
          <w:rFonts w:ascii="STIXGeneral-Italic" w:eastAsia="Times New Roman" w:hAnsi="STIXGeneral-Italic" w:cs="STIXGeneral-Italic"/>
          <w:color w:val="021B34"/>
          <w:bdr w:val="none" w:sz="0" w:space="0" w:color="auto" w:frame="1"/>
        </w:rPr>
        <w:t>x</w:t>
      </w:r>
      <w:r w:rsidRPr="00AC3EF1">
        <w:rPr>
          <w:rFonts w:ascii="STIXGeneral-Italic" w:eastAsia="Times New Roman" w:hAnsi="STIXGeneral-Italic" w:cs="STIXGeneral-Italic"/>
          <w:color w:val="021B34"/>
          <w:sz w:val="17"/>
          <w:szCs w:val="17"/>
          <w:bdr w:val="none" w:sz="0" w:space="0" w:color="auto" w:frame="1"/>
        </w:rPr>
        <w:t>p</w:t>
      </w:r>
      <w:r w:rsidRPr="00AC3EF1">
        <w:rPr>
          <w:rFonts w:ascii="STIXGeneral-Regular" w:eastAsia="Times New Roman" w:hAnsi="STIXGeneral-Regular" w:cs="STIXGeneral-Regular"/>
          <w:color w:val="021B34"/>
          <w:bdr w:val="none" w:sz="0" w:space="0" w:color="auto" w:frame="1"/>
        </w:rPr>
        <w:t>)</w:t>
      </w:r>
    </w:p>
    <w:p w:rsidR="00AC3EF1" w:rsidRPr="00AC3EF1" w:rsidRDefault="00AC3EF1" w:rsidP="00AC3EF1">
      <w:pPr>
        <w:shd w:val="clear" w:color="auto" w:fill="FFFFFF"/>
        <w:spacing w:after="168"/>
        <w:jc w:val="both"/>
        <w:rPr>
          <w:rFonts w:ascii="Arial" w:eastAsia="Times New Roman" w:hAnsi="Arial" w:cs="Arial"/>
          <w:color w:val="021B34"/>
          <w:sz w:val="20"/>
          <w:szCs w:val="20"/>
        </w:rPr>
      </w:pPr>
      <w:r w:rsidRPr="00AC3EF1">
        <w:rPr>
          <w:rFonts w:ascii="Arial" w:eastAsia="Times New Roman" w:hAnsi="Arial" w:cs="Arial"/>
          <w:color w:val="021B34"/>
          <w:sz w:val="20"/>
          <w:szCs w:val="20"/>
        </w:rPr>
        <w:t>where,</w:t>
      </w:r>
    </w:p>
    <w:p w:rsidR="00AC3EF1" w:rsidRPr="00AC3EF1" w:rsidRDefault="00AC3EF1" w:rsidP="00AC3EF1">
      <w:pPr>
        <w:numPr>
          <w:ilvl w:val="0"/>
          <w:numId w:val="1"/>
        </w:numPr>
        <w:shd w:val="clear" w:color="auto" w:fill="FFFFFF"/>
        <w:ind w:left="450"/>
        <w:jc w:val="both"/>
        <w:rPr>
          <w:rFonts w:ascii="Arial" w:eastAsia="Times New Roman" w:hAnsi="Arial" w:cs="Arial"/>
          <w:color w:val="021B34"/>
          <w:sz w:val="20"/>
          <w:szCs w:val="20"/>
        </w:rPr>
      </w:pPr>
      <w:r w:rsidRPr="00AC3EF1">
        <w:rPr>
          <w:rFonts w:ascii="Arial" w:eastAsia="Times New Roman" w:hAnsi="Arial" w:cs="Arial"/>
          <w:i/>
          <w:iCs/>
          <w:color w:val="021B34"/>
          <w:sz w:val="20"/>
          <w:szCs w:val="20"/>
        </w:rPr>
        <w:lastRenderedPageBreak/>
        <w:t>t</w:t>
      </w:r>
      <w:r w:rsidRPr="00AC3EF1">
        <w:rPr>
          <w:rFonts w:ascii="Arial" w:eastAsia="Times New Roman" w:hAnsi="Arial" w:cs="Arial"/>
          <w:color w:val="021B34"/>
          <w:sz w:val="20"/>
          <w:szCs w:val="20"/>
        </w:rPr>
        <w:t> represents the survival time</w:t>
      </w:r>
    </w:p>
    <w:p w:rsidR="00AC3EF1" w:rsidRPr="00AC3EF1" w:rsidRDefault="00AC3EF1" w:rsidP="00AC3EF1">
      <w:pPr>
        <w:numPr>
          <w:ilvl w:val="0"/>
          <w:numId w:val="1"/>
        </w:numPr>
        <w:shd w:val="clear" w:color="auto" w:fill="FFFFFF"/>
        <w:ind w:left="450"/>
        <w:jc w:val="both"/>
        <w:rPr>
          <w:rFonts w:ascii="Arial" w:eastAsia="Times New Roman" w:hAnsi="Arial" w:cs="Arial"/>
          <w:color w:val="021B34"/>
          <w:sz w:val="20"/>
          <w:szCs w:val="20"/>
        </w:rPr>
      </w:pPr>
      <w:r w:rsidRPr="00AC3EF1">
        <w:rPr>
          <w:rFonts w:ascii="STIXGeneral-Italic" w:eastAsia="Times New Roman" w:hAnsi="STIXGeneral-Italic" w:cs="STIXGeneral-Italic"/>
          <w:color w:val="021B34"/>
          <w:bdr w:val="none" w:sz="0" w:space="0" w:color="auto" w:frame="1"/>
        </w:rPr>
        <w:t>h</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t</w:t>
      </w:r>
      <w:r w:rsidRPr="00AC3EF1">
        <w:rPr>
          <w:rFonts w:ascii="STIXGeneral-Regular" w:eastAsia="Times New Roman" w:hAnsi="STIXGeneral-Regular" w:cs="STIXGeneral-Regular"/>
          <w:color w:val="021B34"/>
          <w:bdr w:val="none" w:sz="0" w:space="0" w:color="auto" w:frame="1"/>
        </w:rPr>
        <w:t>)</w:t>
      </w:r>
      <w:r w:rsidRPr="00AC3EF1">
        <w:rPr>
          <w:rFonts w:ascii="Arial" w:eastAsia="Times New Roman" w:hAnsi="Arial" w:cs="Arial"/>
          <w:color w:val="021B34"/>
          <w:sz w:val="20"/>
          <w:szCs w:val="20"/>
        </w:rPr>
        <w:t> is the hazard function determined by a set of p covariates (</w:t>
      </w:r>
      <w:r w:rsidRPr="00AC3EF1">
        <w:rPr>
          <w:rFonts w:ascii="STIXGeneral-Italic" w:eastAsia="Times New Roman" w:hAnsi="STIXGeneral-Italic" w:cs="STIXGeneral-Italic"/>
          <w:color w:val="021B34"/>
          <w:bdr w:val="none" w:sz="0" w:space="0" w:color="auto" w:frame="1"/>
        </w:rPr>
        <w:t>x</w:t>
      </w:r>
      <w:r w:rsidRPr="00AC3EF1">
        <w:rPr>
          <w:rFonts w:ascii="STIXGeneral-Regular" w:eastAsia="Times New Roman" w:hAnsi="STIXGeneral-Regular" w:cs="STIXGeneral-Regular"/>
          <w:color w:val="021B34"/>
          <w:sz w:val="17"/>
          <w:szCs w:val="17"/>
          <w:bdr w:val="none" w:sz="0" w:space="0" w:color="auto" w:frame="1"/>
        </w:rPr>
        <w:t>1</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x</w:t>
      </w:r>
      <w:r w:rsidRPr="00AC3EF1">
        <w:rPr>
          <w:rFonts w:ascii="STIXGeneral-Regular" w:eastAsia="Times New Roman" w:hAnsi="STIXGeneral-Regular" w:cs="STIXGeneral-Regular"/>
          <w:color w:val="021B34"/>
          <w:sz w:val="17"/>
          <w:szCs w:val="17"/>
          <w:bdr w:val="none" w:sz="0" w:space="0" w:color="auto" w:frame="1"/>
        </w:rPr>
        <w:t>2</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x</w:t>
      </w:r>
      <w:r w:rsidRPr="00AC3EF1">
        <w:rPr>
          <w:rFonts w:ascii="STIXGeneral-Italic" w:eastAsia="Times New Roman" w:hAnsi="STIXGeneral-Italic" w:cs="STIXGeneral-Italic"/>
          <w:color w:val="021B34"/>
          <w:sz w:val="17"/>
          <w:szCs w:val="17"/>
          <w:bdr w:val="none" w:sz="0" w:space="0" w:color="auto" w:frame="1"/>
        </w:rPr>
        <w:t>p</w:t>
      </w:r>
      <w:r w:rsidRPr="00AC3EF1">
        <w:rPr>
          <w:rFonts w:ascii="Arial" w:eastAsia="Times New Roman" w:hAnsi="Arial" w:cs="Arial"/>
          <w:color w:val="021B34"/>
          <w:sz w:val="20"/>
          <w:szCs w:val="20"/>
        </w:rPr>
        <w:t>)</w:t>
      </w:r>
    </w:p>
    <w:p w:rsidR="00AC3EF1" w:rsidRPr="00AC3EF1" w:rsidRDefault="00467C8A" w:rsidP="00AC3EF1">
      <w:pPr>
        <w:numPr>
          <w:ilvl w:val="0"/>
          <w:numId w:val="1"/>
        </w:numPr>
        <w:shd w:val="clear" w:color="auto" w:fill="FFFFFF"/>
        <w:ind w:left="450"/>
        <w:jc w:val="both"/>
        <w:rPr>
          <w:rFonts w:ascii="Arial" w:eastAsia="Times New Roman" w:hAnsi="Arial" w:cs="Arial"/>
          <w:color w:val="021B34"/>
          <w:sz w:val="20"/>
          <w:szCs w:val="20"/>
        </w:rPr>
      </w:pPr>
      <w:r>
        <w:rPr>
          <w:rFonts w:ascii="Arial" w:eastAsia="Times New Roman" w:hAnsi="Arial" w:cs="Arial"/>
          <w:color w:val="021B34"/>
          <w:sz w:val="20"/>
          <w:szCs w:val="20"/>
        </w:rPr>
        <w:t>C</w:t>
      </w:r>
      <w:r w:rsidR="00AC3EF1" w:rsidRPr="00AC3EF1">
        <w:rPr>
          <w:rFonts w:ascii="Arial" w:eastAsia="Times New Roman" w:hAnsi="Arial" w:cs="Arial"/>
          <w:color w:val="021B34"/>
          <w:sz w:val="20"/>
          <w:szCs w:val="20"/>
        </w:rPr>
        <w:t>oefficients (</w:t>
      </w:r>
      <w:r w:rsidR="00AC3EF1" w:rsidRPr="00AC3EF1">
        <w:rPr>
          <w:rFonts w:ascii="STIXGeneral-Italic" w:eastAsia="Times New Roman" w:hAnsi="STIXGeneral-Italic" w:cs="STIXGeneral-Italic"/>
          <w:color w:val="021B34"/>
          <w:bdr w:val="none" w:sz="0" w:space="0" w:color="auto" w:frame="1"/>
        </w:rPr>
        <w:t>b</w:t>
      </w:r>
      <w:r w:rsidR="00AC3EF1" w:rsidRPr="00AC3EF1">
        <w:rPr>
          <w:rFonts w:ascii="STIXGeneral-Regular" w:eastAsia="Times New Roman" w:hAnsi="STIXGeneral-Regular" w:cs="STIXGeneral-Regular"/>
          <w:color w:val="021B34"/>
          <w:sz w:val="17"/>
          <w:szCs w:val="17"/>
          <w:bdr w:val="none" w:sz="0" w:space="0" w:color="auto" w:frame="1"/>
        </w:rPr>
        <w:t>1</w:t>
      </w:r>
      <w:r w:rsidR="00AC3EF1" w:rsidRPr="00AC3EF1">
        <w:rPr>
          <w:rFonts w:ascii="STIXGeneral-Regular" w:eastAsia="Times New Roman" w:hAnsi="STIXGeneral-Regular" w:cs="STIXGeneral-Regular"/>
          <w:color w:val="021B34"/>
          <w:bdr w:val="none" w:sz="0" w:space="0" w:color="auto" w:frame="1"/>
        </w:rPr>
        <w:t>,</w:t>
      </w:r>
      <w:r w:rsidR="00AC3EF1" w:rsidRPr="00AC3EF1">
        <w:rPr>
          <w:rFonts w:ascii="STIXGeneral-Italic" w:eastAsia="Times New Roman" w:hAnsi="STIXGeneral-Italic" w:cs="STIXGeneral-Italic"/>
          <w:color w:val="021B34"/>
          <w:bdr w:val="none" w:sz="0" w:space="0" w:color="auto" w:frame="1"/>
        </w:rPr>
        <w:t>b</w:t>
      </w:r>
      <w:r w:rsidR="00AC3EF1" w:rsidRPr="00AC3EF1">
        <w:rPr>
          <w:rFonts w:ascii="STIXGeneral-Regular" w:eastAsia="Times New Roman" w:hAnsi="STIXGeneral-Regular" w:cs="STIXGeneral-Regular"/>
          <w:color w:val="021B34"/>
          <w:sz w:val="17"/>
          <w:szCs w:val="17"/>
          <w:bdr w:val="none" w:sz="0" w:space="0" w:color="auto" w:frame="1"/>
        </w:rPr>
        <w:t>2</w:t>
      </w:r>
      <w:r w:rsidR="00AC3EF1" w:rsidRPr="00AC3EF1">
        <w:rPr>
          <w:rFonts w:ascii="STIXGeneral-Regular" w:eastAsia="Times New Roman" w:hAnsi="STIXGeneral-Regular" w:cs="STIXGeneral-Regular"/>
          <w:color w:val="021B34"/>
          <w:bdr w:val="none" w:sz="0" w:space="0" w:color="auto" w:frame="1"/>
        </w:rPr>
        <w:t>,...,</w:t>
      </w:r>
      <w:r w:rsidR="00AC3EF1" w:rsidRPr="00AC3EF1">
        <w:rPr>
          <w:rFonts w:ascii="STIXGeneral-Italic" w:eastAsia="Times New Roman" w:hAnsi="STIXGeneral-Italic" w:cs="STIXGeneral-Italic"/>
          <w:color w:val="021B34"/>
          <w:bdr w:val="none" w:sz="0" w:space="0" w:color="auto" w:frame="1"/>
        </w:rPr>
        <w:t>b</w:t>
      </w:r>
      <w:r w:rsidR="00AC3EF1" w:rsidRPr="00AC3EF1">
        <w:rPr>
          <w:rFonts w:ascii="STIXGeneral-Italic" w:eastAsia="Times New Roman" w:hAnsi="STIXGeneral-Italic" w:cs="STIXGeneral-Italic"/>
          <w:color w:val="021B34"/>
          <w:sz w:val="17"/>
          <w:szCs w:val="17"/>
          <w:bdr w:val="none" w:sz="0" w:space="0" w:color="auto" w:frame="1"/>
        </w:rPr>
        <w:t>p</w:t>
      </w:r>
      <w:r w:rsidR="00AC3EF1" w:rsidRPr="00AC3EF1">
        <w:rPr>
          <w:rFonts w:ascii="Arial" w:eastAsia="Times New Roman" w:hAnsi="Arial" w:cs="Arial"/>
          <w:color w:val="021B34"/>
          <w:sz w:val="20"/>
          <w:szCs w:val="20"/>
        </w:rPr>
        <w:t>) measure the impact (i.e., the effect size) of covariates.</w:t>
      </w:r>
    </w:p>
    <w:p w:rsidR="00AC3EF1" w:rsidRPr="00AC3EF1" w:rsidRDefault="00AC3EF1" w:rsidP="00AC3EF1">
      <w:pPr>
        <w:numPr>
          <w:ilvl w:val="0"/>
          <w:numId w:val="1"/>
        </w:numPr>
        <w:shd w:val="clear" w:color="auto" w:fill="FFFFFF"/>
        <w:ind w:left="450"/>
        <w:jc w:val="both"/>
        <w:rPr>
          <w:rFonts w:ascii="Arial" w:eastAsia="Times New Roman" w:hAnsi="Arial" w:cs="Arial"/>
          <w:color w:val="021B34"/>
          <w:sz w:val="20"/>
          <w:szCs w:val="20"/>
        </w:rPr>
      </w:pPr>
      <w:r w:rsidRPr="00AC3EF1">
        <w:rPr>
          <w:rFonts w:ascii="STIXGeneral-Italic" w:eastAsia="Times New Roman" w:hAnsi="STIXGeneral-Italic" w:cs="STIXGeneral-Italic"/>
          <w:color w:val="021B34"/>
          <w:bdr w:val="none" w:sz="0" w:space="0" w:color="auto" w:frame="1"/>
        </w:rPr>
        <w:t>h</w:t>
      </w:r>
      <w:r w:rsidRPr="00AC3EF1">
        <w:rPr>
          <w:rFonts w:ascii="STIXGeneral-Regular" w:eastAsia="Times New Roman" w:hAnsi="STIXGeneral-Regular" w:cs="STIXGeneral-Regular"/>
          <w:color w:val="021B34"/>
          <w:sz w:val="17"/>
          <w:szCs w:val="17"/>
          <w:bdr w:val="none" w:sz="0" w:space="0" w:color="auto" w:frame="1"/>
        </w:rPr>
        <w:t>0</w:t>
      </w:r>
      <w:r w:rsidRPr="00AC3EF1">
        <w:rPr>
          <w:rFonts w:ascii="Arial" w:eastAsia="Times New Roman" w:hAnsi="Arial" w:cs="Arial"/>
          <w:color w:val="021B34"/>
          <w:sz w:val="20"/>
          <w:szCs w:val="20"/>
        </w:rPr>
        <w:t> is called the baseline hazard. It corresponds to the value of the hazard if all the </w:t>
      </w:r>
      <w:r w:rsidRPr="00AC3EF1">
        <w:rPr>
          <w:rFonts w:ascii="STIXGeneral-Italic" w:eastAsia="Times New Roman" w:hAnsi="STIXGeneral-Italic" w:cs="STIXGeneral-Italic"/>
          <w:color w:val="021B34"/>
          <w:bdr w:val="none" w:sz="0" w:space="0" w:color="auto" w:frame="1"/>
        </w:rPr>
        <w:t>x</w:t>
      </w:r>
      <w:r w:rsidRPr="00AC3EF1">
        <w:rPr>
          <w:rFonts w:ascii="STIXGeneral-Italic" w:eastAsia="Times New Roman" w:hAnsi="STIXGeneral-Italic" w:cs="STIXGeneral-Italic"/>
          <w:color w:val="021B34"/>
          <w:sz w:val="17"/>
          <w:szCs w:val="17"/>
          <w:bdr w:val="none" w:sz="0" w:space="0" w:color="auto" w:frame="1"/>
        </w:rPr>
        <w:t>i</w:t>
      </w:r>
      <w:r w:rsidRPr="00AC3EF1">
        <w:rPr>
          <w:rFonts w:ascii="Arial" w:eastAsia="Times New Roman" w:hAnsi="Arial" w:cs="Arial"/>
          <w:color w:val="021B34"/>
          <w:sz w:val="20"/>
          <w:szCs w:val="20"/>
        </w:rPr>
        <w:t> are equal to zero (the quantity exp(0) equals 1). The ‘t’ in h(t) reminds us that the hazard may vary over time.</w:t>
      </w:r>
    </w:p>
    <w:p w:rsidR="00877179" w:rsidRPr="00AC3EF1" w:rsidRDefault="00AC3EF1" w:rsidP="00877179">
      <w:pPr>
        <w:shd w:val="clear" w:color="auto" w:fill="FFFFFF"/>
        <w:jc w:val="both"/>
        <w:rPr>
          <w:rFonts w:ascii="Arial" w:eastAsia="Times New Roman" w:hAnsi="Arial" w:cs="Arial"/>
          <w:color w:val="021B34"/>
          <w:sz w:val="20"/>
          <w:szCs w:val="20"/>
        </w:rPr>
      </w:pPr>
      <w:r w:rsidRPr="00AC3EF1">
        <w:rPr>
          <w:rFonts w:ascii="Arial" w:eastAsia="Times New Roman" w:hAnsi="Arial" w:cs="Arial"/>
          <w:color w:val="021B34"/>
          <w:sz w:val="20"/>
          <w:szCs w:val="20"/>
        </w:rPr>
        <w:t>The quantities </w:t>
      </w:r>
      <w:r w:rsidRPr="00AC3EF1">
        <w:rPr>
          <w:rFonts w:ascii="STIXGeneral-Italic" w:eastAsia="Times New Roman" w:hAnsi="STIXGeneral-Italic" w:cs="STIXGeneral-Italic"/>
          <w:color w:val="021B34"/>
          <w:bdr w:val="none" w:sz="0" w:space="0" w:color="auto" w:frame="1"/>
        </w:rPr>
        <w:t>exp</w:t>
      </w:r>
      <w:r w:rsidRPr="00AC3EF1">
        <w:rPr>
          <w:rFonts w:ascii="STIXGeneral-Regular" w:eastAsia="Times New Roman" w:hAnsi="STIXGeneral-Regular" w:cs="STIXGeneral-Regular"/>
          <w:color w:val="021B34"/>
          <w:bdr w:val="none" w:sz="0" w:space="0" w:color="auto" w:frame="1"/>
        </w:rPr>
        <w:t>(</w:t>
      </w:r>
      <w:r w:rsidRPr="00AC3EF1">
        <w:rPr>
          <w:rFonts w:ascii="STIXGeneral-Italic" w:eastAsia="Times New Roman" w:hAnsi="STIXGeneral-Italic" w:cs="STIXGeneral-Italic"/>
          <w:color w:val="021B34"/>
          <w:bdr w:val="none" w:sz="0" w:space="0" w:color="auto" w:frame="1"/>
        </w:rPr>
        <w:t>b</w:t>
      </w:r>
      <w:r w:rsidRPr="00AC3EF1">
        <w:rPr>
          <w:rFonts w:ascii="STIXGeneral-Italic" w:eastAsia="Times New Roman" w:hAnsi="STIXGeneral-Italic" w:cs="STIXGeneral-Italic"/>
          <w:color w:val="021B34"/>
          <w:sz w:val="17"/>
          <w:szCs w:val="17"/>
          <w:bdr w:val="none" w:sz="0" w:space="0" w:color="auto" w:frame="1"/>
        </w:rPr>
        <w:t>i</w:t>
      </w:r>
      <w:r w:rsidRPr="00AC3EF1">
        <w:rPr>
          <w:rFonts w:ascii="STIXGeneral-Regular" w:eastAsia="Times New Roman" w:hAnsi="STIXGeneral-Regular" w:cs="STIXGeneral-Regular"/>
          <w:color w:val="021B34"/>
          <w:bdr w:val="none" w:sz="0" w:space="0" w:color="auto" w:frame="1"/>
        </w:rPr>
        <w:t>)</w:t>
      </w:r>
      <w:r w:rsidRPr="00AC3EF1">
        <w:rPr>
          <w:rFonts w:ascii="Arial" w:eastAsia="Times New Roman" w:hAnsi="Arial" w:cs="Arial"/>
          <w:color w:val="021B34"/>
          <w:sz w:val="20"/>
          <w:szCs w:val="20"/>
        </w:rPr>
        <w:t> </w:t>
      </w:r>
      <w:r w:rsidR="00877179">
        <w:rPr>
          <w:rFonts w:ascii="Arial" w:eastAsia="Times New Roman" w:hAnsi="Arial" w:cs="Arial"/>
          <w:color w:val="021B34"/>
          <w:sz w:val="20"/>
          <w:szCs w:val="20"/>
        </w:rPr>
        <w:t xml:space="preserve">are called hazard ratios (HR). </w:t>
      </w:r>
    </w:p>
    <w:p w:rsidR="00AC3EF1" w:rsidRPr="00AC3EF1" w:rsidRDefault="00877179" w:rsidP="00AC3EF1">
      <w:pPr>
        <w:shd w:val="clear" w:color="auto" w:fill="FFFFFF"/>
        <w:spacing w:after="168"/>
        <w:jc w:val="both"/>
        <w:rPr>
          <w:rFonts w:ascii="Arial" w:eastAsia="Times New Roman" w:hAnsi="Arial" w:cs="Arial"/>
          <w:color w:val="021B34"/>
          <w:sz w:val="20"/>
          <w:szCs w:val="20"/>
        </w:rPr>
      </w:pPr>
      <w:r>
        <w:rPr>
          <w:rFonts w:ascii="Arial" w:eastAsia="Times New Roman" w:hAnsi="Arial" w:cs="Arial"/>
          <w:color w:val="021B34"/>
          <w:sz w:val="20"/>
          <w:szCs w:val="20"/>
        </w:rPr>
        <w:t xml:space="preserve"> HR</w:t>
      </w:r>
      <w:r w:rsidR="00AC3EF1" w:rsidRPr="00AC3EF1">
        <w:rPr>
          <w:rFonts w:ascii="Arial" w:eastAsia="Times New Roman" w:hAnsi="Arial" w:cs="Arial"/>
          <w:color w:val="021B34"/>
          <w:sz w:val="20"/>
          <w:szCs w:val="20"/>
        </w:rPr>
        <w:t xml:space="preserve"> above 1 indicates a covariate that is positively associated with the event probability, and thus negatively associated with the length of survival.</w:t>
      </w:r>
    </w:p>
    <w:p w:rsidR="00AC3EF1" w:rsidRPr="00AC3EF1" w:rsidRDefault="00AC3EF1" w:rsidP="00AC3EF1">
      <w:pPr>
        <w:shd w:val="clear" w:color="auto" w:fill="FFFFFF"/>
        <w:spacing w:after="168"/>
        <w:jc w:val="both"/>
        <w:rPr>
          <w:rFonts w:ascii="Arial" w:eastAsia="Times New Roman" w:hAnsi="Arial" w:cs="Arial"/>
          <w:color w:val="021B34"/>
          <w:sz w:val="20"/>
          <w:szCs w:val="20"/>
        </w:rPr>
      </w:pPr>
      <w:r w:rsidRPr="00AC3EF1">
        <w:rPr>
          <w:rFonts w:ascii="Arial" w:eastAsia="Times New Roman" w:hAnsi="Arial" w:cs="Arial"/>
          <w:color w:val="021B34"/>
          <w:sz w:val="20"/>
          <w:szCs w:val="20"/>
        </w:rPr>
        <w:t>In summary,</w:t>
      </w:r>
    </w:p>
    <w:p w:rsidR="00AC3EF1" w:rsidRPr="00AC3EF1" w:rsidRDefault="00AC3EF1" w:rsidP="00AC3EF1">
      <w:pPr>
        <w:numPr>
          <w:ilvl w:val="0"/>
          <w:numId w:val="2"/>
        </w:numPr>
        <w:shd w:val="clear" w:color="auto" w:fill="FFFFFF"/>
        <w:ind w:left="450"/>
        <w:jc w:val="both"/>
        <w:rPr>
          <w:rFonts w:ascii="Arial" w:eastAsia="Times New Roman" w:hAnsi="Arial" w:cs="Arial"/>
          <w:color w:val="021B34"/>
          <w:sz w:val="20"/>
          <w:szCs w:val="20"/>
        </w:rPr>
      </w:pPr>
      <w:r w:rsidRPr="00AC3EF1">
        <w:rPr>
          <w:rFonts w:ascii="Arial" w:eastAsia="Times New Roman" w:hAnsi="Arial" w:cs="Arial"/>
          <w:color w:val="021B34"/>
          <w:sz w:val="20"/>
          <w:szCs w:val="20"/>
        </w:rPr>
        <w:t>HR = 1: No effect</w:t>
      </w:r>
    </w:p>
    <w:p w:rsidR="00AC3EF1" w:rsidRPr="00AC3EF1" w:rsidRDefault="00AC3EF1" w:rsidP="00AC3EF1">
      <w:pPr>
        <w:numPr>
          <w:ilvl w:val="0"/>
          <w:numId w:val="2"/>
        </w:numPr>
        <w:shd w:val="clear" w:color="auto" w:fill="FFFFFF"/>
        <w:ind w:left="450"/>
        <w:jc w:val="both"/>
        <w:rPr>
          <w:rFonts w:ascii="Arial" w:eastAsia="Times New Roman" w:hAnsi="Arial" w:cs="Arial"/>
          <w:color w:val="021B34"/>
          <w:sz w:val="20"/>
          <w:szCs w:val="20"/>
        </w:rPr>
      </w:pPr>
      <w:r w:rsidRPr="00AC3EF1">
        <w:rPr>
          <w:rFonts w:ascii="Arial" w:eastAsia="Times New Roman" w:hAnsi="Arial" w:cs="Arial"/>
          <w:color w:val="021B34"/>
          <w:sz w:val="20"/>
          <w:szCs w:val="20"/>
        </w:rPr>
        <w:t>HR &lt; 1: Reduction in the hazard</w:t>
      </w:r>
    </w:p>
    <w:p w:rsidR="00AC3EF1" w:rsidRPr="00AC3EF1" w:rsidRDefault="00AC3EF1" w:rsidP="00AC3EF1">
      <w:pPr>
        <w:numPr>
          <w:ilvl w:val="0"/>
          <w:numId w:val="2"/>
        </w:numPr>
        <w:shd w:val="clear" w:color="auto" w:fill="FFFFFF"/>
        <w:ind w:left="450"/>
        <w:jc w:val="both"/>
        <w:rPr>
          <w:rFonts w:ascii="Arial" w:eastAsia="Times New Roman" w:hAnsi="Arial" w:cs="Arial"/>
          <w:color w:val="021B34"/>
          <w:sz w:val="20"/>
          <w:szCs w:val="20"/>
        </w:rPr>
      </w:pPr>
      <w:r w:rsidRPr="00AC3EF1">
        <w:rPr>
          <w:rFonts w:ascii="Arial" w:eastAsia="Times New Roman" w:hAnsi="Arial" w:cs="Arial"/>
          <w:color w:val="021B34"/>
          <w:sz w:val="20"/>
          <w:szCs w:val="20"/>
        </w:rPr>
        <w:t>HR &gt; 1: Increase in Hazard</w:t>
      </w:r>
    </w:p>
    <w:p w:rsidR="00384D06" w:rsidRDefault="00384D06" w:rsidP="00384D06">
      <w:pPr>
        <w:rPr>
          <w:rFonts w:ascii="Rockwell Condensed" w:hAnsi="Rockwell Condensed" w:cs="Rockwell Condensed"/>
          <w:b/>
          <w:bCs/>
          <w:color w:val="2E74B5" w:themeColor="accent5" w:themeShade="BF"/>
        </w:rPr>
      </w:pPr>
    </w:p>
    <w:p w:rsidR="00384D06" w:rsidRDefault="00384D06" w:rsidP="00384D06">
      <w:pPr>
        <w:rPr>
          <w:rFonts w:ascii="Cambria" w:eastAsia="Times New Roman" w:hAnsi="Cambria" w:cs="Times New Roman"/>
          <w:b/>
          <w:bCs/>
          <w:color w:val="1F4E79" w:themeColor="accent5" w:themeShade="80"/>
          <w:sz w:val="28"/>
          <w:szCs w:val="28"/>
        </w:rPr>
      </w:pPr>
      <w:r w:rsidRPr="00410627">
        <w:rPr>
          <w:rFonts w:ascii="Cambria" w:eastAsia="Times New Roman" w:hAnsi="Cambria" w:cs="Times New Roman"/>
          <w:b/>
          <w:bCs/>
          <w:color w:val="1F4E79" w:themeColor="accent5" w:themeShade="80"/>
          <w:sz w:val="28"/>
          <w:szCs w:val="28"/>
        </w:rPr>
        <w:t>Multivariate Cox regression analysis</w:t>
      </w:r>
      <w:r w:rsidR="009B4C93" w:rsidRPr="00410627">
        <w:rPr>
          <w:rFonts w:ascii="Cambria" w:eastAsia="Times New Roman" w:hAnsi="Cambria" w:cs="Times New Roman"/>
          <w:b/>
          <w:bCs/>
          <w:color w:val="1F4E79" w:themeColor="accent5" w:themeShade="80"/>
          <w:sz w:val="28"/>
          <w:szCs w:val="28"/>
        </w:rPr>
        <w:t>:</w:t>
      </w:r>
    </w:p>
    <w:p w:rsidR="00410627" w:rsidRDefault="00410627" w:rsidP="00384D06">
      <w:pPr>
        <w:rPr>
          <w:rFonts w:ascii="Rockwell Condensed" w:hAnsi="Rockwell Condensed" w:cs="Rockwell Condensed"/>
          <w:b/>
          <w:bCs/>
          <w:color w:val="2E74B5" w:themeColor="accent5" w:themeShade="BF"/>
        </w:rPr>
      </w:pPr>
    </w:p>
    <w:p w:rsidR="009B4C93" w:rsidRPr="009B4C93" w:rsidRDefault="009B4C93" w:rsidP="009B4C93">
      <w:pPr>
        <w:rPr>
          <w:rFonts w:ascii="Times New Roman" w:eastAsia="Times New Roman" w:hAnsi="Times New Roman" w:cs="Times New Roman"/>
        </w:rPr>
      </w:pPr>
      <w:r w:rsidRPr="009B4C93">
        <w:rPr>
          <w:rFonts w:ascii="Arial" w:eastAsia="Times New Roman" w:hAnsi="Arial" w:cs="Arial"/>
          <w:color w:val="021B34"/>
          <w:sz w:val="20"/>
          <w:szCs w:val="20"/>
          <w:shd w:val="clear" w:color="auto" w:fill="FFFFFF"/>
        </w:rPr>
        <w:t>A Cox regression of time to death on the time-constant covariates is specified as follow:</w:t>
      </w:r>
    </w:p>
    <w:p w:rsidR="009B4C93" w:rsidRPr="00384D06" w:rsidRDefault="009B4C93" w:rsidP="00384D06">
      <w:pPr>
        <w:rPr>
          <w:rFonts w:ascii="Rockwell Condensed" w:hAnsi="Rockwell Condensed" w:cs="Rockwell Condensed"/>
          <w:b/>
          <w:bCs/>
          <w:color w:val="2E74B5" w:themeColor="accent5" w:themeShade="BF"/>
        </w:rPr>
      </w:pPr>
    </w:p>
    <w:p w:rsidR="00AC3EF1" w:rsidRPr="00AC3EF1" w:rsidRDefault="00AC3EF1" w:rsidP="00AC3EF1">
      <w:pPr>
        <w:rPr>
          <w:rFonts w:ascii="Times New Roman" w:eastAsia="Times New Roman" w:hAnsi="Times New Roman" w:cs="Times New Roman"/>
        </w:rPr>
      </w:pPr>
    </w:p>
    <w:p w:rsidR="00AC3EF1" w:rsidRPr="00320CAD" w:rsidRDefault="009B4C93" w:rsidP="00320CAD">
      <w:pPr>
        <w:rPr>
          <w:rFonts w:ascii="Arial" w:eastAsia="Times New Roman" w:hAnsi="Arial" w:cs="Arial"/>
          <w:color w:val="021B34"/>
          <w:sz w:val="20"/>
          <w:szCs w:val="20"/>
          <w:shd w:val="clear" w:color="auto" w:fill="FFFFFF"/>
        </w:rPr>
      </w:pPr>
      <w:r>
        <w:rPr>
          <w:rFonts w:ascii="Arial" w:eastAsia="Times New Roman" w:hAnsi="Arial" w:cs="Arial"/>
          <w:noProof/>
          <w:color w:val="021B34"/>
          <w:sz w:val="20"/>
          <w:szCs w:val="20"/>
          <w:shd w:val="clear" w:color="auto" w:fill="FFFFFF"/>
        </w:rPr>
        <w:drawing>
          <wp:inline distT="0" distB="0" distL="0" distR="0">
            <wp:extent cx="4028792" cy="325000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6 at 4.41.15 PM.png"/>
                    <pic:cNvPicPr/>
                  </pic:nvPicPr>
                  <pic:blipFill>
                    <a:blip r:embed="rId9">
                      <a:extLst>
                        <a:ext uri="{28A0092B-C50C-407E-A947-70E740481C1C}">
                          <a14:useLocalDpi xmlns:a14="http://schemas.microsoft.com/office/drawing/2010/main" val="0"/>
                        </a:ext>
                      </a:extLst>
                    </a:blip>
                    <a:stretch>
                      <a:fillRect/>
                    </a:stretch>
                  </pic:blipFill>
                  <pic:spPr>
                    <a:xfrm>
                      <a:off x="0" y="0"/>
                      <a:ext cx="4055924" cy="3271892"/>
                    </a:xfrm>
                    <a:prstGeom prst="rect">
                      <a:avLst/>
                    </a:prstGeom>
                  </pic:spPr>
                </pic:pic>
              </a:graphicData>
            </a:graphic>
          </wp:inline>
        </w:drawing>
      </w:r>
    </w:p>
    <w:p w:rsidR="00320CAD" w:rsidRPr="00320CAD" w:rsidRDefault="00320CAD" w:rsidP="00320CAD">
      <w:pPr>
        <w:rPr>
          <w:rFonts w:ascii="Times New Roman" w:eastAsia="Times New Roman" w:hAnsi="Times New Roman" w:cs="Times New Roman"/>
        </w:rPr>
      </w:pPr>
    </w:p>
    <w:p w:rsidR="00AE579E" w:rsidRPr="00410627" w:rsidRDefault="00161917">
      <w:pPr>
        <w:rPr>
          <w:rFonts w:ascii="Cambria" w:eastAsia="Times New Roman" w:hAnsi="Cambria" w:cs="Times New Roman"/>
          <w:b/>
          <w:bCs/>
          <w:color w:val="1F4E79" w:themeColor="accent5" w:themeShade="80"/>
          <w:sz w:val="28"/>
          <w:szCs w:val="28"/>
        </w:rPr>
      </w:pPr>
      <w:r w:rsidRPr="00410627">
        <w:rPr>
          <w:rFonts w:ascii="Cambria" w:eastAsia="Times New Roman" w:hAnsi="Cambria" w:cs="Times New Roman"/>
          <w:b/>
          <w:bCs/>
          <w:color w:val="1F4E79" w:themeColor="accent5" w:themeShade="80"/>
          <w:sz w:val="28"/>
          <w:szCs w:val="28"/>
        </w:rPr>
        <w:t>Interpretations:</w:t>
      </w:r>
    </w:p>
    <w:p w:rsidR="00161917" w:rsidRPr="00F20522" w:rsidRDefault="00161917" w:rsidP="00F20522">
      <w:pPr>
        <w:pStyle w:val="ListParagraph"/>
        <w:numPr>
          <w:ilvl w:val="0"/>
          <w:numId w:val="3"/>
        </w:numPr>
        <w:shd w:val="clear" w:color="auto" w:fill="FFFFFF"/>
        <w:jc w:val="both"/>
        <w:rPr>
          <w:rFonts w:ascii="Arial" w:eastAsia="Times New Roman" w:hAnsi="Arial" w:cs="Arial"/>
          <w:color w:val="021B34"/>
          <w:sz w:val="20"/>
          <w:szCs w:val="20"/>
        </w:rPr>
      </w:pPr>
      <w:r w:rsidRPr="00F20522">
        <w:rPr>
          <w:rFonts w:ascii="Arial" w:eastAsia="Times New Roman" w:hAnsi="Arial" w:cs="Arial"/>
          <w:color w:val="021B34"/>
          <w:sz w:val="20"/>
          <w:szCs w:val="20"/>
        </w:rPr>
        <w:t>The p-value for all three overall tests (likelihood, Wald, and score) are significant, indicating that the model is significant. These tests evaluate the omnibus null hypothesis that all of the betas (</w:t>
      </w:r>
      <w:r w:rsidRPr="00F20522">
        <w:rPr>
          <w:rFonts w:ascii="STIXGeneral-Italic" w:eastAsia="Times New Roman" w:hAnsi="STIXGeneral-Italic" w:cs="STIXGeneral-Italic"/>
          <w:color w:val="021B34"/>
          <w:bdr w:val="none" w:sz="0" w:space="0" w:color="auto" w:frame="1"/>
        </w:rPr>
        <w:t>β</w:t>
      </w:r>
      <w:r w:rsidRPr="00F20522">
        <w:rPr>
          <w:rFonts w:ascii="Arial" w:eastAsia="Times New Roman" w:hAnsi="Arial" w:cs="Arial"/>
          <w:color w:val="021B34"/>
          <w:sz w:val="20"/>
          <w:szCs w:val="20"/>
          <w:bdr w:val="none" w:sz="0" w:space="0" w:color="auto" w:frame="1"/>
        </w:rPr>
        <w:t>β</w:t>
      </w:r>
      <w:r w:rsidRPr="00F20522">
        <w:rPr>
          <w:rFonts w:ascii="Arial" w:eastAsia="Times New Roman" w:hAnsi="Arial" w:cs="Arial"/>
          <w:color w:val="021B34"/>
          <w:sz w:val="20"/>
          <w:szCs w:val="20"/>
        </w:rPr>
        <w:t>) are 0. In the above example, the test statistics are in close agreement, and the omnibus null hypothesis is soundly rejected.</w:t>
      </w:r>
    </w:p>
    <w:p w:rsidR="00161917" w:rsidRPr="00F20522" w:rsidRDefault="00161917" w:rsidP="00F20522">
      <w:pPr>
        <w:pStyle w:val="ListParagraph"/>
        <w:numPr>
          <w:ilvl w:val="0"/>
          <w:numId w:val="3"/>
        </w:numPr>
        <w:shd w:val="clear" w:color="auto" w:fill="FFFFFF"/>
        <w:spacing w:after="168"/>
        <w:jc w:val="both"/>
        <w:rPr>
          <w:rFonts w:ascii="Arial" w:eastAsia="Times New Roman" w:hAnsi="Arial" w:cs="Arial"/>
          <w:color w:val="021B34"/>
          <w:sz w:val="20"/>
          <w:szCs w:val="20"/>
        </w:rPr>
      </w:pPr>
      <w:r w:rsidRPr="00F20522">
        <w:rPr>
          <w:rFonts w:ascii="Arial" w:eastAsia="Times New Roman" w:hAnsi="Arial" w:cs="Arial"/>
          <w:color w:val="021B34"/>
          <w:sz w:val="20"/>
          <w:szCs w:val="20"/>
        </w:rPr>
        <w:t>In the multivariate Cox analysis, the covariates sex and ph.ecog remain significant (p &lt; 0.05). However, the covariate age fails to be significant (p = 0.23, which is grater than 0.05).</w:t>
      </w:r>
    </w:p>
    <w:p w:rsidR="00161917" w:rsidRPr="00F20522" w:rsidRDefault="00161917" w:rsidP="00F20522">
      <w:pPr>
        <w:pStyle w:val="ListParagraph"/>
        <w:numPr>
          <w:ilvl w:val="0"/>
          <w:numId w:val="3"/>
        </w:numPr>
        <w:shd w:val="clear" w:color="auto" w:fill="FFFFFF"/>
        <w:spacing w:after="168"/>
        <w:jc w:val="both"/>
        <w:rPr>
          <w:rFonts w:ascii="Arial" w:eastAsia="Times New Roman" w:hAnsi="Arial" w:cs="Arial"/>
          <w:color w:val="021B34"/>
          <w:sz w:val="20"/>
          <w:szCs w:val="20"/>
        </w:rPr>
      </w:pPr>
      <w:r w:rsidRPr="00F20522">
        <w:rPr>
          <w:rFonts w:ascii="Arial" w:eastAsia="Times New Roman" w:hAnsi="Arial" w:cs="Arial"/>
          <w:color w:val="021B34"/>
          <w:sz w:val="20"/>
          <w:szCs w:val="20"/>
        </w:rPr>
        <w:t xml:space="preserve">The p-value for sex is 0.000986, with a hazard ratio HR = exp(coef) = 0.58, indicating a strong relationship between the patients’ sex and decreased risk of death. The hazard ratios of covariates are interpretable as </w:t>
      </w:r>
      <w:r w:rsidRPr="00F20522">
        <w:rPr>
          <w:rFonts w:ascii="Arial" w:eastAsia="Times New Roman" w:hAnsi="Arial" w:cs="Arial"/>
          <w:color w:val="021B34"/>
          <w:sz w:val="20"/>
          <w:szCs w:val="20"/>
        </w:rPr>
        <w:lastRenderedPageBreak/>
        <w:t>multiplicative effects on the hazard. For example, holding the other covariates constant, being female (sex=2) reduces the hazard by a factor of 0.58, or 42%. We conclude that, being female is associated with good prognostic.</w:t>
      </w:r>
    </w:p>
    <w:p w:rsidR="00161917" w:rsidRPr="00F20522" w:rsidRDefault="00161917" w:rsidP="00F20522">
      <w:pPr>
        <w:pStyle w:val="ListParagraph"/>
        <w:numPr>
          <w:ilvl w:val="0"/>
          <w:numId w:val="3"/>
        </w:numPr>
        <w:shd w:val="clear" w:color="auto" w:fill="FFFFFF"/>
        <w:spacing w:after="168"/>
        <w:jc w:val="both"/>
        <w:rPr>
          <w:rFonts w:ascii="Arial" w:eastAsia="Times New Roman" w:hAnsi="Arial" w:cs="Arial"/>
          <w:color w:val="021B34"/>
          <w:sz w:val="20"/>
          <w:szCs w:val="20"/>
        </w:rPr>
      </w:pPr>
      <w:r w:rsidRPr="00F20522">
        <w:rPr>
          <w:rFonts w:ascii="Arial" w:eastAsia="Times New Roman" w:hAnsi="Arial" w:cs="Arial"/>
          <w:color w:val="021B34"/>
          <w:sz w:val="20"/>
          <w:szCs w:val="20"/>
        </w:rPr>
        <w:t>Similarly, the p-value for ph.ecog is 4.45e-05, with a hazard ratio HR = 1.59, indicating a strong relationship between the ph.ecog value and increased risk of death. Holding the other covariates constant, a higher value of ph.ecog is associated with a poor survival.</w:t>
      </w:r>
    </w:p>
    <w:p w:rsidR="00161917" w:rsidRPr="00F20522" w:rsidRDefault="00161917" w:rsidP="00F20522">
      <w:pPr>
        <w:pStyle w:val="ListParagraph"/>
        <w:numPr>
          <w:ilvl w:val="0"/>
          <w:numId w:val="3"/>
        </w:numPr>
        <w:shd w:val="clear" w:color="auto" w:fill="FFFFFF"/>
        <w:spacing w:after="168"/>
        <w:jc w:val="both"/>
        <w:rPr>
          <w:rFonts w:ascii="Arial" w:eastAsia="Times New Roman" w:hAnsi="Arial" w:cs="Arial"/>
          <w:color w:val="021B34"/>
          <w:sz w:val="20"/>
          <w:szCs w:val="20"/>
        </w:rPr>
      </w:pPr>
      <w:r w:rsidRPr="00F20522">
        <w:rPr>
          <w:rFonts w:ascii="Arial" w:eastAsia="Times New Roman" w:hAnsi="Arial" w:cs="Arial"/>
          <w:color w:val="021B34"/>
          <w:sz w:val="20"/>
          <w:szCs w:val="20"/>
        </w:rPr>
        <w:t>By contrast, the p-value for age is now p=0.23. The hazard ratio HR = exp(coef) = 1.01, with a 95% confidence interval of 0.99 to 1.03. Because the confidence interval for HR includes 1, these results indicate that age makes a smaller contribution to the difference in the HR after adjusting for the ph.ecog values and patient’s sex, and only trend toward significance. For example, holding the other covariates constant, an additional year of age induce daily hazard of death by a factor of exp(beta) = 1.01, or 1%, which is not a significant contribution.</w:t>
      </w:r>
    </w:p>
    <w:p w:rsidR="00200978" w:rsidRDefault="00200978" w:rsidP="00D47888">
      <w:pPr>
        <w:pStyle w:val="Heading3"/>
        <w:shd w:val="clear" w:color="auto" w:fill="FFFFFF"/>
        <w:spacing w:before="450" w:after="225"/>
        <w:jc w:val="both"/>
        <w:rPr>
          <w:rFonts w:ascii="Arial" w:hAnsi="Arial" w:cs="Arial"/>
          <w:b/>
          <w:color w:val="021B34"/>
        </w:rPr>
        <w:sectPr w:rsidR="00200978" w:rsidSect="00200978">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pPr>
    </w:p>
    <w:p w:rsidR="00CD3776" w:rsidRDefault="00CD3776"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Pr="00137612" w:rsidRDefault="00A5297E" w:rsidP="006C7F6D">
      <w:pPr>
        <w:rPr>
          <w:rFonts w:ascii="Arial" w:eastAsiaTheme="majorEastAsia" w:hAnsi="Arial" w:cs="Arial"/>
          <w:color w:val="021B34"/>
          <w:sz w:val="28"/>
          <w:szCs w:val="28"/>
        </w:rPr>
      </w:pPr>
      <w:r>
        <w:rPr>
          <w:rFonts w:ascii="Arial" w:eastAsiaTheme="majorEastAsia" w:hAnsi="Arial" w:cs="Arial"/>
          <w:color w:val="021B34"/>
          <w:sz w:val="16"/>
          <w:szCs w:val="16"/>
          <w14:textFill>
            <w14:solidFill>
              <w14:srgbClr w14:val="021B34">
                <w14:lumMod w14:val="75000"/>
              </w14:srgbClr>
            </w14:solidFill>
          </w14:textFill>
        </w:rPr>
        <w:t xml:space="preserve">                          </w:t>
      </w:r>
      <w:r w:rsidR="00ED1666" w:rsidRPr="00410627">
        <w:rPr>
          <w:rFonts w:ascii="Cambria" w:eastAsia="Times New Roman" w:hAnsi="Cambria" w:cs="Times New Roman"/>
          <w:b/>
          <w:bCs/>
          <w:color w:val="1F4E79" w:themeColor="accent5" w:themeShade="80"/>
          <w:sz w:val="28"/>
          <w:szCs w:val="28"/>
        </w:rPr>
        <w:t>Visualizing the Estimated Distribution of Survival Times.</w:t>
      </w:r>
      <w:r w:rsidR="00ED1666">
        <w:rPr>
          <w:rFonts w:ascii="Rockwell Condensed" w:hAnsi="Rockwell Condensed" w:cs="Rockwell Condensed"/>
          <w:b/>
          <w:bCs/>
          <w:color w:val="2E74B5" w:themeColor="accent5" w:themeShade="BF"/>
        </w:rPr>
        <w:t xml:space="preserve"> </w:t>
      </w:r>
    </w:p>
    <w:p w:rsidR="00137612" w:rsidRDefault="00137612" w:rsidP="006C7F6D">
      <w:pPr>
        <w:rPr>
          <w:rFonts w:ascii="Arial" w:eastAsiaTheme="majorEastAsia" w:hAnsi="Arial" w:cs="Arial"/>
          <w:color w:val="021B34"/>
          <w:sz w:val="16"/>
          <w:szCs w:val="16"/>
        </w:rPr>
      </w:pPr>
    </w:p>
    <w:p w:rsidR="00137612" w:rsidRDefault="00137612" w:rsidP="006C7F6D">
      <w:pPr>
        <w:rPr>
          <w:rFonts w:ascii="Arial" w:eastAsiaTheme="majorEastAsia" w:hAnsi="Arial" w:cs="Arial"/>
          <w:color w:val="021B34"/>
          <w:sz w:val="16"/>
          <w:szCs w:val="16"/>
        </w:rPr>
      </w:pPr>
    </w:p>
    <w:p w:rsidR="00137612" w:rsidRDefault="00137612" w:rsidP="006C7F6D">
      <w:pPr>
        <w:rPr>
          <w:rFonts w:ascii="Arial" w:eastAsiaTheme="majorEastAsia" w:hAnsi="Arial" w:cs="Arial"/>
          <w:color w:val="021B34"/>
          <w:sz w:val="16"/>
          <w:szCs w:val="16"/>
        </w:rPr>
      </w:pPr>
    </w:p>
    <w:p w:rsidR="00137612" w:rsidRPr="00A64AC2" w:rsidRDefault="00137612" w:rsidP="006C7F6D">
      <w:pPr>
        <w:rPr>
          <w:rFonts w:ascii="Rockwell Condensed" w:hAnsi="Rockwell Condensed" w:cs="Rockwell Condensed"/>
          <w:b/>
          <w:bCs/>
          <w:color w:val="2E74B5" w:themeColor="accent5" w:themeShade="BF"/>
        </w:rPr>
      </w:pPr>
    </w:p>
    <w:p w:rsidR="00CD3776" w:rsidRPr="00410627" w:rsidRDefault="00137612" w:rsidP="006C7F6D">
      <w:pPr>
        <w:rPr>
          <w:rFonts w:ascii="Cambria" w:eastAsia="Times New Roman" w:hAnsi="Cambria" w:cs="Times New Roman"/>
          <w:b/>
          <w:bCs/>
          <w:color w:val="1F4E79" w:themeColor="accent5" w:themeShade="80"/>
          <w:sz w:val="20"/>
          <w:szCs w:val="20"/>
        </w:rPr>
      </w:pPr>
      <w:r w:rsidRPr="00410627">
        <w:rPr>
          <w:rFonts w:ascii="Cambria" w:eastAsia="Times New Roman" w:hAnsi="Cambria" w:cs="Times New Roman"/>
          <w:b/>
          <w:bCs/>
          <w:color w:val="1F4E79" w:themeColor="accent5" w:themeShade="80"/>
          <w:sz w:val="20"/>
          <w:szCs w:val="20"/>
        </w:rPr>
        <w:t xml:space="preserve">Survival </w:t>
      </w:r>
      <w:r w:rsidRPr="00410627">
        <w:rPr>
          <w:rFonts w:ascii="Cambria" w:eastAsia="Times New Roman" w:hAnsi="Cambria" w:cs="Times New Roman"/>
          <w:b/>
          <w:bCs/>
          <w:color w:val="1F4E79" w:themeColor="accent5" w:themeShade="80"/>
          <w:sz w:val="20"/>
          <w:szCs w:val="20"/>
        </w:rPr>
        <w:t>probability of ph.ecog</w:t>
      </w:r>
      <w:r w:rsidRPr="00410627">
        <w:rPr>
          <w:rFonts w:ascii="Cambria" w:eastAsia="Times New Roman" w:hAnsi="Cambria" w:cs="Times New Roman"/>
          <w:b/>
          <w:bCs/>
          <w:color w:val="1F4E79" w:themeColor="accent5" w:themeShade="80"/>
          <w:sz w:val="20"/>
          <w:szCs w:val="20"/>
        </w:rPr>
        <w:t xml:space="preserve"> </w:t>
      </w:r>
      <w:r w:rsidRPr="00410627">
        <w:rPr>
          <w:rFonts w:ascii="Cambria" w:eastAsia="Times New Roman" w:hAnsi="Cambria" w:cs="Times New Roman"/>
          <w:b/>
          <w:bCs/>
          <w:color w:val="1F4E79" w:themeColor="accent5" w:themeShade="80"/>
          <w:sz w:val="20"/>
          <w:szCs w:val="20"/>
        </w:rPr>
        <w:t xml:space="preserve"> </w:t>
      </w:r>
      <w:r w:rsidR="00AC5BF4" w:rsidRPr="00410627">
        <w:rPr>
          <w:rFonts w:ascii="Cambria" w:eastAsia="Times New Roman" w:hAnsi="Cambria" w:cs="Times New Roman"/>
          <w:b/>
          <w:bCs/>
          <w:color w:val="1F4E79" w:themeColor="accent5" w:themeShade="80"/>
          <w:sz w:val="20"/>
          <w:szCs w:val="20"/>
        </w:rPr>
        <w:drawing>
          <wp:anchor distT="0" distB="0" distL="114300" distR="114300" simplePos="0" relativeHeight="251658240" behindDoc="0" locked="0" layoutInCell="1" allowOverlap="1" wp14:anchorId="24CA72C1">
            <wp:simplePos x="0" y="0"/>
            <wp:positionH relativeFrom="column">
              <wp:posOffset>2755153</wp:posOffset>
            </wp:positionH>
            <wp:positionV relativeFrom="paragraph">
              <wp:posOffset>336</wp:posOffset>
            </wp:positionV>
            <wp:extent cx="3782695" cy="3091815"/>
            <wp:effectExtent l="0" t="0" r="1905"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82695" cy="3091815"/>
                    </a:xfrm>
                    <a:prstGeom prst="rect">
                      <a:avLst/>
                    </a:prstGeom>
                  </pic:spPr>
                </pic:pic>
              </a:graphicData>
            </a:graphic>
            <wp14:sizeRelH relativeFrom="margin">
              <wp14:pctWidth>0</wp14:pctWidth>
            </wp14:sizeRelH>
            <wp14:sizeRelV relativeFrom="margin">
              <wp14:pctHeight>0</wp14:pctHeight>
            </wp14:sizeRelV>
          </wp:anchor>
        </w:drawing>
      </w:r>
      <w:r w:rsidR="00A64AC2" w:rsidRPr="00410627">
        <w:rPr>
          <w:rFonts w:ascii="Cambria" w:eastAsia="Times New Roman" w:hAnsi="Cambria" w:cs="Times New Roman"/>
          <w:b/>
          <w:bCs/>
          <w:color w:val="1F4E79" w:themeColor="accent5" w:themeShade="80"/>
          <w:sz w:val="20"/>
          <w:szCs w:val="20"/>
        </w:rPr>
        <w:t>Covariate</w:t>
      </w:r>
    </w:p>
    <w:p w:rsidR="00377E4F" w:rsidRDefault="00377E4F" w:rsidP="006C7F6D">
      <w:pPr>
        <w:rPr>
          <w:rFonts w:ascii="Rockwell Condensed" w:hAnsi="Rockwell Condensed" w:cs="Rockwell Condensed"/>
          <w:b/>
          <w:bCs/>
          <w:color w:val="2E74B5" w:themeColor="accent5" w:themeShade="BF"/>
        </w:rPr>
      </w:pPr>
    </w:p>
    <w:p w:rsidR="00377E4F" w:rsidRDefault="00377E4F" w:rsidP="006C7F6D">
      <w:pPr>
        <w:rPr>
          <w:rFonts w:ascii="Rockwell Condensed" w:hAnsi="Rockwell Condensed" w:cs="Rockwell Condensed"/>
          <w:b/>
          <w:bCs/>
          <w:color w:val="2E74B5" w:themeColor="accent5" w:themeShade="BF"/>
        </w:rPr>
      </w:pPr>
      <w:r>
        <w:rPr>
          <w:rFonts w:ascii="Rockwell Condensed" w:hAnsi="Rockwell Condensed" w:cs="Rockwell Condensed"/>
          <w:b/>
          <w:bCs/>
          <w:color w:val="2E74B5" w:themeColor="accent5" w:themeShade="BF"/>
        </w:rPr>
        <w:t>Rcode:</w:t>
      </w:r>
    </w:p>
    <w:p w:rsidR="00377E4F" w:rsidRPr="00377E4F" w:rsidRDefault="00377E4F" w:rsidP="00377E4F">
      <w:pPr>
        <w:rPr>
          <w:rFonts w:ascii="Arial" w:eastAsia="Times New Roman" w:hAnsi="Arial" w:cs="Arial"/>
          <w:color w:val="021B34"/>
          <w:sz w:val="20"/>
          <w:szCs w:val="20"/>
          <w:shd w:val="clear" w:color="auto" w:fill="FFFFFF"/>
        </w:rPr>
      </w:pPr>
      <w:r w:rsidRPr="00377E4F">
        <w:rPr>
          <w:rFonts w:ascii="Arial" w:eastAsia="Times New Roman" w:hAnsi="Arial" w:cs="Arial"/>
          <w:color w:val="021B34"/>
          <w:sz w:val="20"/>
          <w:szCs w:val="20"/>
          <w:shd w:val="clear" w:color="auto" w:fill="FFFFFF"/>
        </w:rPr>
        <w:t>fit2 &lt;- survfit(S</w:t>
      </w:r>
      <w:r w:rsidR="00F05DF4">
        <w:rPr>
          <w:rFonts w:ascii="Arial" w:eastAsia="Times New Roman" w:hAnsi="Arial" w:cs="Arial"/>
          <w:color w:val="021B34"/>
          <w:sz w:val="20"/>
          <w:szCs w:val="20"/>
          <w:shd w:val="clear" w:color="auto" w:fill="FFFFFF"/>
        </w:rPr>
        <w:t>urv(time,status)~ ph.ecog, data</w:t>
      </w:r>
      <w:r w:rsidRPr="00377E4F">
        <w:rPr>
          <w:rFonts w:ascii="Arial" w:eastAsia="Times New Roman" w:hAnsi="Arial" w:cs="Arial"/>
          <w:color w:val="021B34"/>
          <w:sz w:val="20"/>
          <w:szCs w:val="20"/>
          <w:shd w:val="clear" w:color="auto" w:fill="FFFFFF"/>
        </w:rPr>
        <w:t>= lung)</w:t>
      </w:r>
    </w:p>
    <w:p w:rsidR="00377E4F" w:rsidRPr="00377E4F" w:rsidRDefault="00377E4F" w:rsidP="00377E4F">
      <w:pPr>
        <w:rPr>
          <w:rFonts w:ascii="Arial" w:eastAsia="Times New Roman" w:hAnsi="Arial" w:cs="Arial"/>
          <w:color w:val="021B34"/>
          <w:sz w:val="20"/>
          <w:szCs w:val="20"/>
          <w:shd w:val="clear" w:color="auto" w:fill="FFFFFF"/>
        </w:rPr>
      </w:pPr>
      <w:r w:rsidRPr="00377E4F">
        <w:rPr>
          <w:rFonts w:ascii="Arial" w:eastAsia="Times New Roman" w:hAnsi="Arial" w:cs="Arial"/>
          <w:color w:val="021B34"/>
          <w:sz w:val="20"/>
          <w:szCs w:val="20"/>
          <w:shd w:val="clear" w:color="auto" w:fill="FFFFFF"/>
        </w:rPr>
        <w:t>ggsurvplot(fit2, data = lung)</w:t>
      </w:r>
    </w:p>
    <w:p w:rsidR="00377E4F" w:rsidRDefault="00377E4F" w:rsidP="006C7F6D">
      <w:pPr>
        <w:rPr>
          <w:rFonts w:ascii="Arial" w:eastAsiaTheme="majorEastAsia" w:hAnsi="Arial" w:cs="Arial"/>
          <w:color w:val="021B34"/>
          <w:sz w:val="16"/>
          <w:szCs w:val="16"/>
          <w14:textFill>
            <w14:solidFill>
              <w14:srgbClr w14:val="021B34">
                <w14:lumMod w14:val="75000"/>
              </w14:srgbClr>
            </w14:solidFill>
          </w14:textFill>
        </w:rPr>
      </w:pPr>
    </w:p>
    <w:p w:rsidR="009D2A94" w:rsidRPr="00137612" w:rsidRDefault="00137612" w:rsidP="00137612">
      <w:pPr>
        <w:rPr>
          <w:rFonts w:ascii="Arial" w:eastAsia="Times New Roman" w:hAnsi="Arial" w:cs="Arial"/>
          <w:color w:val="021B34"/>
          <w:sz w:val="20"/>
          <w:szCs w:val="20"/>
          <w:shd w:val="clear" w:color="auto" w:fill="FFFFFF"/>
        </w:rPr>
        <w:sectPr w:rsidR="009D2A94" w:rsidRPr="00137612" w:rsidSect="00200978">
          <w:type w:val="continuous"/>
          <w:pgSz w:w="12240" w:h="15840"/>
          <w:pgMar w:top="1440" w:right="1080" w:bottom="1440" w:left="1080" w:header="720" w:footer="720" w:gutter="0"/>
          <w:cols w:space="720"/>
          <w:docGrid w:linePitch="360"/>
        </w:sectPr>
      </w:pPr>
      <w:r>
        <w:rPr>
          <w:rFonts w:ascii="Arial" w:eastAsia="Times New Roman" w:hAnsi="Arial" w:cs="Arial"/>
          <w:color w:val="021B34"/>
          <w:sz w:val="20"/>
          <w:szCs w:val="20"/>
          <w:shd w:val="clear" w:color="auto" w:fill="FFFFFF"/>
        </w:rPr>
        <w:t xml:space="preserve">                 </w:t>
      </w:r>
    </w:p>
    <w:p w:rsidR="00CD3776" w:rsidRPr="00137612" w:rsidRDefault="00CD3776" w:rsidP="00137612">
      <w:pPr>
        <w:pStyle w:val="ListParagraph"/>
        <w:numPr>
          <w:ilvl w:val="0"/>
          <w:numId w:val="5"/>
        </w:numPr>
        <w:rPr>
          <w:rFonts w:ascii="Arial" w:eastAsia="Times New Roman" w:hAnsi="Arial" w:cs="Arial"/>
          <w:color w:val="021B34"/>
          <w:sz w:val="20"/>
          <w:szCs w:val="20"/>
          <w:shd w:val="clear" w:color="auto" w:fill="FFFFFF"/>
        </w:rPr>
      </w:pPr>
      <w:r w:rsidRPr="00137612">
        <w:rPr>
          <w:rFonts w:ascii="Arial" w:eastAsia="Times New Roman" w:hAnsi="Arial" w:cs="Arial"/>
          <w:color w:val="021B34"/>
          <w:sz w:val="20"/>
          <w:szCs w:val="20"/>
          <w:shd w:val="clear" w:color="auto" w:fill="FFFFFF"/>
        </w:rPr>
        <w:t xml:space="preserve">we can see that the ph.ecog </w:t>
      </w:r>
      <w:r w:rsidR="00D37E91" w:rsidRPr="00137612">
        <w:rPr>
          <w:rFonts w:ascii="Arial" w:eastAsia="Times New Roman" w:hAnsi="Arial" w:cs="Arial"/>
          <w:color w:val="021B34"/>
          <w:sz w:val="20"/>
          <w:szCs w:val="20"/>
          <w:shd w:val="clear" w:color="auto" w:fill="FFFFFF"/>
        </w:rPr>
        <w:t xml:space="preserve">variable </w:t>
      </w:r>
      <w:r w:rsidRPr="00137612">
        <w:rPr>
          <w:rFonts w:ascii="Arial" w:eastAsia="Times New Roman" w:hAnsi="Arial" w:cs="Arial"/>
          <w:color w:val="021B34"/>
          <w:sz w:val="20"/>
          <w:szCs w:val="20"/>
          <w:shd w:val="clear" w:color="auto" w:fill="FFFFFF"/>
        </w:rPr>
        <w:t>significantly influence the patient’s  risk of death in this</w:t>
      </w:r>
      <w:r w:rsidRPr="00137612">
        <w:rPr>
          <w:rFonts w:ascii="Arial" w:eastAsia="Times New Roman" w:hAnsi="Arial" w:cs="Arial"/>
          <w:color w:val="021B34"/>
          <w:sz w:val="20"/>
          <w:szCs w:val="20"/>
          <w:shd w:val="clear" w:color="auto" w:fill="FFFFFF"/>
        </w:rPr>
        <w:t xml:space="preserve"> study</w:t>
      </w:r>
      <w:r w:rsidR="00D37E91" w:rsidRPr="00137612">
        <w:rPr>
          <w:rFonts w:ascii="Arial" w:eastAsia="Times New Roman" w:hAnsi="Arial" w:cs="Arial"/>
          <w:color w:val="021B34"/>
          <w:sz w:val="20"/>
          <w:szCs w:val="20"/>
          <w:shd w:val="clear" w:color="auto" w:fill="FFFFFF"/>
        </w:rPr>
        <w:t>.</w:t>
      </w:r>
    </w:p>
    <w:p w:rsidR="00D37E91" w:rsidRPr="00137612" w:rsidRDefault="00D37E91" w:rsidP="00137612">
      <w:pPr>
        <w:pStyle w:val="ListParagraph"/>
        <w:numPr>
          <w:ilvl w:val="0"/>
          <w:numId w:val="5"/>
        </w:numPr>
        <w:rPr>
          <w:rFonts w:ascii="Arial" w:eastAsia="Times New Roman" w:hAnsi="Arial" w:cs="Arial"/>
          <w:color w:val="021B34"/>
          <w:sz w:val="20"/>
          <w:szCs w:val="20"/>
          <w:shd w:val="clear" w:color="auto" w:fill="FFFFFF"/>
        </w:rPr>
      </w:pPr>
      <w:r w:rsidRPr="00137612">
        <w:rPr>
          <w:rFonts w:ascii="Arial" w:eastAsia="Times New Roman" w:hAnsi="Arial" w:cs="Arial"/>
          <w:color w:val="021B34"/>
          <w:sz w:val="20"/>
          <w:szCs w:val="20"/>
          <w:shd w:val="clear" w:color="auto" w:fill="FFFFFF"/>
        </w:rPr>
        <w:t>Strong relationship between the ph.ecog value and increased risk of death. Holding the other covariates constant, a higher value of ph.ecog is associated with a poor survival</w:t>
      </w: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Pr="00DF639E" w:rsidRDefault="00137612" w:rsidP="00137612">
      <w:pPr>
        <w:rPr>
          <w:rFonts w:ascii="Arial" w:eastAsiaTheme="majorEastAsia" w:hAnsi="Arial" w:cs="Arial"/>
          <w:color w:val="021B34"/>
          <w:sz w:val="16"/>
          <w:szCs w:val="16"/>
          <w14:textFill>
            <w14:solidFill>
              <w14:srgbClr w14:val="021B34">
                <w14:lumMod w14:val="75000"/>
              </w14:srgbClr>
            </w14:solidFill>
          </w14:textFill>
        </w:rPr>
      </w:pPr>
      <w:r>
        <w:rPr>
          <w:rFonts w:ascii="Arial" w:eastAsiaTheme="majorEastAsia" w:hAnsi="Arial" w:cs="Arial"/>
          <w:color w:val="021B34"/>
          <w:sz w:val="16"/>
          <w:szCs w:val="16"/>
          <w14:textFill>
            <w14:solidFill>
              <w14:srgbClr w14:val="021B34">
                <w14:lumMod w14:val="75000"/>
              </w14:srgbClr>
            </w14:solidFill>
          </w14:textFill>
        </w:rPr>
        <w:t xml:space="preserve"> </w:t>
      </w:r>
      <w:r w:rsidRPr="00410627">
        <w:rPr>
          <w:rFonts w:ascii="Cambria" w:eastAsia="Times New Roman" w:hAnsi="Cambria" w:cs="Times New Roman"/>
          <w:b/>
          <w:bCs/>
          <w:color w:val="1F4E79" w:themeColor="accent5" w:themeShade="80"/>
          <w:sz w:val="20"/>
          <w:szCs w:val="20"/>
        </w:rPr>
        <w:t>Survival probability of sex covariate</w:t>
      </w: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Default="00137612" w:rsidP="006C7F6D">
      <w:pPr>
        <w:rPr>
          <w:rFonts w:ascii="Arial" w:eastAsiaTheme="majorEastAsia" w:hAnsi="Arial" w:cs="Arial"/>
          <w:color w:val="021B34"/>
          <w:sz w:val="16"/>
          <w:szCs w:val="16"/>
          <w14:textFill>
            <w14:solidFill>
              <w14:srgbClr w14:val="021B34">
                <w14:lumMod w14:val="75000"/>
              </w14:srgbClr>
            </w14:solidFill>
          </w14:textFill>
        </w:rPr>
      </w:pPr>
    </w:p>
    <w:p w:rsidR="00137612" w:rsidRPr="00B561EE" w:rsidRDefault="008B048E" w:rsidP="00137612">
      <w:pPr>
        <w:rPr>
          <w:rFonts w:ascii="Arial" w:eastAsiaTheme="majorEastAsia" w:hAnsi="Arial" w:cs="Arial"/>
          <w:color w:val="021B34"/>
          <w:sz w:val="16"/>
          <w:szCs w:val="16"/>
          <w14:textFill>
            <w14:solidFill>
              <w14:srgbClr w14:val="021B34">
                <w14:lumMod w14:val="75000"/>
              </w14:srgbClr>
            </w14:solidFill>
          </w14:textFill>
        </w:rPr>
      </w:pPr>
      <w:r>
        <w:rPr>
          <w:rFonts w:ascii="Arial" w:eastAsiaTheme="majorEastAsia" w:hAnsi="Arial" w:cs="Arial"/>
          <w:color w:val="021B34"/>
          <w:sz w:val="16"/>
          <w:szCs w:val="16"/>
          <w14:textFill>
            <w14:solidFill>
              <w14:srgbClr w14:val="021B34">
                <w14:lumMod w14:val="75000"/>
              </w14:srgbClr>
            </w14:solidFill>
          </w14:textFill>
        </w:rPr>
        <w:lastRenderedPageBreak/>
        <w:br w:type="textWrapping" w:clear="all"/>
      </w:r>
      <w:r w:rsidR="009D2A94" w:rsidRPr="00AC5BF4">
        <w:drawing>
          <wp:inline distT="0" distB="0" distL="0" distR="0" wp14:anchorId="4D3A427D" wp14:editId="4F15A6DA">
            <wp:extent cx="3308883" cy="2626659"/>
            <wp:effectExtent l="0" t="0" r="6350" b="254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88574" cy="2689919"/>
                    </a:xfrm>
                    <a:prstGeom prst="rect">
                      <a:avLst/>
                    </a:prstGeom>
                  </pic:spPr>
                </pic:pic>
              </a:graphicData>
            </a:graphic>
          </wp:inline>
        </w:drawing>
      </w:r>
      <w:r w:rsidR="00CD3776">
        <w:rPr>
          <w:rFonts w:ascii="Arial" w:eastAsiaTheme="majorEastAsia" w:hAnsi="Arial" w:cs="Arial"/>
          <w:color w:val="021B34"/>
          <w:sz w:val="16"/>
          <w:szCs w:val="16"/>
          <w14:textFill>
            <w14:solidFill>
              <w14:srgbClr w14:val="021B34">
                <w14:lumMod w14:val="75000"/>
              </w14:srgbClr>
            </w14:solidFill>
          </w14:textFill>
        </w:rPr>
        <w:t xml:space="preserve">                                                                                                                        </w:t>
      </w:r>
      <w:r w:rsidR="00215713">
        <w:rPr>
          <w:rFonts w:ascii="Arial" w:eastAsiaTheme="majorEastAsia" w:hAnsi="Arial" w:cs="Arial"/>
          <w:color w:val="021B34"/>
          <w:sz w:val="16"/>
          <w:szCs w:val="16"/>
          <w14:textFill>
            <w14:solidFill>
              <w14:srgbClr w14:val="021B34">
                <w14:lumMod w14:val="75000"/>
              </w14:srgbClr>
            </w14:solidFill>
          </w14:textFill>
        </w:rPr>
        <w:t xml:space="preserve">      </w:t>
      </w:r>
      <w:r w:rsidR="00137612">
        <w:rPr>
          <w:rFonts w:ascii="Arial" w:eastAsiaTheme="majorEastAsia" w:hAnsi="Arial" w:cs="Arial"/>
          <w:color w:val="021B34"/>
          <w:sz w:val="16"/>
          <w:szCs w:val="16"/>
        </w:rPr>
        <w:t xml:space="preserve"> </w:t>
      </w:r>
    </w:p>
    <w:p w:rsidR="00137612" w:rsidRDefault="00137612" w:rsidP="00137612">
      <w:pPr>
        <w:rPr>
          <w:rFonts w:ascii="Arial" w:eastAsiaTheme="majorEastAsia" w:hAnsi="Arial" w:cs="Arial"/>
          <w:color w:val="021B34"/>
          <w:sz w:val="16"/>
          <w:szCs w:val="16"/>
        </w:rPr>
      </w:pPr>
    </w:p>
    <w:p w:rsidR="00137612" w:rsidRDefault="006C7F6D" w:rsidP="00137612">
      <w:pPr>
        <w:rPr>
          <w:rFonts w:ascii="Arial" w:eastAsiaTheme="majorEastAsia" w:hAnsi="Arial" w:cs="Arial"/>
          <w:color w:val="021B34"/>
          <w:sz w:val="16"/>
          <w:szCs w:val="16"/>
        </w:rPr>
      </w:pPr>
      <w:r>
        <w:rPr>
          <w:rFonts w:ascii="Arial" w:eastAsiaTheme="majorEastAsia" w:hAnsi="Arial" w:cs="Arial"/>
          <w:color w:val="021B34"/>
          <w:sz w:val="16"/>
          <w:szCs w:val="16"/>
        </w:rPr>
        <w:t xml:space="preserve">                                          </w:t>
      </w:r>
    </w:p>
    <w:p w:rsidR="00137612" w:rsidRDefault="00137612" w:rsidP="00137612">
      <w:pPr>
        <w:rPr>
          <w:rFonts w:ascii="Arial" w:eastAsiaTheme="majorEastAsia" w:hAnsi="Arial" w:cs="Arial"/>
          <w:color w:val="021B34"/>
          <w:sz w:val="16"/>
          <w:szCs w:val="16"/>
        </w:rPr>
      </w:pPr>
    </w:p>
    <w:p w:rsidR="00D62FFA" w:rsidRDefault="00D62FFA" w:rsidP="00D62FFA">
      <w:pPr>
        <w:ind w:left="360"/>
        <w:rPr>
          <w:rFonts w:ascii="Arial" w:eastAsia="Times New Roman" w:hAnsi="Arial" w:cs="Arial"/>
          <w:color w:val="021B34"/>
          <w:sz w:val="20"/>
          <w:szCs w:val="20"/>
          <w:shd w:val="clear" w:color="auto" w:fill="FFFFFF"/>
        </w:rPr>
      </w:pPr>
    </w:p>
    <w:p w:rsidR="00D62FFA" w:rsidRDefault="00D62FFA" w:rsidP="00D62FFA">
      <w:pPr>
        <w:ind w:left="360"/>
        <w:rPr>
          <w:rFonts w:ascii="Arial" w:eastAsia="Times New Roman" w:hAnsi="Arial" w:cs="Arial"/>
          <w:color w:val="021B34"/>
          <w:sz w:val="20"/>
          <w:szCs w:val="20"/>
          <w:shd w:val="clear" w:color="auto" w:fill="FFFFFF"/>
        </w:rPr>
      </w:pPr>
    </w:p>
    <w:p w:rsidR="00D62FFA" w:rsidRDefault="00D62FFA" w:rsidP="00D62FFA">
      <w:pPr>
        <w:ind w:left="360"/>
        <w:rPr>
          <w:rFonts w:ascii="Arial" w:eastAsia="Times New Roman" w:hAnsi="Arial" w:cs="Arial"/>
          <w:color w:val="021B34"/>
          <w:sz w:val="20"/>
          <w:szCs w:val="20"/>
          <w:shd w:val="clear" w:color="auto" w:fill="FFFFFF"/>
        </w:rPr>
      </w:pPr>
    </w:p>
    <w:p w:rsidR="00D62FFA" w:rsidRDefault="00D62FFA" w:rsidP="00D62FFA">
      <w:pPr>
        <w:ind w:left="360"/>
        <w:rPr>
          <w:rFonts w:ascii="Arial" w:eastAsia="Times New Roman" w:hAnsi="Arial" w:cs="Arial"/>
          <w:color w:val="021B34"/>
          <w:sz w:val="20"/>
          <w:szCs w:val="20"/>
          <w:shd w:val="clear" w:color="auto" w:fill="FFFFFF"/>
        </w:rPr>
      </w:pPr>
    </w:p>
    <w:p w:rsidR="00D62FFA" w:rsidRDefault="00D62FFA" w:rsidP="00D62FFA">
      <w:pPr>
        <w:ind w:left="360"/>
        <w:rPr>
          <w:rFonts w:ascii="Arial" w:eastAsia="Times New Roman" w:hAnsi="Arial" w:cs="Arial"/>
          <w:color w:val="021B34"/>
          <w:sz w:val="20"/>
          <w:szCs w:val="20"/>
          <w:shd w:val="clear" w:color="auto" w:fill="FFFFFF"/>
        </w:rPr>
      </w:pPr>
    </w:p>
    <w:p w:rsidR="006A2109" w:rsidRDefault="006A2109" w:rsidP="006A2109">
      <w:pPr>
        <w:ind w:left="360"/>
        <w:rPr>
          <w:rFonts w:ascii="Arial" w:eastAsia="Times New Roman" w:hAnsi="Arial" w:cs="Arial"/>
          <w:color w:val="021B34"/>
          <w:sz w:val="20"/>
          <w:szCs w:val="20"/>
          <w:shd w:val="clear" w:color="auto" w:fill="FFFFFF"/>
        </w:rPr>
      </w:pPr>
      <w:r>
        <w:rPr>
          <w:rFonts w:ascii="Arial" w:eastAsia="Times New Roman" w:hAnsi="Arial" w:cs="Arial"/>
          <w:color w:val="021B34"/>
          <w:sz w:val="20"/>
          <w:szCs w:val="20"/>
          <w:shd w:val="clear" w:color="auto" w:fill="FFFFFF"/>
        </w:rPr>
        <w:t>Rcode:</w:t>
      </w:r>
    </w:p>
    <w:p w:rsidR="006A2109" w:rsidRPr="006A2109" w:rsidRDefault="006A2109" w:rsidP="006A2109">
      <w:pPr>
        <w:ind w:left="360"/>
        <w:rPr>
          <w:rFonts w:ascii="Arial" w:eastAsia="Times New Roman" w:hAnsi="Arial" w:cs="Arial"/>
          <w:color w:val="021B34"/>
          <w:sz w:val="20"/>
          <w:szCs w:val="20"/>
          <w:shd w:val="clear" w:color="auto" w:fill="FFFFFF"/>
        </w:rPr>
      </w:pPr>
      <w:r w:rsidRPr="006A2109">
        <w:rPr>
          <w:rFonts w:ascii="Arial" w:eastAsia="Times New Roman" w:hAnsi="Arial" w:cs="Arial"/>
          <w:color w:val="021B34"/>
          <w:sz w:val="20"/>
          <w:szCs w:val="20"/>
          <w:shd w:val="clear" w:color="auto" w:fill="FFFFFF"/>
        </w:rPr>
        <w:t>fit &lt;- survfit(Surv(time,status)~ sex, data = lung)</w:t>
      </w:r>
    </w:p>
    <w:p w:rsidR="00D62FFA" w:rsidRDefault="006A2109" w:rsidP="006A2109">
      <w:pPr>
        <w:ind w:left="360"/>
        <w:rPr>
          <w:rFonts w:ascii="Arial" w:eastAsia="Times New Roman" w:hAnsi="Arial" w:cs="Arial"/>
          <w:color w:val="021B34"/>
          <w:sz w:val="20"/>
          <w:szCs w:val="20"/>
          <w:shd w:val="clear" w:color="auto" w:fill="FFFFFF"/>
        </w:rPr>
      </w:pPr>
      <w:r w:rsidRPr="006A2109">
        <w:rPr>
          <w:rFonts w:ascii="Arial" w:eastAsia="Times New Roman" w:hAnsi="Arial" w:cs="Arial"/>
          <w:color w:val="021B34"/>
          <w:sz w:val="20"/>
          <w:szCs w:val="20"/>
          <w:shd w:val="clear" w:color="auto" w:fill="FFFFFF"/>
        </w:rPr>
        <w:t>ggsurvplot(fit, data = lung)</w:t>
      </w:r>
    </w:p>
    <w:p w:rsidR="00D62FFA" w:rsidRDefault="00D62FFA" w:rsidP="00D62FFA">
      <w:pPr>
        <w:ind w:left="360"/>
        <w:rPr>
          <w:rFonts w:ascii="Arial" w:eastAsia="Times New Roman" w:hAnsi="Arial" w:cs="Arial"/>
          <w:color w:val="021B34"/>
          <w:sz w:val="20"/>
          <w:szCs w:val="20"/>
          <w:shd w:val="clear" w:color="auto" w:fill="FFFFFF"/>
        </w:rPr>
      </w:pPr>
    </w:p>
    <w:p w:rsidR="00D62FFA" w:rsidRDefault="00D62FFA" w:rsidP="00D62FFA">
      <w:pPr>
        <w:ind w:left="360"/>
        <w:rPr>
          <w:rFonts w:ascii="Arial" w:eastAsia="Times New Roman" w:hAnsi="Arial" w:cs="Arial"/>
          <w:color w:val="021B34"/>
          <w:sz w:val="20"/>
          <w:szCs w:val="20"/>
          <w:shd w:val="clear" w:color="auto" w:fill="FFFFFF"/>
        </w:rPr>
      </w:pPr>
    </w:p>
    <w:p w:rsidR="00D62FFA" w:rsidRDefault="00D62FFA" w:rsidP="00D62FFA">
      <w:pPr>
        <w:ind w:left="360"/>
        <w:rPr>
          <w:rFonts w:ascii="Arial" w:eastAsia="Times New Roman" w:hAnsi="Arial" w:cs="Arial"/>
          <w:color w:val="021B34"/>
          <w:sz w:val="20"/>
          <w:szCs w:val="20"/>
          <w:shd w:val="clear" w:color="auto" w:fill="FFFFFF"/>
        </w:rPr>
      </w:pPr>
    </w:p>
    <w:p w:rsidR="009D2A94" w:rsidRPr="00F720B7" w:rsidRDefault="009D2A94" w:rsidP="00F720B7">
      <w:pPr>
        <w:pStyle w:val="ListParagraph"/>
        <w:numPr>
          <w:ilvl w:val="0"/>
          <w:numId w:val="10"/>
        </w:numPr>
        <w:rPr>
          <w:rFonts w:ascii="Arial" w:eastAsiaTheme="majorEastAsia" w:hAnsi="Arial" w:cs="Arial"/>
          <w:color w:val="021B34"/>
          <w:sz w:val="16"/>
          <w:szCs w:val="16"/>
        </w:rPr>
      </w:pPr>
      <w:r w:rsidRPr="00F720B7">
        <w:rPr>
          <w:rFonts w:ascii="Arial" w:eastAsia="Times New Roman" w:hAnsi="Arial" w:cs="Arial"/>
          <w:color w:val="021B34"/>
          <w:sz w:val="20"/>
          <w:szCs w:val="20"/>
          <w:shd w:val="clear" w:color="auto" w:fill="FFFFFF"/>
        </w:rPr>
        <w:t>Strong relationship between the patients’ sex and decreased risk of death</w:t>
      </w:r>
      <w:r w:rsidR="00137612" w:rsidRPr="00F720B7">
        <w:rPr>
          <w:rFonts w:ascii="Arial" w:eastAsia="Times New Roman" w:hAnsi="Arial" w:cs="Arial"/>
          <w:color w:val="021B34"/>
          <w:sz w:val="20"/>
          <w:szCs w:val="20"/>
          <w:shd w:val="clear" w:color="auto" w:fill="FFFFFF"/>
        </w:rPr>
        <w:t>.</w:t>
      </w:r>
    </w:p>
    <w:p w:rsidR="00137612" w:rsidRPr="00137612" w:rsidRDefault="00137612" w:rsidP="00137612">
      <w:pPr>
        <w:rPr>
          <w:rFonts w:ascii="Arial" w:eastAsia="Times New Roman" w:hAnsi="Arial" w:cs="Arial"/>
          <w:color w:val="021B34"/>
          <w:sz w:val="20"/>
          <w:szCs w:val="20"/>
          <w:shd w:val="clear" w:color="auto" w:fill="FFFFFF"/>
        </w:rPr>
      </w:pPr>
    </w:p>
    <w:p w:rsidR="00137612" w:rsidRPr="00F720B7" w:rsidRDefault="00137612" w:rsidP="00F720B7">
      <w:pPr>
        <w:pStyle w:val="ListParagraph"/>
        <w:numPr>
          <w:ilvl w:val="0"/>
          <w:numId w:val="10"/>
        </w:numPr>
        <w:rPr>
          <w:rFonts w:ascii="Arial" w:eastAsia="Times New Roman" w:hAnsi="Arial" w:cs="Arial"/>
          <w:color w:val="021B34"/>
          <w:sz w:val="20"/>
          <w:szCs w:val="20"/>
          <w:shd w:val="clear" w:color="auto" w:fill="FFFFFF"/>
        </w:rPr>
      </w:pPr>
      <w:r w:rsidRPr="00F720B7">
        <w:rPr>
          <w:rFonts w:ascii="Arial" w:eastAsia="Times New Roman" w:hAnsi="Arial" w:cs="Arial"/>
          <w:color w:val="021B34"/>
          <w:sz w:val="20"/>
          <w:szCs w:val="20"/>
          <w:shd w:val="clear" w:color="auto" w:fill="FFFFFF"/>
        </w:rPr>
        <w:t>Holding the other covariates constant, being female (sex=2) reduces the hazard by a factor of 0.58, or 42%. We conclude that, being female is associated with good prognostic.</w:t>
      </w:r>
    </w:p>
    <w:p w:rsidR="00137612" w:rsidRPr="00137612" w:rsidRDefault="00137612" w:rsidP="00137612">
      <w:pPr>
        <w:rPr>
          <w:rFonts w:ascii="Arial" w:eastAsia="Times New Roman" w:hAnsi="Arial" w:cs="Arial"/>
          <w:color w:val="021B34"/>
          <w:sz w:val="20"/>
          <w:szCs w:val="20"/>
          <w:shd w:val="clear" w:color="auto" w:fill="FFFFFF"/>
        </w:rPr>
      </w:pPr>
    </w:p>
    <w:p w:rsidR="00137612" w:rsidRPr="00137612" w:rsidRDefault="00137612" w:rsidP="00137612">
      <w:pPr>
        <w:rPr>
          <w:rFonts w:ascii="Arial" w:eastAsia="Times New Roman" w:hAnsi="Arial" w:cs="Arial"/>
          <w:color w:val="021B34"/>
          <w:sz w:val="20"/>
          <w:szCs w:val="20"/>
          <w:shd w:val="clear" w:color="auto" w:fill="FFFFFF"/>
        </w:rPr>
      </w:pPr>
    </w:p>
    <w:p w:rsidR="00161917" w:rsidRDefault="00161917">
      <w:pPr>
        <w:rPr>
          <w:rFonts w:ascii="Arial" w:eastAsiaTheme="majorEastAsia" w:hAnsi="Arial" w:cs="Arial"/>
          <w:color w:val="021B34"/>
          <w:sz w:val="16"/>
          <w:szCs w:val="16"/>
        </w:rPr>
      </w:pPr>
    </w:p>
    <w:p w:rsidR="00EB46BC" w:rsidRDefault="00EB46BC" w:rsidP="00EB46BC">
      <w:pPr>
        <w:rPr>
          <w:rFonts w:ascii="Arial" w:eastAsiaTheme="majorEastAsia" w:hAnsi="Arial" w:cs="Arial"/>
          <w:color w:val="021B34"/>
          <w:sz w:val="16"/>
          <w:szCs w:val="16"/>
        </w:rPr>
      </w:pPr>
      <w:r>
        <w:rPr>
          <w:rFonts w:ascii="Arial" w:eastAsiaTheme="majorEastAsia" w:hAnsi="Arial" w:cs="Arial"/>
          <w:color w:val="021B34"/>
          <w:sz w:val="16"/>
          <w:szCs w:val="16"/>
        </w:rPr>
        <w:t xml:space="preserve">                                                                                                           </w:t>
      </w:r>
    </w:p>
    <w:p w:rsidR="00E82A67" w:rsidRDefault="00E82A67">
      <w:pPr>
        <w:rPr>
          <w:rFonts w:ascii="Arial" w:eastAsiaTheme="majorEastAsia" w:hAnsi="Arial" w:cs="Arial"/>
          <w:color w:val="021B34"/>
          <w:sz w:val="16"/>
          <w:szCs w:val="16"/>
        </w:rPr>
      </w:pPr>
    </w:p>
    <w:p w:rsidR="00200978" w:rsidRDefault="00200978">
      <w:pPr>
        <w:rPr>
          <w:rFonts w:ascii="Arial" w:eastAsiaTheme="majorEastAsia" w:hAnsi="Arial" w:cs="Arial"/>
          <w:color w:val="021B34"/>
          <w:sz w:val="16"/>
          <w:szCs w:val="16"/>
        </w:rPr>
      </w:pPr>
    </w:p>
    <w:p w:rsidR="00200978" w:rsidRDefault="00200978">
      <w:pPr>
        <w:rPr>
          <w:rFonts w:ascii="Arial" w:eastAsiaTheme="majorEastAsia" w:hAnsi="Arial" w:cs="Arial"/>
          <w:color w:val="021B34"/>
          <w:sz w:val="16"/>
          <w:szCs w:val="16"/>
        </w:rPr>
      </w:pPr>
    </w:p>
    <w:p w:rsidR="009D2A94" w:rsidRDefault="009D2A94">
      <w:pPr>
        <w:rPr>
          <w:rFonts w:ascii="Arial" w:eastAsiaTheme="majorEastAsia" w:hAnsi="Arial" w:cs="Arial"/>
          <w:color w:val="021B34"/>
          <w:sz w:val="16"/>
          <w:szCs w:val="16"/>
        </w:rPr>
        <w:sectPr w:rsidR="009D2A94" w:rsidSect="009D2A94">
          <w:type w:val="continuous"/>
          <w:pgSz w:w="12240" w:h="15840"/>
          <w:pgMar w:top="1440" w:right="1080" w:bottom="1440" w:left="1080" w:header="720" w:footer="720" w:gutter="0"/>
          <w:cols w:num="2" w:space="720"/>
          <w:docGrid w:linePitch="360"/>
        </w:sectPr>
      </w:pPr>
    </w:p>
    <w:p w:rsidR="00200978" w:rsidRDefault="00200978">
      <w:pPr>
        <w:rPr>
          <w:rFonts w:ascii="Arial" w:eastAsiaTheme="majorEastAsia" w:hAnsi="Arial" w:cs="Arial"/>
          <w:color w:val="021B34"/>
          <w:sz w:val="16"/>
          <w:szCs w:val="16"/>
        </w:rPr>
      </w:pPr>
    </w:p>
    <w:p w:rsidR="00200978" w:rsidRDefault="00200978">
      <w:pPr>
        <w:rPr>
          <w:rFonts w:ascii="Arial" w:eastAsiaTheme="majorEastAsia" w:hAnsi="Arial" w:cs="Arial"/>
          <w:color w:val="021B34"/>
          <w:sz w:val="16"/>
          <w:szCs w:val="16"/>
        </w:rPr>
      </w:pPr>
    </w:p>
    <w:p w:rsidR="00200978" w:rsidRDefault="00200978">
      <w:pPr>
        <w:rPr>
          <w:rFonts w:ascii="Arial" w:eastAsiaTheme="majorEastAsia" w:hAnsi="Arial" w:cs="Arial"/>
          <w:color w:val="021B34"/>
          <w:sz w:val="16"/>
          <w:szCs w:val="16"/>
        </w:rPr>
      </w:pPr>
    </w:p>
    <w:p w:rsidR="00200978" w:rsidRDefault="00200978">
      <w:pPr>
        <w:rPr>
          <w:rFonts w:ascii="Arial" w:eastAsiaTheme="majorEastAsia" w:hAnsi="Arial" w:cs="Arial"/>
          <w:color w:val="021B34"/>
          <w:sz w:val="16"/>
          <w:szCs w:val="16"/>
        </w:rPr>
      </w:pPr>
    </w:p>
    <w:p w:rsidR="003D07EF" w:rsidRPr="00410627" w:rsidRDefault="003D07EF" w:rsidP="00137BBD">
      <w:pPr>
        <w:rPr>
          <w:rFonts w:ascii="Cambria" w:eastAsia="Times New Roman" w:hAnsi="Cambria" w:cs="Times New Roman"/>
          <w:b/>
          <w:bCs/>
          <w:color w:val="1F4E79" w:themeColor="accent5" w:themeShade="80"/>
          <w:sz w:val="20"/>
          <w:szCs w:val="20"/>
        </w:rPr>
      </w:pPr>
      <w:r w:rsidRPr="00410627">
        <w:rPr>
          <w:rFonts w:ascii="Cambria" w:eastAsia="Times New Roman" w:hAnsi="Cambria" w:cs="Times New Roman"/>
          <w:b/>
          <w:bCs/>
          <w:color w:val="1F4E79" w:themeColor="accent5" w:themeShade="80"/>
          <w:sz w:val="20"/>
          <w:szCs w:val="20"/>
        </w:rPr>
        <w:t>Risk of death and respective hazard ratios.</w:t>
      </w:r>
    </w:p>
    <w:p w:rsidR="0014474B" w:rsidRDefault="0014474B" w:rsidP="00137BBD">
      <w:pPr>
        <w:rPr>
          <w:rFonts w:ascii="Rockwell Condensed" w:hAnsi="Rockwell Condensed" w:cs="Rockwell Condensed"/>
          <w:b/>
          <w:bCs/>
          <w:color w:val="2E74B5" w:themeColor="accent5" w:themeShade="BF"/>
        </w:rPr>
      </w:pPr>
    </w:p>
    <w:p w:rsidR="0014474B" w:rsidRDefault="0014474B" w:rsidP="00137BBD">
      <w:pPr>
        <w:rPr>
          <w:rFonts w:ascii="Rockwell Condensed" w:hAnsi="Rockwell Condensed" w:cs="Rockwell Condensed"/>
          <w:b/>
          <w:bCs/>
          <w:color w:val="2E74B5" w:themeColor="accent5" w:themeShade="BF"/>
        </w:rPr>
        <w:sectPr w:rsidR="0014474B" w:rsidSect="00200978">
          <w:type w:val="continuous"/>
          <w:pgSz w:w="12240" w:h="15840"/>
          <w:pgMar w:top="1440" w:right="1080" w:bottom="1440" w:left="1080" w:header="720" w:footer="720" w:gutter="0"/>
          <w:cols w:space="720"/>
          <w:docGrid w:linePitch="360"/>
        </w:sectPr>
      </w:pPr>
    </w:p>
    <w:p w:rsidR="0014474B" w:rsidRPr="00137BBD" w:rsidRDefault="0014474B" w:rsidP="00137BBD">
      <w:pPr>
        <w:rPr>
          <w:rFonts w:ascii="Rockwell Condensed" w:hAnsi="Rockwell Condensed" w:cs="Rockwell Condensed"/>
          <w:b/>
          <w:bCs/>
          <w:color w:val="2E74B5" w:themeColor="accent5" w:themeShade="BF"/>
        </w:rPr>
      </w:pPr>
    </w:p>
    <w:p w:rsidR="00200978" w:rsidRDefault="00137BBD">
      <w:pPr>
        <w:rPr>
          <w:rFonts w:ascii="Arial" w:eastAsiaTheme="majorEastAsia" w:hAnsi="Arial" w:cs="Arial"/>
          <w:color w:val="021B34"/>
          <w:sz w:val="16"/>
          <w:szCs w:val="16"/>
        </w:rPr>
      </w:pPr>
      <w:r w:rsidRPr="00137BBD">
        <w:rPr>
          <w:rFonts w:ascii="Arial" w:eastAsiaTheme="majorEastAsia" w:hAnsi="Arial" w:cs="Arial"/>
          <w:color w:val="021B34"/>
          <w:sz w:val="16"/>
          <w:szCs w:val="16"/>
        </w:rPr>
        <w:drawing>
          <wp:inline distT="0" distB="0" distL="0" distR="0" wp14:anchorId="463CB122" wp14:editId="1E1B2980">
            <wp:extent cx="3330176" cy="29224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40604" cy="2931646"/>
                    </a:xfrm>
                    <a:prstGeom prst="rect">
                      <a:avLst/>
                    </a:prstGeom>
                  </pic:spPr>
                </pic:pic>
              </a:graphicData>
            </a:graphic>
          </wp:inline>
        </w:drawing>
      </w: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94B19" w:rsidRPr="00D04A1A" w:rsidRDefault="006A2109" w:rsidP="006A2109">
      <w:pPr>
        <w:rPr>
          <w:b/>
        </w:rPr>
      </w:pPr>
      <w:r w:rsidRPr="00D04A1A">
        <w:rPr>
          <w:rFonts w:ascii="Arial" w:eastAsiaTheme="majorEastAsia" w:hAnsi="Arial" w:cs="Arial"/>
          <w:b/>
          <w:color w:val="021B34"/>
          <w:sz w:val="16"/>
          <w:szCs w:val="16"/>
        </w:rPr>
        <w:t>Rcode:</w:t>
      </w:r>
      <w:r w:rsidRPr="00D04A1A">
        <w:rPr>
          <w:b/>
        </w:rPr>
        <w:t xml:space="preserve"> </w:t>
      </w:r>
    </w:p>
    <w:p w:rsidR="006A2109" w:rsidRPr="006A2109" w:rsidRDefault="006A2109" w:rsidP="006A2109">
      <w:pPr>
        <w:rPr>
          <w:rFonts w:ascii="Arial" w:eastAsiaTheme="majorEastAsia" w:hAnsi="Arial" w:cs="Arial"/>
          <w:color w:val="021B34"/>
          <w:sz w:val="16"/>
          <w:szCs w:val="16"/>
        </w:rPr>
      </w:pPr>
      <w:r w:rsidRPr="006A2109">
        <w:rPr>
          <w:rFonts w:ascii="Arial" w:eastAsiaTheme="majorEastAsia" w:hAnsi="Arial" w:cs="Arial"/>
          <w:color w:val="021B34"/>
          <w:sz w:val="16"/>
          <w:szCs w:val="16"/>
        </w:rPr>
        <w:t>fit.coxph &lt;- coxph(Surv(time, status</w:t>
      </w:r>
      <w:r w:rsidR="00194B19">
        <w:rPr>
          <w:rFonts w:ascii="Arial" w:eastAsiaTheme="majorEastAsia" w:hAnsi="Arial" w:cs="Arial"/>
          <w:color w:val="021B34"/>
          <w:sz w:val="16"/>
          <w:szCs w:val="16"/>
        </w:rPr>
        <w:t xml:space="preserve">) ~ sex + age_group + ph.ecog, </w:t>
      </w:r>
      <w:r w:rsidRPr="006A2109">
        <w:rPr>
          <w:rFonts w:ascii="Arial" w:eastAsiaTheme="majorEastAsia" w:hAnsi="Arial" w:cs="Arial"/>
          <w:color w:val="021B34"/>
          <w:sz w:val="16"/>
          <w:szCs w:val="16"/>
        </w:rPr>
        <w:t>data = lung)</w:t>
      </w:r>
    </w:p>
    <w:p w:rsidR="0014474B" w:rsidRDefault="006A2109" w:rsidP="006A2109">
      <w:pPr>
        <w:rPr>
          <w:rFonts w:ascii="Arial" w:eastAsiaTheme="majorEastAsia" w:hAnsi="Arial" w:cs="Arial"/>
          <w:color w:val="021B34"/>
          <w:sz w:val="16"/>
          <w:szCs w:val="16"/>
        </w:rPr>
      </w:pPr>
      <w:r w:rsidRPr="006A2109">
        <w:rPr>
          <w:rFonts w:ascii="Arial" w:eastAsiaTheme="majorEastAsia" w:hAnsi="Arial" w:cs="Arial"/>
          <w:color w:val="021B34"/>
          <w:sz w:val="16"/>
          <w:szCs w:val="16"/>
        </w:rPr>
        <w:t>ggforest(fit.coxph, data = lung)</w:t>
      </w: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Default="0014474B">
      <w:pPr>
        <w:rPr>
          <w:rFonts w:ascii="Arial" w:eastAsiaTheme="majorEastAsia" w:hAnsi="Arial" w:cs="Arial"/>
          <w:color w:val="021B34"/>
          <w:sz w:val="16"/>
          <w:szCs w:val="16"/>
        </w:rPr>
      </w:pPr>
    </w:p>
    <w:p w:rsidR="0014474B" w:rsidRPr="0014474B" w:rsidRDefault="0014474B" w:rsidP="0014474B">
      <w:pPr>
        <w:pStyle w:val="ListParagraph"/>
        <w:numPr>
          <w:ilvl w:val="0"/>
          <w:numId w:val="10"/>
        </w:numPr>
        <w:rPr>
          <w:rFonts w:ascii="Arial" w:eastAsia="Times New Roman" w:hAnsi="Arial" w:cs="Arial"/>
          <w:color w:val="021B34"/>
          <w:sz w:val="20"/>
          <w:szCs w:val="20"/>
          <w:shd w:val="clear" w:color="auto" w:fill="FFFFFF"/>
        </w:rPr>
      </w:pPr>
      <w:r w:rsidRPr="0014474B">
        <w:rPr>
          <w:rFonts w:ascii="Arial" w:eastAsia="Times New Roman" w:hAnsi="Arial" w:cs="Arial"/>
          <w:color w:val="021B34"/>
          <w:sz w:val="20"/>
          <w:szCs w:val="20"/>
          <w:shd w:val="clear" w:color="auto" w:fill="FFFFFF"/>
        </w:rPr>
        <w:t xml:space="preserve">we can see that the sex, ph.ecog variables significantly influence the patient’s  risk of death in this study. </w:t>
      </w:r>
    </w:p>
    <w:p w:rsidR="0014474B" w:rsidRPr="0014474B" w:rsidRDefault="0014474B" w:rsidP="0014474B">
      <w:pPr>
        <w:pStyle w:val="ListParagraph"/>
        <w:numPr>
          <w:ilvl w:val="0"/>
          <w:numId w:val="10"/>
        </w:numPr>
        <w:rPr>
          <w:rFonts w:ascii="Arial" w:eastAsia="Times New Roman" w:hAnsi="Arial" w:cs="Arial"/>
          <w:color w:val="021B34"/>
          <w:sz w:val="20"/>
          <w:szCs w:val="20"/>
          <w:shd w:val="clear" w:color="auto" w:fill="FFFFFF"/>
        </w:rPr>
      </w:pPr>
      <w:r w:rsidRPr="0014474B">
        <w:rPr>
          <w:rFonts w:ascii="Arial" w:eastAsia="Times New Roman" w:hAnsi="Arial" w:cs="Arial"/>
          <w:color w:val="021B34"/>
          <w:sz w:val="20"/>
          <w:szCs w:val="20"/>
          <w:shd w:val="clear" w:color="auto" w:fill="FFFFFF"/>
        </w:rPr>
        <w:t>•Age group has no effect.</w:t>
      </w:r>
    </w:p>
    <w:p w:rsidR="0014474B" w:rsidRPr="006C7F6D" w:rsidRDefault="0014474B">
      <w:pPr>
        <w:rPr>
          <w:rFonts w:ascii="Arial" w:eastAsiaTheme="majorEastAsia" w:hAnsi="Arial" w:cs="Arial"/>
          <w:color w:val="021B34"/>
          <w:sz w:val="16"/>
          <w:szCs w:val="16"/>
        </w:rPr>
      </w:pPr>
    </w:p>
    <w:sectPr w:rsidR="0014474B" w:rsidRPr="006C7F6D" w:rsidSect="0014474B">
      <w:type w:val="continuous"/>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ECF" w:rsidRDefault="001F6ECF" w:rsidP="00200978">
      <w:r>
        <w:separator/>
      </w:r>
    </w:p>
  </w:endnote>
  <w:endnote w:type="continuationSeparator" w:id="0">
    <w:p w:rsidR="001F6ECF" w:rsidRDefault="001F6ECF" w:rsidP="0020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ckwell Condensed">
    <w:panose1 w:val="02060603050405020104"/>
    <w:charset w:val="4D"/>
    <w:family w:val="roman"/>
    <w:pitch w:val="variable"/>
    <w:sig w:usb0="00000003" w:usb1="00000000" w:usb2="00000000" w:usb3="00000000" w:csb0="00000001"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1EE" w:rsidRDefault="00B561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1EE" w:rsidRDefault="00B561EE">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1EE" w:rsidRDefault="00B56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ECF" w:rsidRDefault="001F6ECF" w:rsidP="00200978">
      <w:r>
        <w:separator/>
      </w:r>
    </w:p>
  </w:footnote>
  <w:footnote w:type="continuationSeparator" w:id="0">
    <w:p w:rsidR="001F6ECF" w:rsidRDefault="001F6ECF" w:rsidP="00200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1EE" w:rsidRDefault="00B56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1EE" w:rsidRDefault="00B561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1EE" w:rsidRDefault="00B56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4728"/>
    <w:multiLevelType w:val="multilevel"/>
    <w:tmpl w:val="FAF0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5EB3"/>
    <w:multiLevelType w:val="multilevel"/>
    <w:tmpl w:val="71B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83727"/>
    <w:multiLevelType w:val="hybridMultilevel"/>
    <w:tmpl w:val="8E085F36"/>
    <w:lvl w:ilvl="0" w:tplc="04090001">
      <w:start w:val="1"/>
      <w:numFmt w:val="bullet"/>
      <w:lvlText w:val=""/>
      <w:lvlJc w:val="left"/>
      <w:pPr>
        <w:ind w:left="720" w:hanging="360"/>
      </w:pPr>
      <w:rPr>
        <w:rFonts w:ascii="Symbol" w:hAnsi="Symbol" w:hint="default"/>
      </w:rPr>
    </w:lvl>
    <w:lvl w:ilvl="1" w:tplc="2D48892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4914"/>
    <w:multiLevelType w:val="hybridMultilevel"/>
    <w:tmpl w:val="7C52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F1B78"/>
    <w:multiLevelType w:val="hybridMultilevel"/>
    <w:tmpl w:val="F858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F0277"/>
    <w:multiLevelType w:val="hybridMultilevel"/>
    <w:tmpl w:val="88F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D2AED"/>
    <w:multiLevelType w:val="hybridMultilevel"/>
    <w:tmpl w:val="F93C3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F05E2"/>
    <w:multiLevelType w:val="hybridMultilevel"/>
    <w:tmpl w:val="DEB6B132"/>
    <w:lvl w:ilvl="0" w:tplc="2D488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445BE"/>
    <w:multiLevelType w:val="hybridMultilevel"/>
    <w:tmpl w:val="AC92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C489B"/>
    <w:multiLevelType w:val="hybridMultilevel"/>
    <w:tmpl w:val="47EA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4"/>
  </w:num>
  <w:num w:numId="6">
    <w:abstractNumId w:val="5"/>
  </w:num>
  <w:num w:numId="7">
    <w:abstractNumId w:val="8"/>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1A"/>
    <w:rsid w:val="00126DA1"/>
    <w:rsid w:val="00137612"/>
    <w:rsid w:val="00137BBD"/>
    <w:rsid w:val="0014474B"/>
    <w:rsid w:val="00161917"/>
    <w:rsid w:val="00194B19"/>
    <w:rsid w:val="001F6ECF"/>
    <w:rsid w:val="00200978"/>
    <w:rsid w:val="00215713"/>
    <w:rsid w:val="002334DB"/>
    <w:rsid w:val="002625D2"/>
    <w:rsid w:val="00280019"/>
    <w:rsid w:val="00293E52"/>
    <w:rsid w:val="002A64BF"/>
    <w:rsid w:val="002E6119"/>
    <w:rsid w:val="002F0596"/>
    <w:rsid w:val="00301D34"/>
    <w:rsid w:val="003172BE"/>
    <w:rsid w:val="00320CAD"/>
    <w:rsid w:val="00367112"/>
    <w:rsid w:val="00377E4F"/>
    <w:rsid w:val="00384D06"/>
    <w:rsid w:val="003D07EF"/>
    <w:rsid w:val="003F35ED"/>
    <w:rsid w:val="00403A70"/>
    <w:rsid w:val="00410627"/>
    <w:rsid w:val="00467C8A"/>
    <w:rsid w:val="0052401E"/>
    <w:rsid w:val="0067071A"/>
    <w:rsid w:val="006A2109"/>
    <w:rsid w:val="006C7F6D"/>
    <w:rsid w:val="00773107"/>
    <w:rsid w:val="007E475C"/>
    <w:rsid w:val="00830EAE"/>
    <w:rsid w:val="00865C73"/>
    <w:rsid w:val="00877179"/>
    <w:rsid w:val="008A3A0D"/>
    <w:rsid w:val="008B048E"/>
    <w:rsid w:val="008F04E9"/>
    <w:rsid w:val="00907EB2"/>
    <w:rsid w:val="009B4C93"/>
    <w:rsid w:val="009D2A94"/>
    <w:rsid w:val="009F019A"/>
    <w:rsid w:val="00A5297E"/>
    <w:rsid w:val="00A64AC2"/>
    <w:rsid w:val="00AC3EF1"/>
    <w:rsid w:val="00AC5BF4"/>
    <w:rsid w:val="00AE579E"/>
    <w:rsid w:val="00AF5EAC"/>
    <w:rsid w:val="00B561EE"/>
    <w:rsid w:val="00BE6D16"/>
    <w:rsid w:val="00C30CB0"/>
    <w:rsid w:val="00CA7831"/>
    <w:rsid w:val="00CC5BF3"/>
    <w:rsid w:val="00CD3776"/>
    <w:rsid w:val="00D04A1A"/>
    <w:rsid w:val="00D37E91"/>
    <w:rsid w:val="00D47888"/>
    <w:rsid w:val="00D62FFA"/>
    <w:rsid w:val="00DF639E"/>
    <w:rsid w:val="00E82A67"/>
    <w:rsid w:val="00EB46BC"/>
    <w:rsid w:val="00ED1666"/>
    <w:rsid w:val="00EF200D"/>
    <w:rsid w:val="00F05DF4"/>
    <w:rsid w:val="00F20522"/>
    <w:rsid w:val="00F24CCD"/>
    <w:rsid w:val="00F7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83AF"/>
  <w14:defaultImageDpi w14:val="32767"/>
  <w15:chartTrackingRefBased/>
  <w15:docId w15:val="{2D45BC9A-406D-F44A-81F1-A72059A1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0EAE"/>
  </w:style>
  <w:style w:type="paragraph" w:styleId="Heading2">
    <w:name w:val="heading 2"/>
    <w:basedOn w:val="Normal"/>
    <w:link w:val="Heading2Char"/>
    <w:uiPriority w:val="9"/>
    <w:qFormat/>
    <w:rsid w:val="00AC3E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788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84D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0CAD"/>
    <w:rPr>
      <w:b/>
      <w:bCs/>
    </w:rPr>
  </w:style>
  <w:style w:type="character" w:customStyle="1" w:styleId="Heading2Char">
    <w:name w:val="Heading 2 Char"/>
    <w:basedOn w:val="DefaultParagraphFont"/>
    <w:link w:val="Heading2"/>
    <w:uiPriority w:val="9"/>
    <w:rsid w:val="00AC3E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3EF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C3EF1"/>
    <w:rPr>
      <w:i/>
      <w:iCs/>
    </w:rPr>
  </w:style>
  <w:style w:type="character" w:customStyle="1" w:styleId="mi">
    <w:name w:val="mi"/>
    <w:basedOn w:val="DefaultParagraphFont"/>
    <w:rsid w:val="00AC3EF1"/>
  </w:style>
  <w:style w:type="character" w:customStyle="1" w:styleId="mo">
    <w:name w:val="mo"/>
    <w:basedOn w:val="DefaultParagraphFont"/>
    <w:rsid w:val="00AC3EF1"/>
  </w:style>
  <w:style w:type="character" w:customStyle="1" w:styleId="mn">
    <w:name w:val="mn"/>
    <w:basedOn w:val="DefaultParagraphFont"/>
    <w:rsid w:val="00AC3EF1"/>
  </w:style>
  <w:style w:type="character" w:customStyle="1" w:styleId="mjxassistivemathml">
    <w:name w:val="mjx_assistive_mathml"/>
    <w:basedOn w:val="DefaultParagraphFont"/>
    <w:rsid w:val="00AC3EF1"/>
  </w:style>
  <w:style w:type="character" w:customStyle="1" w:styleId="Heading4Char">
    <w:name w:val="Heading 4 Char"/>
    <w:basedOn w:val="DefaultParagraphFont"/>
    <w:link w:val="Heading4"/>
    <w:uiPriority w:val="9"/>
    <w:semiHidden/>
    <w:rsid w:val="00384D0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20522"/>
    <w:pPr>
      <w:ind w:left="720"/>
      <w:contextualSpacing/>
    </w:pPr>
  </w:style>
  <w:style w:type="character" w:customStyle="1" w:styleId="Heading3Char">
    <w:name w:val="Heading 3 Char"/>
    <w:basedOn w:val="DefaultParagraphFont"/>
    <w:link w:val="Heading3"/>
    <w:uiPriority w:val="9"/>
    <w:semiHidden/>
    <w:rsid w:val="00D4788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200978"/>
    <w:pPr>
      <w:tabs>
        <w:tab w:val="center" w:pos="4680"/>
        <w:tab w:val="right" w:pos="9360"/>
      </w:tabs>
    </w:pPr>
  </w:style>
  <w:style w:type="character" w:customStyle="1" w:styleId="HeaderChar">
    <w:name w:val="Header Char"/>
    <w:basedOn w:val="DefaultParagraphFont"/>
    <w:link w:val="Header"/>
    <w:uiPriority w:val="99"/>
    <w:rsid w:val="00200978"/>
  </w:style>
  <w:style w:type="paragraph" w:styleId="Footer">
    <w:name w:val="footer"/>
    <w:basedOn w:val="Normal"/>
    <w:link w:val="FooterChar"/>
    <w:uiPriority w:val="99"/>
    <w:unhideWhenUsed/>
    <w:rsid w:val="00200978"/>
    <w:pPr>
      <w:tabs>
        <w:tab w:val="center" w:pos="4680"/>
        <w:tab w:val="right" w:pos="9360"/>
      </w:tabs>
    </w:pPr>
  </w:style>
  <w:style w:type="character" w:customStyle="1" w:styleId="FooterChar">
    <w:name w:val="Footer Char"/>
    <w:basedOn w:val="DefaultParagraphFont"/>
    <w:link w:val="Footer"/>
    <w:uiPriority w:val="99"/>
    <w:rsid w:val="00200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00100">
      <w:bodyDiv w:val="1"/>
      <w:marLeft w:val="0"/>
      <w:marRight w:val="0"/>
      <w:marTop w:val="0"/>
      <w:marBottom w:val="0"/>
      <w:divBdr>
        <w:top w:val="none" w:sz="0" w:space="0" w:color="auto"/>
        <w:left w:val="none" w:sz="0" w:space="0" w:color="auto"/>
        <w:bottom w:val="none" w:sz="0" w:space="0" w:color="auto"/>
        <w:right w:val="none" w:sz="0" w:space="0" w:color="auto"/>
      </w:divBdr>
    </w:div>
    <w:div w:id="994841894">
      <w:bodyDiv w:val="1"/>
      <w:marLeft w:val="0"/>
      <w:marRight w:val="0"/>
      <w:marTop w:val="0"/>
      <w:marBottom w:val="0"/>
      <w:divBdr>
        <w:top w:val="none" w:sz="0" w:space="0" w:color="auto"/>
        <w:left w:val="none" w:sz="0" w:space="0" w:color="auto"/>
        <w:bottom w:val="none" w:sz="0" w:space="0" w:color="auto"/>
        <w:right w:val="none" w:sz="0" w:space="0" w:color="auto"/>
      </w:divBdr>
    </w:div>
    <w:div w:id="1070619183">
      <w:bodyDiv w:val="1"/>
      <w:marLeft w:val="0"/>
      <w:marRight w:val="0"/>
      <w:marTop w:val="0"/>
      <w:marBottom w:val="0"/>
      <w:divBdr>
        <w:top w:val="none" w:sz="0" w:space="0" w:color="auto"/>
        <w:left w:val="none" w:sz="0" w:space="0" w:color="auto"/>
        <w:bottom w:val="none" w:sz="0" w:space="0" w:color="auto"/>
        <w:right w:val="none" w:sz="0" w:space="0" w:color="auto"/>
      </w:divBdr>
    </w:div>
    <w:div w:id="1103650574">
      <w:bodyDiv w:val="1"/>
      <w:marLeft w:val="0"/>
      <w:marRight w:val="0"/>
      <w:marTop w:val="0"/>
      <w:marBottom w:val="0"/>
      <w:divBdr>
        <w:top w:val="none" w:sz="0" w:space="0" w:color="auto"/>
        <w:left w:val="none" w:sz="0" w:space="0" w:color="auto"/>
        <w:bottom w:val="none" w:sz="0" w:space="0" w:color="auto"/>
        <w:right w:val="none" w:sz="0" w:space="0" w:color="auto"/>
      </w:divBdr>
      <w:divsChild>
        <w:div w:id="525171767">
          <w:marLeft w:val="0"/>
          <w:marRight w:val="0"/>
          <w:marTop w:val="240"/>
          <w:marBottom w:val="240"/>
          <w:divBdr>
            <w:top w:val="none" w:sz="0" w:space="0" w:color="auto"/>
            <w:left w:val="none" w:sz="0" w:space="0" w:color="auto"/>
            <w:bottom w:val="none" w:sz="0" w:space="0" w:color="auto"/>
            <w:right w:val="none" w:sz="0" w:space="0" w:color="auto"/>
          </w:divBdr>
        </w:div>
      </w:divsChild>
    </w:div>
    <w:div w:id="1106922763">
      <w:bodyDiv w:val="1"/>
      <w:marLeft w:val="0"/>
      <w:marRight w:val="0"/>
      <w:marTop w:val="0"/>
      <w:marBottom w:val="0"/>
      <w:divBdr>
        <w:top w:val="none" w:sz="0" w:space="0" w:color="auto"/>
        <w:left w:val="none" w:sz="0" w:space="0" w:color="auto"/>
        <w:bottom w:val="none" w:sz="0" w:space="0" w:color="auto"/>
        <w:right w:val="none" w:sz="0" w:space="0" w:color="auto"/>
      </w:divBdr>
    </w:div>
    <w:div w:id="1138492858">
      <w:bodyDiv w:val="1"/>
      <w:marLeft w:val="0"/>
      <w:marRight w:val="0"/>
      <w:marTop w:val="0"/>
      <w:marBottom w:val="0"/>
      <w:divBdr>
        <w:top w:val="none" w:sz="0" w:space="0" w:color="auto"/>
        <w:left w:val="none" w:sz="0" w:space="0" w:color="auto"/>
        <w:bottom w:val="none" w:sz="0" w:space="0" w:color="auto"/>
        <w:right w:val="none" w:sz="0" w:space="0" w:color="auto"/>
      </w:divBdr>
    </w:div>
    <w:div w:id="1473788300">
      <w:bodyDiv w:val="1"/>
      <w:marLeft w:val="0"/>
      <w:marRight w:val="0"/>
      <w:marTop w:val="0"/>
      <w:marBottom w:val="0"/>
      <w:divBdr>
        <w:top w:val="none" w:sz="0" w:space="0" w:color="auto"/>
        <w:left w:val="none" w:sz="0" w:space="0" w:color="auto"/>
        <w:bottom w:val="none" w:sz="0" w:space="0" w:color="auto"/>
        <w:right w:val="none" w:sz="0" w:space="0" w:color="auto"/>
      </w:divBdr>
    </w:div>
    <w:div w:id="194441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Mylarisetti</dc:creator>
  <cp:keywords/>
  <dc:description/>
  <cp:lastModifiedBy>Mayuri Mylarisetti</cp:lastModifiedBy>
  <cp:revision>63</cp:revision>
  <dcterms:created xsi:type="dcterms:W3CDTF">2018-06-06T22:22:00Z</dcterms:created>
  <dcterms:modified xsi:type="dcterms:W3CDTF">2018-06-06T23:35:00Z</dcterms:modified>
</cp:coreProperties>
</file>