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comparativo de modelos preentrenados de Hugging Face</w:t>
      </w:r>
    </w:p>
    <w:p>
      <w:r>
        <w:t>Caso de uso: clasificación de sentimientos en mensajes escritos en español. Evaluación experimental en Google Colab con GPU Tesla T4.</w:t>
      </w:r>
    </w:p>
    <w:p>
      <w:pPr>
        <w:pStyle w:val="Heading1"/>
      </w:pPr>
      <w:r>
        <w:t>1. Planteamiento del problema</w:t>
      </w:r>
    </w:p>
    <w:p>
      <w:r>
        <w:t>Se comparan tres modelos de procesamiento de lenguaje natural para asignar a cada mensaje una categoría de sentimiento: negativo, neutral o positivo. El prototipo busca determinar qué alternativa ofrece un equilibrio adecuado entre calidad de clasificación y latencia en un entorno de prototipado.</w:t>
      </w:r>
    </w:p>
    <w:p>
      <w:pPr>
        <w:pStyle w:val="Heading1"/>
      </w:pPr>
      <w:r>
        <w:t>2. Datos y procedimiento reproducible</w:t>
      </w:r>
    </w:p>
    <w:p>
      <w:r>
        <w:t>Se utilizó un conjunto sintético de 36 mensajes en español, disponible en data/mensajes.csv y data/mensajes.xlsx. Los campos son id (identificador), texto (mensaje) y etiqueta (clase de referencia). La fuente es un conjunto elaborado para fines didácticos; no representa una muestra probabilística de usuarios reales.</w:t>
      </w:r>
    </w:p>
    <w:p>
      <w:r>
        <w:t>El cuaderno notebooks/comparacion_sentimiento.ipynb instala dependencias, configura el dispositivo, prepara el dataset y ejecuta pipelines de clasificación. Se aplica normalización de etiquetas para las tres clases; para el modelo de cinco estrellas se agrupan 1–2 como negativo, 3 como neutral y 4–5 como positivo. Se registra una inferencia por mensaje, con calentamiento previo, y se calculan métricas macro y tiempos de ejecución. La autenticación en Hugging Face Hub es opcional para modelos públicos.</w:t>
      </w:r>
    </w:p>
    <w:p>
      <w:pPr>
        <w:pStyle w:val="Heading1"/>
      </w:pPr>
      <w:r>
        <w:t>3. Criterios de selección</w:t>
      </w:r>
    </w:p>
    <w:p>
      <w:r>
        <w:t>Se consideran la correspondencia con la tarea, cobertura multilingüe, métricas macro, latencia, tiempo de carga, disponibilidad pública y compatibilidad con la GPU. El tamaño, la licencia y las condiciones de uso deben verificarse en la ficha vigente de cada repositorio antes de un despliegue comercial; el cuaderno no registró esos metadatos.</w:t>
      </w:r>
    </w:p>
    <w:p>
      <w:pPr>
        <w:pStyle w:val="Heading1"/>
      </w:pPr>
      <w:r>
        <w:t>4. Resultados medidos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color w:val="000000"/>
                <w:sz w:val="24"/>
              </w:rPr>
              <w:t>Modelo</w:t>
            </w:r>
          </w:p>
        </w:tc>
        <w:tc>
          <w:tcPr>
            <w:tcW w:type="dxa" w:w="1440"/>
          </w:tcPr>
          <w:p>
            <w:r>
              <w:rPr>
                <w:rFonts w:ascii="Arial" w:hAnsi="Arial"/>
                <w:color w:val="000000"/>
                <w:sz w:val="24"/>
              </w:rPr>
              <w:t>Accuracy</w:t>
            </w:r>
          </w:p>
        </w:tc>
        <w:tc>
          <w:tcPr>
            <w:tcW w:type="dxa" w:w="1440"/>
          </w:tcPr>
          <w:p>
            <w:r>
              <w:rPr>
                <w:rFonts w:ascii="Arial" w:hAnsi="Arial"/>
                <w:color w:val="000000"/>
                <w:sz w:val="24"/>
              </w:rPr>
              <w:t>Precisión macro</w:t>
            </w:r>
          </w:p>
        </w:tc>
        <w:tc>
          <w:tcPr>
            <w:tcW w:type="dxa" w:w="1440"/>
          </w:tcPr>
          <w:p>
            <w:r>
              <w:rPr>
                <w:rFonts w:ascii="Arial" w:hAnsi="Arial"/>
                <w:color w:val="000000"/>
                <w:sz w:val="24"/>
              </w:rPr>
              <w:t>Recall macro</w:t>
            </w:r>
          </w:p>
        </w:tc>
        <w:tc>
          <w:tcPr>
            <w:tcW w:type="dxa" w:w="1440"/>
          </w:tcPr>
          <w:p>
            <w:r>
              <w:rPr>
                <w:rFonts w:ascii="Arial" w:hAnsi="Arial"/>
                <w:color w:val="000000"/>
                <w:sz w:val="24"/>
              </w:rPr>
              <w:t>F1 macro</w:t>
            </w:r>
          </w:p>
        </w:tc>
        <w:tc>
          <w:tcPr>
            <w:tcW w:type="dxa" w:w="1440"/>
          </w:tcPr>
          <w:p>
            <w:r>
              <w:rPr>
                <w:rFonts w:ascii="Arial" w:hAnsi="Arial"/>
                <w:color w:val="000000"/>
                <w:sz w:val="24"/>
              </w:rPr>
              <w:t>Latencia media (ms)</w:t>
            </w:r>
          </w:p>
        </w:tc>
      </w:tr>
      <w:tr>
        <w:tc>
          <w:tcPr>
            <w:tcW w:type="dxa" w:w="1440"/>
          </w:tcPr>
          <w:p>
            <w:r>
              <w:rPr>
                <w:rFonts w:ascii="Arial" w:hAnsi="Arial"/>
                <w:color w:val="000000"/>
                <w:sz w:val="24"/>
              </w:rPr>
              <w:t>RoBERTa</w:t>
            </w:r>
          </w:p>
        </w:tc>
        <w:tc>
          <w:tcPr>
            <w:tcW w:type="dxa" w:w="1440"/>
          </w:tcPr>
          <w:p>
            <w:r>
              <w:rPr>
                <w:rFonts w:ascii="Arial" w:hAnsi="Arial"/>
                <w:color w:val="000000"/>
                <w:sz w:val="24"/>
              </w:rPr>
              <w:t>0.9722</w:t>
            </w:r>
          </w:p>
        </w:tc>
        <w:tc>
          <w:tcPr>
            <w:tcW w:type="dxa" w:w="1440"/>
          </w:tcPr>
          <w:p>
            <w:r>
              <w:rPr>
                <w:rFonts w:ascii="Arial" w:hAnsi="Arial"/>
                <w:color w:val="000000"/>
                <w:sz w:val="24"/>
              </w:rPr>
              <w:t>0.9744</w:t>
            </w:r>
          </w:p>
        </w:tc>
        <w:tc>
          <w:tcPr>
            <w:tcW w:type="dxa" w:w="1440"/>
          </w:tcPr>
          <w:p>
            <w:r>
              <w:rPr>
                <w:rFonts w:ascii="Arial" w:hAnsi="Arial"/>
                <w:color w:val="000000"/>
                <w:sz w:val="24"/>
              </w:rPr>
              <w:t>0.9722</w:t>
            </w:r>
          </w:p>
        </w:tc>
        <w:tc>
          <w:tcPr>
            <w:tcW w:type="dxa" w:w="1440"/>
          </w:tcPr>
          <w:p>
            <w:r>
              <w:rPr>
                <w:rFonts w:ascii="Arial" w:hAnsi="Arial"/>
                <w:color w:val="000000"/>
                <w:sz w:val="24"/>
              </w:rPr>
              <w:t>0.9722</w:t>
            </w:r>
          </w:p>
        </w:tc>
        <w:tc>
          <w:tcPr>
            <w:tcW w:type="dxa" w:w="1440"/>
          </w:tcPr>
          <w:p>
            <w:r>
              <w:rPr>
                <w:rFonts w:ascii="Arial" w:hAnsi="Arial"/>
                <w:color w:val="000000"/>
                <w:sz w:val="24"/>
              </w:rPr>
              <w:t>11.64</w:t>
            </w:r>
          </w:p>
        </w:tc>
      </w:tr>
      <w:tr>
        <w:tc>
          <w:tcPr>
            <w:tcW w:type="dxa" w:w="1440"/>
          </w:tcPr>
          <w:p>
            <w:r>
              <w:rPr>
                <w:rFonts w:ascii="Arial" w:hAnsi="Arial"/>
                <w:color w:val="000000"/>
                <w:sz w:val="24"/>
              </w:rPr>
              <w:t>DistilBERT</w:t>
            </w:r>
          </w:p>
        </w:tc>
        <w:tc>
          <w:tcPr>
            <w:tcW w:type="dxa" w:w="1440"/>
          </w:tcPr>
          <w:p>
            <w:r>
              <w:rPr>
                <w:rFonts w:ascii="Arial" w:hAnsi="Arial"/>
                <w:color w:val="000000"/>
                <w:sz w:val="24"/>
              </w:rPr>
              <w:t>0.4722</w:t>
            </w:r>
          </w:p>
        </w:tc>
        <w:tc>
          <w:tcPr>
            <w:tcW w:type="dxa" w:w="1440"/>
          </w:tcPr>
          <w:p>
            <w:r>
              <w:rPr>
                <w:rFonts w:ascii="Arial" w:hAnsi="Arial"/>
                <w:color w:val="000000"/>
                <w:sz w:val="24"/>
              </w:rPr>
              <w:t>0.4042</w:t>
            </w:r>
          </w:p>
        </w:tc>
        <w:tc>
          <w:tcPr>
            <w:tcW w:type="dxa" w:w="1440"/>
          </w:tcPr>
          <w:p>
            <w:r>
              <w:rPr>
                <w:rFonts w:ascii="Arial" w:hAnsi="Arial"/>
                <w:color w:val="000000"/>
                <w:sz w:val="24"/>
              </w:rPr>
              <w:t>0.4722</w:t>
            </w:r>
          </w:p>
        </w:tc>
        <w:tc>
          <w:tcPr>
            <w:tcW w:type="dxa" w:w="1440"/>
          </w:tcPr>
          <w:p>
            <w:r>
              <w:rPr>
                <w:rFonts w:ascii="Arial" w:hAnsi="Arial"/>
                <w:color w:val="000000"/>
                <w:sz w:val="24"/>
              </w:rPr>
              <w:t>0.4127</w:t>
            </w:r>
          </w:p>
        </w:tc>
        <w:tc>
          <w:tcPr>
            <w:tcW w:type="dxa" w:w="1440"/>
          </w:tcPr>
          <w:p>
            <w:r>
              <w:rPr>
                <w:rFonts w:ascii="Arial" w:hAnsi="Arial"/>
                <w:color w:val="000000"/>
                <w:sz w:val="24"/>
              </w:rPr>
              <w:t>4.83</w:t>
            </w:r>
          </w:p>
        </w:tc>
      </w:tr>
      <w:tr>
        <w:tc>
          <w:tcPr>
            <w:tcW w:type="dxa" w:w="1440"/>
          </w:tcPr>
          <w:p>
            <w:r>
              <w:rPr>
                <w:rFonts w:ascii="Arial" w:hAnsi="Arial"/>
                <w:color w:val="000000"/>
                <w:sz w:val="24"/>
              </w:rPr>
              <w:t>BERT multilingüe</w:t>
            </w:r>
          </w:p>
        </w:tc>
        <w:tc>
          <w:tcPr>
            <w:tcW w:type="dxa" w:w="1440"/>
          </w:tcPr>
          <w:p>
            <w:r>
              <w:rPr>
                <w:rFonts w:ascii="Arial" w:hAnsi="Arial"/>
                <w:color w:val="000000"/>
                <w:sz w:val="24"/>
              </w:rPr>
              <w:t>0.7778</w:t>
            </w:r>
          </w:p>
        </w:tc>
        <w:tc>
          <w:tcPr>
            <w:tcW w:type="dxa" w:w="1440"/>
          </w:tcPr>
          <w:p>
            <w:r>
              <w:rPr>
                <w:rFonts w:ascii="Arial" w:hAnsi="Arial"/>
                <w:color w:val="000000"/>
                <w:sz w:val="24"/>
              </w:rPr>
              <w:t>0.8413</w:t>
            </w:r>
          </w:p>
        </w:tc>
        <w:tc>
          <w:tcPr>
            <w:tcW w:type="dxa" w:w="1440"/>
          </w:tcPr>
          <w:p>
            <w:r>
              <w:rPr>
                <w:rFonts w:ascii="Arial" w:hAnsi="Arial"/>
                <w:color w:val="000000"/>
                <w:sz w:val="24"/>
              </w:rPr>
              <w:t>0.7778</w:t>
            </w:r>
          </w:p>
        </w:tc>
        <w:tc>
          <w:tcPr>
            <w:tcW w:type="dxa" w:w="1440"/>
          </w:tcPr>
          <w:p>
            <w:r>
              <w:rPr>
                <w:rFonts w:ascii="Arial" w:hAnsi="Arial"/>
                <w:color w:val="000000"/>
                <w:sz w:val="24"/>
              </w:rPr>
              <w:t>0.7410</w:t>
            </w:r>
          </w:p>
        </w:tc>
        <w:tc>
          <w:tcPr>
            <w:tcW w:type="dxa" w:w="1440"/>
          </w:tcPr>
          <w:p>
            <w:r>
              <w:rPr>
                <w:rFonts w:ascii="Arial" w:hAnsi="Arial"/>
                <w:color w:val="000000"/>
                <w:sz w:val="24"/>
              </w:rPr>
              <w:t>8.91</w:t>
            </w:r>
          </w:p>
        </w:tc>
      </w:tr>
    </w:tbl>
    <w:p>
      <w:r>
        <w:t>Condiciones: n = 36 por modelo; dispositivo Tesla T4. Los tiempos de carga fueron 26.13 s (RoBERTa), 10.65 s (DistilBERT) y 61.75 s (BERT). Las latencias p95 fueron 15.38, 5.37 y 9.67 ms, respectivamente. Se trata de mediciones de una ejecución, no de promedios entre múltiples corridas.</w:t>
      </w:r>
    </w:p>
    <w:p>
      <w:pPr>
        <w:pStyle w:val="Heading1"/>
      </w:pPr>
      <w:r>
        <w:t>5. Comparación de eficiencia y precisión</w:t>
      </w:r>
    </w:p>
    <w:p>
      <w:r>
        <w:t>RoBERTa alcanzó el F1 macro más alto (0.9722) y accuracy de 0.9722, con 11.64 ms de latencia media. DistilBERT fue el más rápido (4.83 ms), pero obtuvo el F1 macro más bajo (0.4127). BERT presentó una solución intermedia en latencia (8.91 ms) y calidad (F1 macro 0.7410). En este caso, reducir aproximadamente 6.81 ms respecto de RoBERTa mediante DistilBERT supone una caída sustancial de desempeño. Las diferencias podrían variar con otros datos y configuraciones.</w:t>
      </w:r>
    </w:p>
    <w:p>
      <w:pPr>
        <w:pStyle w:val="Heading1"/>
      </w:pPr>
      <w:r>
        <w:t>6. Decisión y ajuste mínimo</w:t>
      </w:r>
    </w:p>
    <w:p>
      <w:r>
        <w:t>Se recomienda provisionalmente cardiffnlp/twitter-xlm-roberta-base-sentiment. La regla implementada en el cuaderno prioriza F1 macro y, entre modelos situados a 0.02 puntos del mejor F1, escoge el de menor latencia. No se realizó ajuste fino: únicamente homologación de etiquetas y configuración de inferencia. La recomendación se limita a esta muestra sintética.</w:t>
      </w:r>
    </w:p>
    <w:p>
      <w:pPr>
        <w:pStyle w:val="Heading1"/>
      </w:pPr>
      <w:r>
        <w:t>7. Umbrales, limitaciones y riesgos</w:t>
      </w:r>
    </w:p>
    <w:p>
      <w:r>
        <w:t>Como criterios propuestos para una fase posterior, se plantea F1 macro ≥ 0.85 y latencia p95 ≤ 50 ms en el hardware objetivo. Son umbrales de diseño, no requisitos verificados externamente. El tamaño de muestra de 36 registros, su origen sintético, el posible desbalance de expresiones, las variaciones regionales del español, el sarcasmo y el cambio de dominio limitan la generalización. Debe validarse con datos reales anonimizados, mayor diversidad lingüística y repetición de pruebas. También debe verificarse la licencia antes de reutilizar los pesos en producción.</w:t>
      </w:r>
    </w:p>
    <w:p>
      <w:pPr>
        <w:pStyle w:val="Heading1"/>
      </w:pPr>
      <w:r>
        <w:t>8. Ecosistema Hugging Face y recursos</w:t>
      </w:r>
    </w:p>
    <w:p>
      <w:r>
        <w:t>Models ofrece repositorios de pesos, configuraciones y fichas técnicas; Datasets permite distribuir conjuntos de evaluación; Spaces permite publicar demostraciones. Este trabajo emplea Models y un dataset local, y no publica un Space. En Colab la GPU es un recurso temporal y el costo depende del plan y la disponibilidad; no se midió costo monetario.</w:t>
      </w:r>
    </w:p>
    <w:p>
      <w:pPr>
        <w:pStyle w:val="Heading1"/>
      </w:pPr>
      <w:r>
        <w:t>9. Organización del repositorio y conclusiones</w:t>
      </w:r>
    </w:p>
    <w:p>
      <w:r>
        <w:t>El repositorio se organiza en README.md, requirements.txt, data/, notebooks/, results/ y src/. Los resultados se conservan en results/metricas.csv, transcritos de la salida almacenada en el notebook ejecutado. El enlace de GitHub debe incorporarse una vez que el estudiante publique los archivos.</w:t>
      </w:r>
    </w:p>
    <w:p>
      <w:r>
        <w:t>Los resultados favorecen a RoBERTa en calidad de clasificación, pese a una latencia superior. La evaluación cumple una función exploratoria y no constituye evidencia suficiente de desempeño en producción. La siguiente fase requiere un corpus independiente, análisis de errores por clase y ensayos repetidos de rendimiento.</w:t>
      </w:r>
    </w:p>
    <w:p>
      <w:pPr>
        <w:pStyle w:val="Heading1"/>
      </w:pPr>
      <w:r>
        <w:t>Referencias técnicas</w:t>
      </w:r>
    </w:p>
    <w:p>
      <w:r>
        <w:t>https://huggingface.co/cardiffnlp/twitter-xlm-roberta-base-sentiment</w:t>
      </w:r>
    </w:p>
    <w:p>
      <w:r>
        <w:t>https://huggingface.co/lxyuan/distilbert-base-multilingual-cased-sentiments-student</w:t>
      </w:r>
    </w:p>
    <w:p>
      <w:r>
        <w:t>https://huggingface.co/nlptown/bert-base-multilingual-uncased-sentiment</w:t>
      </w:r>
    </w:p>
    <w:p>
      <w:r>
        <w:t>https://huggingface.co/docs/transformers/main_classes/pipelines</w:t>
      </w:r>
    </w:p>
    <w:p>
      <w:r>
        <w:t>https://scikit-learn.org/stable/modules/model_evaluation.html</w:t>
      </w:r>
    </w:p>
    <w:sectPr w:rsidR="00FC693F" w:rsidRPr="0006063C" w:rsidSect="00034616">
      <w:pgSz w:w="12240" w:h="15840"/>
      <w:pgMar w:top="1247"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