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6303" w14:textId="77777777" w:rsidR="00863380" w:rsidRPr="00863380" w:rsidRDefault="00863380" w:rsidP="008633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3380">
        <w:rPr>
          <w:rFonts w:ascii="Times New Roman" w:eastAsia="Times New Roman" w:hAnsi="Times New Roman" w:cs="Times New Roman"/>
          <w:b/>
          <w:bCs/>
          <w:kern w:val="36"/>
          <w:sz w:val="48"/>
          <w:szCs w:val="48"/>
          <w14:ligatures w14:val="none"/>
        </w:rPr>
        <w:t>Forecasting the Brain: A Positional Paper on Predictive and Preventive Brain-Computer Interfaces</w:t>
      </w:r>
    </w:p>
    <w:p w14:paraId="180069FF" w14:textId="77777777" w:rsidR="00863380" w:rsidRPr="00863380" w:rsidRDefault="00E82959" w:rsidP="00863380">
      <w:pPr>
        <w:spacing w:after="0" w:line="240" w:lineRule="auto"/>
        <w:rPr>
          <w:rFonts w:ascii="Times New Roman" w:eastAsia="Times New Roman" w:hAnsi="Times New Roman" w:cs="Times New Roman"/>
          <w:kern w:val="0"/>
          <w14:ligatures w14:val="none"/>
        </w:rPr>
      </w:pPr>
      <w:r>
        <w:rPr>
          <w:noProof/>
        </w:rPr>
      </w:r>
      <w:r>
        <w:pict w14:anchorId="5C254E97">
          <v:rect id="Horizontal Line 1" o:spid="_x0000_s1035"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" filled="f">
            <o:lock v:ext="edit" rotation="t" aspectratio="t" verticies="t" text="t" shapetype="t"/>
            <w10:anchorlock/>
          </v:rect>
        </w:pict>
      </w:r>
    </w:p>
    <w:p w14:paraId="62EF116F" w14:textId="77777777" w:rsidR="00863380" w:rsidRPr="00863380" w:rsidRDefault="00863380" w:rsidP="00863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3380">
        <w:rPr>
          <w:rFonts w:ascii="Times New Roman" w:eastAsia="Times New Roman" w:hAnsi="Times New Roman" w:cs="Times New Roman"/>
          <w:b/>
          <w:bCs/>
          <w:kern w:val="0"/>
          <w:sz w:val="36"/>
          <w:szCs w:val="36"/>
          <w14:ligatures w14:val="none"/>
        </w:rPr>
        <w:t>Abstract</w:t>
      </w:r>
    </w:p>
    <w:p w14:paraId="087CB934"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Traditional brain-computer interfaces (BCIs) operate reactively, responding to neural signals after cognitive or physiological events occur. This positional paper argues for a paradigm shift toward predictive and preventive BCIs—systems that anticipate cognitive states, physiological vulnerabilities, and adverse health events before they manifest. We synthesize emerging evidence across five domains: pre-stimulus EEG prediction of steady-state visually evoked potential (SSVEP) signal quality, pre-sleep EEG forecasting of slow-wave sleep deficiency, resting-state EEG prediction of migraine attacks, ongoing EEG forecasting of pre-ictal seizures, and multimodal physiological prediction of falls. Drawing on recent advances in machine learning, signal processing, and wearable sensing, we demonstrate that the brain and body emit early warning signals that can be decoded to enable proactive interventions. We propose a theoretical framework for predictive BCIs grounded in anticipatory neural dynamics and discuss applications in healthcare monitoring, adaptive education, and human-AI collaboration. This shift from detection to anticipation, and from reaction to pre-emption, positions BCIs as anticipatory companions capable of transforming clinical care, cognitive enhancement, and human-machine symbiosis.</w:t>
      </w:r>
    </w:p>
    <w:p w14:paraId="33D9A64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Keywords: brain-computer interface, predictive BCI, preventive healthcare, EEG forecasting, seizure prediction, cognitive state prediction, anticipatory systems, proactive intervention</w:t>
      </w:r>
    </w:p>
    <w:p w14:paraId="6E5E1A91" w14:textId="77777777" w:rsidR="00863380" w:rsidRPr="00863380" w:rsidRDefault="00E82959" w:rsidP="00863380">
      <w:pPr>
        <w:spacing w:after="0" w:line="240" w:lineRule="auto"/>
        <w:rPr>
          <w:rFonts w:ascii="Times New Roman" w:eastAsia="Times New Roman" w:hAnsi="Times New Roman" w:cs="Times New Roman"/>
          <w:kern w:val="0"/>
          <w14:ligatures w14:val="none"/>
        </w:rPr>
      </w:pPr>
      <w:r>
        <w:rPr>
          <w:noProof/>
        </w:rPr>
      </w:r>
      <w:r>
        <w:pict w14:anchorId="19B8840E">
          <v:rect id="Horizontal Line 2" o:spid="_x0000_s103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" filled="f">
            <o:lock v:ext="edit" rotation="t" aspectratio="t" verticies="t" text="t" shapetype="t"/>
            <w10:anchorlock/>
          </v:rect>
        </w:pict>
      </w:r>
    </w:p>
    <w:p w14:paraId="2B2E0E89" w14:textId="77777777" w:rsidR="00863380" w:rsidRPr="00863380" w:rsidRDefault="00863380" w:rsidP="00863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3380">
        <w:rPr>
          <w:rFonts w:ascii="Times New Roman" w:eastAsia="Times New Roman" w:hAnsi="Times New Roman" w:cs="Times New Roman"/>
          <w:b/>
          <w:bCs/>
          <w:kern w:val="0"/>
          <w:sz w:val="36"/>
          <w:szCs w:val="36"/>
          <w14:ligatures w14:val="none"/>
        </w:rPr>
        <w:t>1. Introduction</w:t>
      </w:r>
    </w:p>
    <w:p w14:paraId="20F059CA"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Brain-computer interfaces (BCIs) have traditionally been defined as direct communication pathways between the brain and external devices, enabling individuals to control assistive technologies, communicate, or interact with digital environments through neural signals (Wolpaw et al., 2002). Over the past three decades, BCI research has grown exponentially, with PubMed publications increasing from fewer than 50 in 2002 to over 1,200 in 2022. The vast majority of these systems operate reactively: they detect neural patterns associated with motor imagery, visual attention, or cognitive tasks and translate them into device commands after the neural event has occurred (Rashid et al., 2020), (Gu et al., 2021).</w:t>
      </w:r>
    </w:p>
    <w:p w14:paraId="3FB160D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However, emerging evidence suggests that the brain does not merely react to stimuli—it continuously generates predictive signals that forecast upcoming cognitive states, task </w:t>
      </w:r>
      <w:r w:rsidRPr="00863380">
        <w:rPr>
          <w:rFonts w:ascii="Times New Roman" w:eastAsia="Times New Roman" w:hAnsi="Times New Roman" w:cs="Times New Roman"/>
          <w:kern w:val="0"/>
          <w14:ligatures w14:val="none"/>
        </w:rPr>
        <w:lastRenderedPageBreak/>
        <w:t>performance, and physiological vulnerabilities. Pre-stimulus neural activity can predict the quality of subsequent sensory processing (Vieira et al., 2024). Resting-state EEG patterns recorded before sleep can forecast whether an individual will experience slow-wave sleep deficiency hours later. Ongoing EEG dynamics can identify pre-ictal states minutes to hours before seizure onset (Pan et al., 2024), (Saeizadeh et al., 2024). These findings challenge the reactive paradigm and open the door to a new class of BCIs: predictive and preventive BCIs.</w:t>
      </w:r>
    </w:p>
    <w:p w14:paraId="12DC01E1"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1.1 Defining Traditional vs. Predictive BCIs</w:t>
      </w:r>
    </w:p>
    <w:p w14:paraId="1D40C0F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Traditional BCIs are characterized by a detection-reaction cycle. The system waits for a user to generate a specific neural pattern (e.g., motor imagery, P300 response, SSVEP), detects that pattern, and then executes a corresponding action. This approach has enabled remarkable applications, from wheelchair control to communication for individuals with locked-in syndrome (Portillo-Lara et al., 2021). However, it is inherently retrospective: the system responds to what has already happened in the brain.</w:t>
      </w:r>
    </w:p>
    <w:p w14:paraId="5836E432"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by contrast, operate on an anticipation-preemption cycle. They continuously monitor neural and physiological signals to forecast future cognitive states, performance fluctuations, or adverse events before they occur. This enables the system to adapt proactively—adjusting task difficulty, issuing warnings, or triggering interventions—rather than merely reacting to completed neural events. Predictive BCIs leverage the brain's intrinsic anticipatory dynamics, which reflect ongoing internal models, attentional fluctuations, and homeostatic regulation (Wang et al., 2011), (Cinquetti et al., 2024).</w:t>
      </w:r>
    </w:p>
    <w:p w14:paraId="4CDD3BAA"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1.2 The Case for Preventive BCIs</w:t>
      </w:r>
    </w:p>
    <w:p w14:paraId="5E46B90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The transition from reactive to predictive BCIs is not merely a technical refinement; it represents a fundamental shift in how we conceptualize brain-machine interaction. In clinical contexts, preventive BCIs can transform healthcare from a model of symptom management to one of proactive risk mitigation. For individuals with epilepsy, forecasting seizures minutes to hours in advance could enable timely medication adjustment, behavioral interventions, or environmental modifications that prevent or mitigate seizure impact (Nasseri et al., 2021), (Stirling et al., 2021). For older adults at risk of falls, multimodal physiological monitoring could detect instability more than 10 seconds before a fall, allowing for corrective actions or alerts to caregivers.</w:t>
      </w:r>
    </w:p>
    <w:p w14:paraId="5A3449CE"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Beyond clinical applications, predictive BCIs hold promise for enhancing human performance in education, industry, and human-AI collaboration. By forecasting cognitive load, vigilance degradation, or mental fatigue, these systems can adaptively adjust task demands, optimize learning schedules, or prevent errors in safety-critical environments (Cinquetti et al., 2024). The key insight is that the brain and body give early warning signals before problems occur—and predictive BCIs are designed to decode and act on these signals.</w:t>
      </w:r>
    </w:p>
    <w:p w14:paraId="23005A00"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1.3 Scope and Structure of This Paper</w:t>
      </w:r>
    </w:p>
    <w:p w14:paraId="5F8976A2"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This positional paper synthesizes evidence from five domains of predictive neuroscience and argues for the development of predictive and preventive BCIs as a new research and clinical </w:t>
      </w:r>
      <w:r w:rsidRPr="00863380">
        <w:rPr>
          <w:rFonts w:ascii="Times New Roman" w:eastAsia="Times New Roman" w:hAnsi="Times New Roman" w:cs="Times New Roman"/>
          <w:kern w:val="0"/>
          <w14:ligatures w14:val="none"/>
        </w:rPr>
        <w:lastRenderedPageBreak/>
        <w:t>priority. Section 2 presents a theoretical framework grounded in anticipatory neural dynamics and predictive coding. Section 3 reviews empirical evidence across five domains: pre-stimulus EEG and SSVEP prediction, pre-sleep EEG and slow-wave sleep deficiency, resting EEG and migraine prediction, pre-ictal seizure forecasting, and multimodal fall prediction. Section 4 articulates the paradigm shift from detection to anticipation. Section 5 explores applications in healthcare, education, and human-AI collaboration. Section 6 discusses challenges and opportunities, and Section 7 concludes with a vision for the future of predictive BCIs.</w:t>
      </w:r>
    </w:p>
    <w:p w14:paraId="37990D61" w14:textId="77777777" w:rsidR="00863380" w:rsidRPr="00863380" w:rsidRDefault="00E82959" w:rsidP="00863380">
      <w:pPr>
        <w:spacing w:after="0" w:line="240" w:lineRule="auto"/>
        <w:rPr>
          <w:rFonts w:ascii="Times New Roman" w:eastAsia="Times New Roman" w:hAnsi="Times New Roman" w:cs="Times New Roman"/>
          <w:kern w:val="0"/>
          <w14:ligatures w14:val="none"/>
        </w:rPr>
      </w:pPr>
      <w:r>
        <w:rPr>
          <w:noProof/>
        </w:rPr>
      </w:r>
      <w:r>
        <w:pict w14:anchorId="1B483951">
          <v:rect id="Horizontal Line 3" o:spid="_x0000_s103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" filled="f">
            <o:lock v:ext="edit" rotation="t" aspectratio="t" verticies="t" text="t" shapetype="t"/>
            <w10:anchorlock/>
          </v:rect>
        </w:pict>
      </w:r>
    </w:p>
    <w:p w14:paraId="05A304A1" w14:textId="77777777" w:rsidR="00863380" w:rsidRPr="00863380" w:rsidRDefault="00863380" w:rsidP="00863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3380">
        <w:rPr>
          <w:rFonts w:ascii="Times New Roman" w:eastAsia="Times New Roman" w:hAnsi="Times New Roman" w:cs="Times New Roman"/>
          <w:b/>
          <w:bCs/>
          <w:kern w:val="0"/>
          <w:sz w:val="36"/>
          <w:szCs w:val="36"/>
          <w14:ligatures w14:val="none"/>
        </w:rPr>
        <w:t>2. Theoretical Framework for Predictive BCIs</w:t>
      </w:r>
    </w:p>
    <w:p w14:paraId="59F5456A"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The feasibility of predictive BCIs rests on two foundational principles: (1) the brain operates as a predictive organ that continuously generates internal models of the world and the self, and (2) neural and physiological signals contain anticipatory information that can be decoded to forecast future states.</w:t>
      </w:r>
    </w:p>
    <w:p w14:paraId="3174E4CD"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2.1 The Predictive Brain</w:t>
      </w:r>
    </w:p>
    <w:p w14:paraId="6C7A5886"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Contemporary neuroscience increasingly views the brain not as a passive stimulus-response machine, but as an active inference engine that continuously predicts incoming sensory information and updates its internal models based on prediction errors (Friston, 2010). This predictive coding framework suggests that much of neural activity reflects top-down predictions rather than bottom-up sensory processing. Consequently, pre-stimulus neural states—reflecting ongoing predictions, attentional biases, and arousal fluctuations—can influence the quality of subsequent sensory processing and behavioral performance.</w:t>
      </w:r>
    </w:p>
    <w:p w14:paraId="2CA2F488"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Empirical support for this view comes from studies showing that pre-stimulus EEG oscillations predict perceptual outcomes, reaction times, and task performance (Vieira et al., 2024). For example, pre-stimulus alpha power in visual cortex predicts whether a near-threshold stimulus will be detected, and pre-stimulus theta power in frontal regions predicts cognitive control performance. These findings suggest that the brain's ongoing dynamics are not mere noise, but contain structured information about upcoming cognitive states.</w:t>
      </w:r>
    </w:p>
    <w:p w14:paraId="028BD5CF"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2.2 Anticipatory Neural Dynamics</w:t>
      </w:r>
    </w:p>
    <w:p w14:paraId="499615DA"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exploit anticipatory neural dynamics—patterns of brain activity that precede and forecast future cognitive or physiological events. These dynamics can be conceptualized at multiple timescales:</w:t>
      </w:r>
    </w:p>
    <w:p w14:paraId="1DD13A1F" w14:textId="77777777" w:rsidR="00863380" w:rsidRPr="00863380" w:rsidRDefault="00863380" w:rsidP="008633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Milliseconds to seconds: Pre-stimulus EEG fluctuations predict sensory processing quality and motor preparation (Vieira et al., 2024). Vigilance forecasting models can predict attentional lapses 5.5 seconds ahead (Cinquetti et al., 2024).</w:t>
      </w:r>
    </w:p>
    <w:p w14:paraId="7EAF6D48" w14:textId="77777777" w:rsidR="00863380" w:rsidRPr="00863380" w:rsidRDefault="00863380" w:rsidP="008633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Minutes to hours: Pre-ictal EEG changes forecast seizure onset with lead times ranging from minutes to hours (Pan et al., 2024), (Saeizadeh et al., 2024). Multimodal physiological signals can predict falls more than 10 seconds in advance.</w:t>
      </w:r>
    </w:p>
    <w:p w14:paraId="2B0061F0" w14:textId="77777777" w:rsidR="00863380" w:rsidRPr="00863380" w:rsidRDefault="00863380" w:rsidP="008633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lastRenderedPageBreak/>
        <w:t>Hours to days: Pre-sleep EEG patterns predict slow-wave sleep deficiency later that night. Resting-state EEG can forecast migraine attacks hours or days before symptom onset.</w:t>
      </w:r>
    </w:p>
    <w:p w14:paraId="48B9F48D" w14:textId="216DF275"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These anticipatory signals reflect diverse mechanisms, including circadian rhythms, homeostatic regulation, attentional fluctuations, and pathological state transitions. Critically, they are </w:t>
      </w:r>
      <w:r>
        <w:rPr>
          <w:rFonts w:ascii="Times New Roman" w:eastAsia="Times New Roman" w:hAnsi="Times New Roman" w:cs="Times New Roman" w:hint="eastAsia"/>
          <w:kern w:val="0"/>
          <w14:ligatures w14:val="none"/>
        </w:rPr>
        <w:t>measurable</w:t>
      </w:r>
      <w:r w:rsidRPr="00863380">
        <w:rPr>
          <w:rFonts w:ascii="Times New Roman" w:eastAsia="Times New Roman" w:hAnsi="Times New Roman" w:cs="Times New Roman"/>
          <w:kern w:val="0"/>
          <w14:ligatures w14:val="none"/>
        </w:rPr>
        <w:t xml:space="preserve"> </w:t>
      </w:r>
      <w:r>
        <w:rPr>
          <w:rFonts w:ascii="Times New Roman" w:eastAsia="Times New Roman" w:hAnsi="Times New Roman" w:cs="Times New Roman" w:hint="eastAsia"/>
          <w:kern w:val="0"/>
          <w14:ligatures w14:val="none"/>
        </w:rPr>
        <w:t>using</w:t>
      </w:r>
      <w:r w:rsidRPr="00863380">
        <w:rPr>
          <w:rFonts w:ascii="Times New Roman" w:eastAsia="Times New Roman" w:hAnsi="Times New Roman" w:cs="Times New Roman"/>
          <w:kern w:val="0"/>
          <w14:ligatures w14:val="none"/>
        </w:rPr>
        <w:t xml:space="preserve"> non-invasive or minimally invasive sensors, making them viable targets for predictive BCIs.</w:t>
      </w:r>
    </w:p>
    <w:p w14:paraId="20E7A030"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2.3 From Collaborative to Anticipatory BCIs</w:t>
      </w:r>
    </w:p>
    <w:p w14:paraId="70F9188B"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Wang et al. (2011) introduced the concept of collaborative BCIs, which integrate information from multiple users to improve overall performance. This approach demonstrated that fusing brain activities from a group can enhance the prediction of natural human behavior, addressing the bottleneck of low single-user BCI performance. Building on this foundation, we propose that predictive BCIs extend collaboration not only across users but also across time—leveraging past and present neural states to forecast future states and enable proactive adaptation.</w:t>
      </w:r>
    </w:p>
    <w:p w14:paraId="1F2F74CC"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Cinquetti et al. (2024) demonstrated the feasibility of forecasting human vigilance 5.5 seconds ahead during repetitive tasks, using vector autoregressive models and deep learning recurrent architectures. This work exemplifies the shift from reactive monitoring to anticipatory intelligence, enabling systems to adjust task demands or issue warnings before performance degradation occurs.</w:t>
      </w:r>
    </w:p>
    <w:p w14:paraId="7AA089F3"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2.4 Theoretical Implications</w:t>
      </w:r>
    </w:p>
    <w:p w14:paraId="7BD9394B"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The theoretical framework for predictive BCIs has several implications:</w:t>
      </w:r>
    </w:p>
    <w:p w14:paraId="5777E26A" w14:textId="77777777" w:rsidR="00863380" w:rsidRPr="00863380" w:rsidRDefault="00863380" w:rsidP="008633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Temporal extension: Predictive BCIs extend the temporal scope of brain-machine interaction from the present moment to future states, enabling proactive rather than reactive adaptation.</w:t>
      </w:r>
    </w:p>
    <w:p w14:paraId="2D35D334" w14:textId="77777777" w:rsidR="00863380" w:rsidRPr="00863380" w:rsidRDefault="00863380" w:rsidP="008633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Multimodal integration: Effective prediction often requires integrating neural signals (EEG, intracranial EEG) with peripheral physiological signals (heart rate, respiration, accelerometry), reflecting the distributed nature of anticipatory information (Saeizadeh et al., 2024).</w:t>
      </w:r>
    </w:p>
    <w:p w14:paraId="04F42B71" w14:textId="77777777" w:rsidR="00863380" w:rsidRPr="00863380" w:rsidRDefault="00863380" w:rsidP="008633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Personalization: Anticipatory dynamics are often patient-specific or context-specific, requiring adaptive models that learn individual patterns over time (Aldahr et al., 2023).</w:t>
      </w:r>
    </w:p>
    <w:p w14:paraId="26332E59" w14:textId="77777777" w:rsidR="00863380" w:rsidRPr="00863380" w:rsidRDefault="00863380" w:rsidP="008633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Uncertainty quantification: Predictive BCIs must quantify prediction uncertainty and avoid false alarms, as premature or inaccurate warnings can undermine user trust and system utility (Pankka et al., 2025).</w:t>
      </w:r>
    </w:p>
    <w:p w14:paraId="1485CAD3" w14:textId="77777777" w:rsidR="00863380" w:rsidRPr="00863380" w:rsidRDefault="00E82959" w:rsidP="00863380">
      <w:pPr>
        <w:spacing w:after="0" w:line="240" w:lineRule="auto"/>
        <w:rPr>
          <w:rFonts w:ascii="Times New Roman" w:eastAsia="Times New Roman" w:hAnsi="Times New Roman" w:cs="Times New Roman"/>
          <w:kern w:val="0"/>
          <w14:ligatures w14:val="none"/>
        </w:rPr>
      </w:pPr>
      <w:r>
        <w:rPr>
          <w:noProof/>
        </w:rPr>
      </w:r>
      <w:r>
        <w:pict w14:anchorId="0978760E">
          <v:rect id="Horizontal Line 4" o:spid="_x0000_s103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" filled="f">
            <o:lock v:ext="edit" rotation="t" aspectratio="t" verticies="t" text="t" shapetype="t"/>
            <w10:anchorlock/>
          </v:rect>
        </w:pict>
      </w:r>
    </w:p>
    <w:p w14:paraId="6BC2C6DC" w14:textId="77777777" w:rsidR="00863380" w:rsidRPr="00863380" w:rsidRDefault="00863380" w:rsidP="00863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3380">
        <w:rPr>
          <w:rFonts w:ascii="Times New Roman" w:eastAsia="Times New Roman" w:hAnsi="Times New Roman" w:cs="Times New Roman"/>
          <w:b/>
          <w:bCs/>
          <w:kern w:val="0"/>
          <w:sz w:val="36"/>
          <w:szCs w:val="36"/>
          <w14:ligatures w14:val="none"/>
        </w:rPr>
        <w:t>3. Evidence Base: Five Domains of Prediction</w:t>
      </w:r>
    </w:p>
    <w:p w14:paraId="2A53C755"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lastRenderedPageBreak/>
        <w:t>This section synthesizes empirical evidence across five domains where predictive signals have been identified and validated. Each domain illustrates a different timescale, signal modality, and application context, collectively demonstrating the breadth and robustness of anticipatory neural and physiological dynamics.</w:t>
      </w:r>
    </w:p>
    <w:p w14:paraId="6B12C073"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3.1 Pre-Stimulus EEG and SSVEP Prediction</w:t>
      </w:r>
    </w:p>
    <w:p w14:paraId="496DDAF0"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Steady-state visually evoked potentials (SSVEPs) are widely used in BCIs for communication and control, as they provide robust frequency-tagged responses to flickering visual stimuli. However, SSVEP signal quality varies substantially across trials and individuals, limiting BCI performance. Recent evidence suggests that pre-stimulus EEG activity can predict the signal-to-noise ratio (SNR) of subsequent SSVEPs.</w:t>
      </w:r>
    </w:p>
    <w:p w14:paraId="1674F6E4"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Vieira et al. (2024) demonstrated that combining EEG with deep learning enables action anticipation several hundred milliseconds before execution in human-robot interaction tasks. This work leverages EEG's high temporal resolution for predictive capabilities, moving toward more efficient and safer collaborative systems. The study illustrates that pre-stimulus neural states—reflecting attentional focus, arousal, and cortical excitability—contain information about the quality of upcoming sensory processing.</w:t>
      </w:r>
    </w:p>
    <w:p w14:paraId="20304A2B"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Implications: Pre-stimulus EEG prediction can be used to adaptively adjust stimulus parameters, skip low-quality trials, or provide real-time feedback to users to optimize their attentional state. This approach transforms SSVEPs from a passive sensory response into an actively managed signal, improving BCI accuracy and user experience.</w:t>
      </w:r>
    </w:p>
    <w:p w14:paraId="779A1614"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3.2 Pre-Sleep EEG and Slow-Wave Sleep Deficiency</w:t>
      </w:r>
    </w:p>
    <w:p w14:paraId="6D4E01E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Slow-wave sleep (SWS) is critical for memory consolidation, metabolic regulation, and overall health. However, SWS duration varies substantially across individuals and nights, and deficiency is associated with cognitive impairment, metabolic dysfunction, and increased disease risk. Emerging evidence suggests that pre-sleep EEG patterns—recorded during the minutes before sleep onset—can forecast whether an individual will experience SWS deficiency later that night.</w:t>
      </w:r>
    </w:p>
    <w:p w14:paraId="64AB4EA2"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Preliminary findings indicate that groups differing in SWS percentage (Low ~10%, Mid ~17%, High ~34%) show distinct pre-sleep EEG signatures, despite similar total sleep time. The Low SWS group exhibits specific spectral and connectivity patterns in the pre-sleep period that predict subsequent SWS deficiency. Importantly, sleep onset latency is shortest in the High SWS group, suggesting that pre-sleep neural states reflect homeostatic sleep pressure and circadian alignment.</w:t>
      </w:r>
    </w:p>
    <w:p w14:paraId="1AF48FB8"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Implications: Pre-sleep EEG prediction could enable personalized sleep interventions. Individuals predicted to experience SWS deficiency could receive targeted interventions—such as cognitive behavioral therapy for insomnia, sleep hygiene adjustments, or pharmacological support—before sleep onset, potentially preventing the deficiency and its downstream consequences.</w:t>
      </w:r>
    </w:p>
    <w:p w14:paraId="333A4AC7"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lastRenderedPageBreak/>
        <w:t>3.3 Resting EEG and Migraine Prediction</w:t>
      </w:r>
    </w:p>
    <w:p w14:paraId="5E539254"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Migraine is a debilitating neurological disorder affecting over one billion people worldwide. Migraine attacks are often unpredictable, limiting patients' ability to plan activities or take preventive medication. Recent studies suggest that resting-state EEG recorded hours or days before an attack contains predictive information about impending migraines.</w:t>
      </w:r>
    </w:p>
    <w:p w14:paraId="472178C8"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Resting EEG patterns—particularly in alpha and theta bands—differ between interictal (between attacks) and pre-ictal (hours before attack) states. Machine learning models trained on these features can forecast migraine onset with clinically meaningful lead times, enabling patients to take preventive medication or adjust their schedules to minimize attack impact.</w:t>
      </w:r>
    </w:p>
    <w:p w14:paraId="6A236972"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Implications: Resting EEG-based migraine prediction could transform migraine management from reactive symptom treatment to proactive prevention. Wearable EEG devices could continuously monitor patients and issue alerts when a migraine is forecasted, enabling timely intervention and reducing attack frequency and severity.</w:t>
      </w:r>
    </w:p>
    <w:p w14:paraId="6B911D9E"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3.4 Pre-Ictal Seizure Forecasting</w:t>
      </w:r>
    </w:p>
    <w:p w14:paraId="392A231F"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Epileptic seizures are sudden, unpredictable events that profoundly impact quality of life and safety. Decades of research have sought to identify pre-ictal EEG patterns—neural signatures that precede seizure onset—with the goal of forecasting seizures minutes to hours in advance. Recent advances in machine learning and wearable sensing have brought this goal closer to clinical reality.</w:t>
      </w:r>
    </w:p>
    <w:p w14:paraId="20922552"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Pan et al. (2024) developed SeizureGuard, an adaptive fusion converter model that integrates time, frequency, and channel features from EEG using convolutional neural networks and transformer encoders. The model achieved 99.00% accuracy, 99.10% sensitivity, and a false prediction rate of 0.011/h on the CHB-MIT dataset, demonstrating state-of-the-art performance in seizure prediction.</w:t>
      </w:r>
    </w:p>
    <w:p w14:paraId="21AE7217"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Saeizadeh et al. (2024) introduced a multi-modal non-invasive deep learning framework for progressive seizure prediction, utilizing EEG and ECG sensors to predict the countdown time to seizure onset in 15-minute intervals up to an hour prior. The model achieved 95% sensitivity, 98% specificity, and 97% accuracy among 29 patients, providing critical lead time for preventive actions. The authors propose that future devices might alter stimulation patterns or amplitude to reduce seizure probability, enabling closed-loop intervention.</w:t>
      </w:r>
    </w:p>
    <w:p w14:paraId="3C5B91C8"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Aldahr et al. (2023) developed a patient-specific preictal pattern-aware epileptic seizure prediction system using federated learning, achieving 96.33% sensitivity and 96.14% specificity. The approach integrates EEG with heart rate variability features and patient-specific clinical data, demonstrating the value of multimodal and personalized prediction models.</w:t>
      </w:r>
    </w:p>
    <w:p w14:paraId="1FF46CB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Nasseri et al. (2021) demonstrated ambulatory seizure forecasting using a wrist-worn device with long-short term memory (LSTM) deep learning, achieving forecasting performance significantly </w:t>
      </w:r>
      <w:r w:rsidRPr="00863380">
        <w:rPr>
          <w:rFonts w:ascii="Times New Roman" w:eastAsia="Times New Roman" w:hAnsi="Times New Roman" w:cs="Times New Roman"/>
          <w:kern w:val="0"/>
          <w14:ligatures w14:val="none"/>
        </w:rPr>
        <w:lastRenderedPageBreak/>
        <w:t>better than a random predictor for 5 of 6 patients studied (mean AUC-ROC of 0.80). This work illustrates the feasibility of non-invasive, wearable seizure forecasting in real-world settings.</w:t>
      </w:r>
    </w:p>
    <w:p w14:paraId="7EFA7D44"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Implications: Seizure forecasting enables a range of preventive interventions, including timely medication adjustment, behavioral strategies (e.g., avoiding high-risk activities), alert systems for patients and caregivers, and closed-loop neurostimulation to abort impending seizures (Stirling et al., 2021). The shift from reactive seizure management to proactive forecasting has profound implications for patient safety, independence, and quality of life.</w:t>
      </w:r>
    </w:p>
    <w:p w14:paraId="6AA49808"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3.5 Multimodal Fall Prediction</w:t>
      </w:r>
    </w:p>
    <w:p w14:paraId="47694E30"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Falls are a leading cause of injury and mortality among older adults, with over 30% of individuals aged 65+ experiencing at least one fall per year. Traditional fall detection systems operate reactively, alerting caregivers after a fall has occurred. However, emerging evidence suggests that multimodal physiological signals—including EEG, gait parameters, heart rate, and accelerometry—contain predictive information that can forecast falls more than 10 seconds in advance.</w:t>
      </w:r>
    </w:p>
    <w:p w14:paraId="2DE954C4"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Multimodal fall prediction systems integrate neural signals (reflecting cognitive load, attention, and motor planning) with peripheral signals (reflecting balance, gait stability, and cardiovascular function). Machine learning models trained on these features can identify pre-fall states characterized by increased postural sway, gait irregularity, and neural markers of instability.</w:t>
      </w:r>
    </w:p>
    <w:p w14:paraId="6B65A80F"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Implications: Multimodal fall prediction enables proactive interventions, such as real-time alerts to users to adjust their posture or gait, environmental modifications (e.g., adjusting lighting or removing obstacles), or alerts to caregivers. By preventing falls rather than merely detecting them, these systems could substantially reduce fall-related injuries and healthcare costs.</w:t>
      </w:r>
    </w:p>
    <w:p w14:paraId="35ED44E1" w14:textId="77777777" w:rsidR="00863380" w:rsidRPr="00863380" w:rsidRDefault="00E82959" w:rsidP="00863380">
      <w:pPr>
        <w:spacing w:after="0" w:line="240" w:lineRule="auto"/>
        <w:rPr>
          <w:rFonts w:ascii="Times New Roman" w:eastAsia="Times New Roman" w:hAnsi="Times New Roman" w:cs="Times New Roman"/>
          <w:kern w:val="0"/>
          <w14:ligatures w14:val="none"/>
        </w:rPr>
      </w:pPr>
      <w:r>
        <w:rPr>
          <w:noProof/>
        </w:rPr>
      </w:r>
      <w:r>
        <w:pict w14:anchorId="0B0FEFA6">
          <v:rect id="Horizontal Line 5" o:spid="_x0000_s103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" filled="f">
            <o:lock v:ext="edit" rotation="t" aspectratio="t" verticies="t" text="t" shapetype="t"/>
            <w10:anchorlock/>
          </v:rect>
        </w:pict>
      </w:r>
    </w:p>
    <w:p w14:paraId="6A78481F" w14:textId="77777777" w:rsidR="00863380" w:rsidRPr="00863380" w:rsidRDefault="00863380" w:rsidP="00863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3380">
        <w:rPr>
          <w:rFonts w:ascii="Times New Roman" w:eastAsia="Times New Roman" w:hAnsi="Times New Roman" w:cs="Times New Roman"/>
          <w:b/>
          <w:bCs/>
          <w:kern w:val="0"/>
          <w:sz w:val="36"/>
          <w:szCs w:val="36"/>
          <w14:ligatures w14:val="none"/>
        </w:rPr>
        <w:t>4. From Detection to Anticipation: The Paradigm Shift</w:t>
      </w:r>
    </w:p>
    <w:p w14:paraId="2373CC0B"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The evidence reviewed in Section 3 collectively demonstrates that the brain and body emit early warning signals across multiple timescales and modalities. This section articulates the conceptual and practical implications of shifting from detection to anticipation, and from reaction to pre-emption.</w:t>
      </w:r>
    </w:p>
    <w:p w14:paraId="2C67825C"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4.1 The Detection-Reaction Paradigm</w:t>
      </w:r>
    </w:p>
    <w:p w14:paraId="1A00DE6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Traditional BCIs operate within a detection-reaction paradigm:</w:t>
      </w:r>
    </w:p>
    <w:p w14:paraId="2E604313" w14:textId="77777777" w:rsidR="00863380" w:rsidRPr="00863380" w:rsidRDefault="00863380" w:rsidP="008633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Signal acquisition: Neural signals are recorded via EEG, ECoG, or other modalities.</w:t>
      </w:r>
    </w:p>
    <w:p w14:paraId="3DF9F1D7" w14:textId="77777777" w:rsidR="00863380" w:rsidRPr="00863380" w:rsidRDefault="00863380" w:rsidP="008633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Feature extraction: Relevant features (e.g., spectral power, event-related potentials) are extracted.</w:t>
      </w:r>
    </w:p>
    <w:p w14:paraId="38BF98F3" w14:textId="77777777" w:rsidR="00863380" w:rsidRPr="00863380" w:rsidRDefault="00863380" w:rsidP="008633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Classification: A classifier identifies the user's intended action or cognitive state.</w:t>
      </w:r>
    </w:p>
    <w:p w14:paraId="295B85EF" w14:textId="77777777" w:rsidR="00863380" w:rsidRPr="00863380" w:rsidRDefault="00863380" w:rsidP="008633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Device control: The system executes a corresponding command.</w:t>
      </w:r>
    </w:p>
    <w:p w14:paraId="372DEBA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lastRenderedPageBreak/>
        <w:t>This paradigm has enabled remarkable applications, but it is inherently retrospective. The system waits for a neural event to occur, detects it, and then responds. This introduces latency, limits adaptability, and precludes proactive intervention.</w:t>
      </w:r>
    </w:p>
    <w:p w14:paraId="77B5561A"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4.2 The Anticipation-Preemption Paradigm</w:t>
      </w:r>
    </w:p>
    <w:p w14:paraId="02B522C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operate within an anticipation-preemption paradigm:</w:t>
      </w:r>
    </w:p>
    <w:p w14:paraId="7A02EA9A" w14:textId="77777777" w:rsidR="00863380" w:rsidRPr="00863380" w:rsidRDefault="00863380" w:rsidP="008633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Continuous monitoring: Neural and physiological signals are continuously recorded.</w:t>
      </w:r>
    </w:p>
    <w:p w14:paraId="5CEF0165" w14:textId="77777777" w:rsidR="00863380" w:rsidRPr="00863380" w:rsidRDefault="00863380" w:rsidP="008633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modeling: Machine learning models forecast future cognitive states, performance fluctuations, or adverse events based on current and past signals.</w:t>
      </w:r>
    </w:p>
    <w:p w14:paraId="58155C3A" w14:textId="77777777" w:rsidR="00863380" w:rsidRPr="00863380" w:rsidRDefault="00863380" w:rsidP="008633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Proactive adaptation: The system adjusts task demands, issues warnings, or triggers interventions before the forecasted event occurs.</w:t>
      </w:r>
    </w:p>
    <w:p w14:paraId="4680036C" w14:textId="77777777" w:rsidR="00863380" w:rsidRPr="00863380" w:rsidRDefault="00863380" w:rsidP="008633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Closed-loop refinement: The system learns from prediction outcomes to improve future forecasts.</w:t>
      </w:r>
    </w:p>
    <w:p w14:paraId="381024B8"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This paradigm enables proactive rather than reactive interaction. For example, a predictive BCI monitoring vigilance during a repetitive task could detect early signs of attentional decline and adjust task difficulty or suggest a break before performance degrades (Cinquetti et al., 2024). A seizure forecasting system could issue an alert minutes before seizure onset, enabling the patient to take preventive medication or move to a safe location (Pan et al., 2024).</w:t>
      </w:r>
    </w:p>
    <w:p w14:paraId="5E5D828E"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4.3 Key Differences and Advantages</w:t>
      </w:r>
    </w:p>
    <w:p w14:paraId="4466680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The shift from detection to anticipation entails several key differences:</w:t>
      </w:r>
    </w:p>
    <w:p w14:paraId="27B1208B" w14:textId="77777777" w:rsidR="00863380" w:rsidRPr="00863380" w:rsidRDefault="00863380" w:rsidP="008633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Temporal scope: Predictive BCIs extend the temporal scope of brain-machine interaction from the present moment to future states, enabling foresight rather than hindsight.</w:t>
      </w:r>
    </w:p>
    <w:p w14:paraId="513A4C16" w14:textId="77777777" w:rsidR="00863380" w:rsidRPr="00863380" w:rsidRDefault="00863380" w:rsidP="008633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Intervention timing: Predictive BCIs enable interventions before adverse events occur, rather than after, maximizing the potential for prevention.</w:t>
      </w:r>
    </w:p>
    <w:p w14:paraId="4485CECB" w14:textId="77777777" w:rsidR="00863380" w:rsidRPr="00863380" w:rsidRDefault="00863380" w:rsidP="008633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Adaptability: Predictive BCIs can continuously adjust their behavior based on forecasted states, enabling dynamic adaptation to changing user needs and contexts.</w:t>
      </w:r>
    </w:p>
    <w:p w14:paraId="5C5B23AD" w14:textId="77777777" w:rsidR="00863380" w:rsidRPr="00863380" w:rsidRDefault="00863380" w:rsidP="008633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User experience: By anticipating user needs and vulnerabilities, predictive BCIs can provide a more seamless, supportive, and empowering user experience.</w:t>
      </w:r>
    </w:p>
    <w:p w14:paraId="2F748D33"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4.4 From Mitigation to Prevention</w:t>
      </w:r>
    </w:p>
    <w:p w14:paraId="25599FD7"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The ultimate goal of predictive BCIs is to shift from mitigation (reducing the impact of adverse events after they occur) to prevention (stopping adverse events from occurring in the first place). This shift is particularly impactful in clinical contexts:</w:t>
      </w:r>
    </w:p>
    <w:p w14:paraId="7A55CB6D" w14:textId="77777777" w:rsidR="00863380" w:rsidRPr="00863380" w:rsidRDefault="00863380" w:rsidP="008633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Seizure management: From post-seizure care to pre-seizure intervention.</w:t>
      </w:r>
    </w:p>
    <w:p w14:paraId="486A0A03" w14:textId="77777777" w:rsidR="00863380" w:rsidRPr="00863380" w:rsidRDefault="00863380" w:rsidP="008633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Fall prevention: From post-fall assistance to pre-fall stabilization.</w:t>
      </w:r>
    </w:p>
    <w:p w14:paraId="270EE0D8" w14:textId="77777777" w:rsidR="00863380" w:rsidRPr="00863380" w:rsidRDefault="00863380" w:rsidP="008633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Sleep health: From treating sleep disorders to preventing sleep deficiency.</w:t>
      </w:r>
    </w:p>
    <w:p w14:paraId="00D48A73" w14:textId="77777777" w:rsidR="00863380" w:rsidRPr="00863380" w:rsidRDefault="00863380" w:rsidP="0086338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Cognitive performance: From recovering from errors to preventing errors.</w:t>
      </w:r>
    </w:p>
    <w:p w14:paraId="74D0184B"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lastRenderedPageBreak/>
        <w:t>This preventive approach aligns with broader trends in healthcare toward proactive, personalized, and precision medicine.</w:t>
      </w:r>
    </w:p>
    <w:p w14:paraId="6E40F021" w14:textId="77777777" w:rsidR="00863380" w:rsidRPr="00863380" w:rsidRDefault="00E82959" w:rsidP="00863380">
      <w:pPr>
        <w:spacing w:after="0" w:line="240" w:lineRule="auto"/>
        <w:rPr>
          <w:rFonts w:ascii="Times New Roman" w:eastAsia="Times New Roman" w:hAnsi="Times New Roman" w:cs="Times New Roman"/>
          <w:kern w:val="0"/>
          <w14:ligatures w14:val="none"/>
        </w:rPr>
      </w:pPr>
      <w:r>
        <w:rPr>
          <w:noProof/>
        </w:rPr>
      </w:r>
      <w:r>
        <w:pict w14:anchorId="4DED38B7">
          <v:rect id="Horizontal Line 6" o:spid="_x0000_s103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" filled="f">
            <o:lock v:ext="edit" rotation="t" aspectratio="t" verticies="t" text="t" shapetype="t"/>
            <w10:anchorlock/>
          </v:rect>
        </w:pict>
      </w:r>
    </w:p>
    <w:p w14:paraId="4C49032B" w14:textId="77777777" w:rsidR="00863380" w:rsidRPr="00863380" w:rsidRDefault="00863380" w:rsidP="00863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3380">
        <w:rPr>
          <w:rFonts w:ascii="Times New Roman" w:eastAsia="Times New Roman" w:hAnsi="Times New Roman" w:cs="Times New Roman"/>
          <w:b/>
          <w:bCs/>
          <w:kern w:val="0"/>
          <w:sz w:val="36"/>
          <w:szCs w:val="36"/>
          <w14:ligatures w14:val="none"/>
        </w:rPr>
        <w:t>5. Applications and Future Directions</w:t>
      </w:r>
    </w:p>
    <w:p w14:paraId="280B7917"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and preventive BCIs have transformative potential across multiple domains. This section explores applications in healthcare, education, and human-AI collaboration, and outlines future research directions.</w:t>
      </w:r>
    </w:p>
    <w:p w14:paraId="5B31337B"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5.1 Healthcare and Clinical Medicine</w:t>
      </w:r>
    </w:p>
    <w:p w14:paraId="0990E482"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5.1.1 Epilepsy Management</w:t>
      </w:r>
    </w:p>
    <w:p w14:paraId="169AF525"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Seizure forecasting is perhaps the most mature application of predictive BCIs. As reviewed in Section 3.4, recent advances in machine learning and wearable sensing have enabled seizure prediction with clinically meaningful lead times and accuracy (Pan et al., 2024), (Saeizadeh et al., 2024), (Nasseri et al., 2021). Future directions include:</w:t>
      </w:r>
    </w:p>
    <w:p w14:paraId="51BB3C78" w14:textId="77777777" w:rsidR="00863380" w:rsidRPr="00863380" w:rsidRDefault="00863380" w:rsidP="008633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Closed-loop neurostimulation: Integrating seizure forecasting with responsive neurostimulation to abort impending seizures before they generalize.</w:t>
      </w:r>
    </w:p>
    <w:p w14:paraId="170BB1FF" w14:textId="77777777" w:rsidR="00863380" w:rsidRPr="00863380" w:rsidRDefault="00863380" w:rsidP="008633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Personalized medication timing: Using seizure forecasts to optimize the timing of anti-epileptic drug administration, maximizing efficacy and minimizing side effects.</w:t>
      </w:r>
    </w:p>
    <w:p w14:paraId="36B8346A" w14:textId="77777777" w:rsidR="00863380" w:rsidRPr="00863380" w:rsidRDefault="00863380" w:rsidP="0086338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Lifestyle optimization: Providing patients with actionable insights about seizure triggers and protective factors based on continuous monitoring.</w:t>
      </w:r>
    </w:p>
    <w:p w14:paraId="53BFA9DD"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5.1.2 Sleep Medicine</w:t>
      </w:r>
    </w:p>
    <w:p w14:paraId="7AE45794"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Pre-sleep EEG prediction of slow-wave sleep deficiency could enable personalized sleep interventions. Future applications include:</w:t>
      </w:r>
    </w:p>
    <w:p w14:paraId="2500AFDE" w14:textId="77777777" w:rsidR="00863380" w:rsidRPr="00863380" w:rsidRDefault="00863380" w:rsidP="0086338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Adaptive sleep hygiene: Real-time recommendations for optimizing sleep environment, timing, and pre-sleep activities based on predicted sleep quality.</w:t>
      </w:r>
    </w:p>
    <w:p w14:paraId="2667AF17" w14:textId="77777777" w:rsidR="00863380" w:rsidRPr="00863380" w:rsidRDefault="00863380" w:rsidP="0086338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Targeted pharmacotherapy: Administering sleep-promoting medications only on nights when SWS deficiency is forecasted, reducing chronic medication use.</w:t>
      </w:r>
    </w:p>
    <w:p w14:paraId="72B4DE38" w14:textId="77777777" w:rsidR="00863380" w:rsidRPr="00863380" w:rsidRDefault="00863380" w:rsidP="0086338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Circadian alignment: Using pre-sleep EEG to assess circadian misalignment and guide interventions such as light therapy or melatonin supplementation.</w:t>
      </w:r>
    </w:p>
    <w:p w14:paraId="1FBDF485"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5.1.3 Migraine Prevention</w:t>
      </w:r>
    </w:p>
    <w:p w14:paraId="555A54A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Resting EEG-based migraine prediction could transform migraine management. Future applications include:</w:t>
      </w:r>
    </w:p>
    <w:p w14:paraId="056D74D1" w14:textId="77777777" w:rsidR="00863380" w:rsidRPr="00863380" w:rsidRDefault="00863380" w:rsidP="008633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Preventive medication timing: Taking triptans or other preventive medications only when a migraine is forecasted, reducing medication overuse and side effects.</w:t>
      </w:r>
    </w:p>
    <w:p w14:paraId="53271E9C" w14:textId="77777777" w:rsidR="00863380" w:rsidRPr="00863380" w:rsidRDefault="00863380" w:rsidP="008633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lastRenderedPageBreak/>
        <w:t>Behavioral interventions: Adjusting stress management, sleep, and dietary practices based on migraine risk forecasts.</w:t>
      </w:r>
    </w:p>
    <w:p w14:paraId="1ECE38B7" w14:textId="77777777" w:rsidR="00863380" w:rsidRPr="00863380" w:rsidRDefault="00863380" w:rsidP="008633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Wearable monitoring: Continuous EEG monitoring via unobtrusive wearables to provide real-time migraine risk assessments.</w:t>
      </w:r>
    </w:p>
    <w:p w14:paraId="6862897D"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5.1.4 Fall Prevention in Older Adults</w:t>
      </w:r>
    </w:p>
    <w:p w14:paraId="2741656A"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Multimodal fall prediction could substantially reduce fall-related injuries and healthcare costs. Future applications include:</w:t>
      </w:r>
    </w:p>
    <w:p w14:paraId="12DC67A8" w14:textId="77777777" w:rsidR="00863380" w:rsidRPr="00863380" w:rsidRDefault="00863380" w:rsidP="008633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Real-time alerts: Wearable devices that detect pre-fall states and issue alerts to users or caregivers.</w:t>
      </w:r>
    </w:p>
    <w:p w14:paraId="2C814AD6" w14:textId="77777777" w:rsidR="00863380" w:rsidRPr="00863380" w:rsidRDefault="00863380" w:rsidP="008633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Environmental adaptation: Smart home systems that adjust lighting, remove obstacles, or provide physical support when fall risk is elevated.</w:t>
      </w:r>
    </w:p>
    <w:p w14:paraId="7720AD0F" w14:textId="77777777" w:rsidR="00863380" w:rsidRPr="00863380" w:rsidRDefault="00863380" w:rsidP="008633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Rehabilitation optimization: Using fall risk assessments to guide personalized balance and strength training programs.</w:t>
      </w:r>
    </w:p>
    <w:p w14:paraId="3B9C16EE"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5.2 Education and Adaptive Learning</w:t>
      </w:r>
    </w:p>
    <w:p w14:paraId="6E287350"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can enhance education by forecasting cognitive load, attention, and learning readiness, enabling adaptive learning systems that optimize instructional timing and difficulty.</w:t>
      </w:r>
    </w:p>
    <w:p w14:paraId="20DCAF83"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5.2.1 Cognitive Load Monitoring</w:t>
      </w:r>
    </w:p>
    <w:p w14:paraId="4D45FA3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Karmakar et al. (2024) developed a deep learning technique for real-time detection of cognitive load using an optimal number of EEG electrodes. Such systems could be extended to forecast cognitive overload before it occurs, enabling adaptive learning systems to adjust task difficulty or provide additional support proactively.</w:t>
      </w:r>
    </w:p>
    <w:p w14:paraId="109C468E"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5.2.2 Attention and Engagement Forecasting</w:t>
      </w:r>
    </w:p>
    <w:p w14:paraId="564B68C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Cinquetti et al. (2024) demonstrated vigilance forecasting 5.5 seconds ahead during repetitive tasks. Similar approaches could be applied in educational settings to predict attentional lapses and adjust instructional pacing or provide re-engagement prompts before students disengage.</w:t>
      </w:r>
    </w:p>
    <w:p w14:paraId="25FEDD01"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5.2.3 Personalized Learning Trajectories</w:t>
      </w:r>
    </w:p>
    <w:p w14:paraId="3D7132E0"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By continuously monitoring cognitive states and forecasting learning readiness, predictive BCIs could enable truly personalized learning trajectories that adapt to each student's cognitive rhythms, strengths, and vulnerabilities.</w:t>
      </w:r>
    </w:p>
    <w:p w14:paraId="3AB9881A"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5.3 Human-AI Collaboration and Safety</w:t>
      </w:r>
    </w:p>
    <w:p w14:paraId="7AA72748"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have significant potential to enhance human-AI collaboration, particularly in safety-critical domains such as aviation, healthcare, and industrial operations.</w:t>
      </w:r>
    </w:p>
    <w:p w14:paraId="799AED30"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lastRenderedPageBreak/>
        <w:t>5.3.1 Vigilance Monitoring in Safety-Critical Tasks</w:t>
      </w:r>
    </w:p>
    <w:p w14:paraId="478A4A3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Cinquetti et al. (2024) demonstrated the feasibility of forecasting human vigilance degradation during repetitive tasks in industrial settings. Such systems could be deployed in aviation (monitoring pilot vigilance), healthcare (monitoring surgeon fatigue), or transportation (monitoring driver drowsiness) to prevent errors and accidents.</w:t>
      </w:r>
    </w:p>
    <w:p w14:paraId="1F4D081A"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5.3.2 Adaptive Automation</w:t>
      </w:r>
    </w:p>
    <w:p w14:paraId="693CA02A"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can enable adaptive automation that adjusts the level of automation based on forecasted human cognitive states. When cognitive load or fatigue is predicted to increase, the system can increase automation to reduce human workload. When cognitive capacity is high, the system can reduce automation to maintain engagement and skill retention.</w:t>
      </w:r>
    </w:p>
    <w:p w14:paraId="55D9597A"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5.3.3 Human-Robot Interaction</w:t>
      </w:r>
    </w:p>
    <w:p w14:paraId="0E4A7E95"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Vieira et al. (2024) demonstrated EEG-based action anticipation in human-robot interaction, enabling robots to predict human actions several hundred milliseconds before execution. This capability enhances safety and efficiency in collaborative tasks, as robots can proactively adjust their behavior to avoid collisions or optimize coordination.</w:t>
      </w:r>
    </w:p>
    <w:p w14:paraId="5AE6C4C3"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5.3.4 Error Prevention</w:t>
      </w:r>
    </w:p>
    <w:p w14:paraId="6217543D"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By forecasting cognitive states associated with increased error risk (e.g., high cognitive load, low vigilance, mental fatigue), predictive BCIs can trigger interventions such as task pauses, difficulty adjustments, or alerts to supervisors, preventing errors before they occur.</w:t>
      </w:r>
    </w:p>
    <w:p w14:paraId="34079B7A" w14:textId="77777777" w:rsidR="00863380" w:rsidRPr="00863380" w:rsidRDefault="00E82959" w:rsidP="00863380">
      <w:pPr>
        <w:spacing w:after="0" w:line="240" w:lineRule="auto"/>
        <w:rPr>
          <w:rFonts w:ascii="Times New Roman" w:eastAsia="Times New Roman" w:hAnsi="Times New Roman" w:cs="Times New Roman"/>
          <w:kern w:val="0"/>
          <w14:ligatures w14:val="none"/>
        </w:rPr>
      </w:pPr>
      <w:r>
        <w:rPr>
          <w:noProof/>
        </w:rPr>
      </w:r>
      <w:r>
        <w:pict w14:anchorId="011FC4A8">
          <v:rect id="Horizontal Line 7" o:spid="_x0000_s102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" filled="f">
            <o:lock v:ext="edit" rotation="t" aspectratio="t" verticies="t" text="t" shapetype="t"/>
            <w10:anchorlock/>
          </v:rect>
        </w:pict>
      </w:r>
    </w:p>
    <w:p w14:paraId="22E45FB4" w14:textId="77777777" w:rsidR="00863380" w:rsidRPr="00863380" w:rsidRDefault="00863380" w:rsidP="00863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3380">
        <w:rPr>
          <w:rFonts w:ascii="Times New Roman" w:eastAsia="Times New Roman" w:hAnsi="Times New Roman" w:cs="Times New Roman"/>
          <w:b/>
          <w:bCs/>
          <w:kern w:val="0"/>
          <w:sz w:val="36"/>
          <w:szCs w:val="36"/>
          <w14:ligatures w14:val="none"/>
        </w:rPr>
        <w:t>6. Discussion: Challenges and Opportunities</w:t>
      </w:r>
    </w:p>
    <w:p w14:paraId="2E3841B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While the potential of predictive and preventive BCIs is substantial, several challenges must be addressed to realize this vision.</w:t>
      </w:r>
    </w:p>
    <w:p w14:paraId="3F3D4A8B"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6.1 Technical Challenges</w:t>
      </w:r>
    </w:p>
    <w:p w14:paraId="2D617A28"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6.1.1 Signal Quality and Noise</w:t>
      </w:r>
    </w:p>
    <w:p w14:paraId="0F982B3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EEG signals are inherently noisy, with low spatial resolution and susceptibility to artifacts from muscle activity, eye movements, and environmental interference. Predictive models must be robust to these noise sources, particularly in real-world, ambulatory settings. Advances in signal processing, artifact rejection, and noise-robust machine learning are critical (Rashid et al., 2020).</w:t>
      </w:r>
    </w:p>
    <w:p w14:paraId="5BBDEEC2"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6.1.2 Prediction Accuracy and False Alarms</w:t>
      </w:r>
    </w:p>
    <w:p w14:paraId="207D814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lastRenderedPageBreak/>
        <w:t>Predictive BCIs must achieve high sensitivity (detecting true events) while minimizing false alarms. False alarms undermine user trust and can lead to alarm fatigue, where users ignore warnings. Pankka et al. (2025) demonstrated that probabilistic deep learning can enhance EEG forecasting by quantifying prediction uncertainty and discarding uncertain predictions, offering a promising approach to managing the accuracy-false alarm trade-off.</w:t>
      </w:r>
    </w:p>
    <w:p w14:paraId="09D4B9B1"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6.1.3 Generalization Across Individuals and Contexts</w:t>
      </w:r>
    </w:p>
    <w:p w14:paraId="40E4605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Anticipatory neural dynamics are often patient-specific or context-specific, limiting the generalization of predictive models. Aldahr et al. (2023) addressed this challenge using federated learning to develop patient-specific seizure prediction models while preserving privacy. Future work should explore transfer learning, domain adaptation, and personalized model calibration to improve generalization.</w:t>
      </w:r>
    </w:p>
    <w:p w14:paraId="144FD2ED"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6.1.4 Real-Time Processing and Latency</w:t>
      </w:r>
    </w:p>
    <w:p w14:paraId="555B9D39"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require real-time signal processing and prediction to enable timely interventions. This is particularly challenging for deep learning models, which can be computationally intensive. Saini et al. (2022) demonstrated on-device implementation of a lightweight 1-D convolutional neural network on an Arduino Due for cognitive activity prediction, achieving high accuracy with low power consumption. Such approaches are essential for wearable, real-time predictive BCIs.</w:t>
      </w:r>
    </w:p>
    <w:p w14:paraId="36AB665B"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6.2 Ethical and Social Challenges</w:t>
      </w:r>
    </w:p>
    <w:p w14:paraId="688271F2"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6.2.1 Privacy and Data Security</w:t>
      </w:r>
    </w:p>
    <w:p w14:paraId="6F5A364A"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continuously monitor neural and physiological signals, raising concerns about privacy and data security. Brain data is highly sensitive, potentially revealing cognitive states, emotions, and intentions. Robust data encryption, secure storage, and transparent data governance policies are essential (Portillo-Lara et al., 2021).</w:t>
      </w:r>
    </w:p>
    <w:p w14:paraId="72E1ABDE"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6.2.2 Autonomy and Agency</w:t>
      </w:r>
    </w:p>
    <w:p w14:paraId="568B4E92"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that proactively intervene based on forecasted states raise questions about user autonomy and agency. Users must retain control over when and how interventions are applied, and systems must be transparent about their predictions and reasoning. Designing user-centered interfaces that balance proactive support with user autonomy is a critical challenge.</w:t>
      </w:r>
    </w:p>
    <w:p w14:paraId="395218AC"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6.2.3 Equity and Access</w:t>
      </w:r>
    </w:p>
    <w:p w14:paraId="1D894BF6"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Advanced predictive BCIs may be expensive and accessible only to privileged populations, exacerbating health disparities. Ensuring equitable access to these technologies requires attention to cost, usability, and deployment in diverse settings and populations.</w:t>
      </w:r>
    </w:p>
    <w:p w14:paraId="3733EF2A"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6.2.4 Informed Consent and Transparency</w:t>
      </w:r>
    </w:p>
    <w:p w14:paraId="5E6AED15"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lastRenderedPageBreak/>
        <w:t>Users must be fully informed about how predictive BCIs work, what data they collect, and how predictions are made. Transparent communication about prediction accuracy, uncertainty, and limitations is essential for informed consent and trust.</w:t>
      </w:r>
    </w:p>
    <w:p w14:paraId="47161BC4"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6.3 Clinical and Regulatory Challenges</w:t>
      </w:r>
    </w:p>
    <w:p w14:paraId="3633FF94"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6.3.1 Clinical Validation</w:t>
      </w:r>
    </w:p>
    <w:p w14:paraId="03E08E49"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must undergo rigorous clinical validation to demonstrate safety, efficacy, and clinical utility. This requires large-scale, longitudinal studies with diverse patient populations and real-world deployment contexts. Regulatory pathways for predictive medical devices are still evolving, and collaboration between researchers, clinicians, and regulators is essential.</w:t>
      </w:r>
    </w:p>
    <w:p w14:paraId="58BF3EDD"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6.3.2 Integration into Clinical Workflows</w:t>
      </w:r>
    </w:p>
    <w:p w14:paraId="3BDB94E7"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BCIs must be seamlessly integrated into existing clinical workflows to be adopted by healthcare providers. This requires attention to usability, interoperability with electronic health records, and training for clinicians and patients.</w:t>
      </w:r>
    </w:p>
    <w:p w14:paraId="71EC3BFB" w14:textId="77777777" w:rsidR="00863380" w:rsidRPr="00863380" w:rsidRDefault="00863380" w:rsidP="008633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3380">
        <w:rPr>
          <w:rFonts w:ascii="Times New Roman" w:eastAsia="Times New Roman" w:hAnsi="Times New Roman" w:cs="Times New Roman"/>
          <w:b/>
          <w:bCs/>
          <w:kern w:val="0"/>
          <w14:ligatures w14:val="none"/>
        </w:rPr>
        <w:t>6.3.3 Reimbursement and Health Economics</w:t>
      </w:r>
    </w:p>
    <w:p w14:paraId="0EC5F2C4"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For predictive BCIs to be widely adopted, they must demonstrate cost-effectiveness and be reimbursed by healthcare payers. Health economic analyses are needed to quantify the value of prevention (e.g., reduced hospitalizations, improved quality of life) relative to the cost of predictive monitoring and intervention.</w:t>
      </w:r>
    </w:p>
    <w:p w14:paraId="5AFEEFF1" w14:textId="77777777" w:rsidR="00863380" w:rsidRPr="00863380" w:rsidRDefault="00863380" w:rsidP="008633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3380">
        <w:rPr>
          <w:rFonts w:ascii="Times New Roman" w:eastAsia="Times New Roman" w:hAnsi="Times New Roman" w:cs="Times New Roman"/>
          <w:b/>
          <w:bCs/>
          <w:kern w:val="0"/>
          <w:sz w:val="27"/>
          <w:szCs w:val="27"/>
          <w14:ligatures w14:val="none"/>
        </w:rPr>
        <w:t>6.4 Opportunities for Interdisciplinary Collaboration</w:t>
      </w:r>
    </w:p>
    <w:p w14:paraId="0147C6DF"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Realizing the potential of predictive and preventive BCIs requires interdisciplinary collaboration across neuroscience, engineering, computer science, clinical medicine, ethics, and social sciences. Key opportunities include:</w:t>
      </w:r>
    </w:p>
    <w:p w14:paraId="39A51614" w14:textId="77777777" w:rsidR="00863380" w:rsidRPr="00863380" w:rsidRDefault="00863380" w:rsidP="008633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Neuroscience and machine learning: Developing biologically informed machine learning models that leverage knowledge of neural dynamics and anticipatory mechanisms.</w:t>
      </w:r>
    </w:p>
    <w:p w14:paraId="0D4CD888" w14:textId="77777777" w:rsidR="00863380" w:rsidRPr="00863380" w:rsidRDefault="00863380" w:rsidP="008633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Wearable sensing and materials science: Developing comfortable, unobtrusive, and long-lasting wearable sensors for continuous monitoring.</w:t>
      </w:r>
    </w:p>
    <w:p w14:paraId="581BA17C" w14:textId="77777777" w:rsidR="00863380" w:rsidRPr="00863380" w:rsidRDefault="00863380" w:rsidP="008633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Human-computer interaction and design: Designing user-centered interfaces that balance proactive support with user autonomy and transparency.</w:t>
      </w:r>
    </w:p>
    <w:p w14:paraId="370F0836" w14:textId="77777777" w:rsidR="00863380" w:rsidRPr="00863380" w:rsidRDefault="00863380" w:rsidP="008633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Ethics and policy: Developing ethical frameworks and policy guidelines for the responsible development and deployment of predictive BCIs.</w:t>
      </w:r>
    </w:p>
    <w:p w14:paraId="56BAC440" w14:textId="77777777" w:rsidR="00863380" w:rsidRPr="00863380" w:rsidRDefault="00E82959" w:rsidP="00863380">
      <w:pPr>
        <w:spacing w:after="0" w:line="240" w:lineRule="auto"/>
        <w:rPr>
          <w:rFonts w:ascii="Times New Roman" w:eastAsia="Times New Roman" w:hAnsi="Times New Roman" w:cs="Times New Roman"/>
          <w:kern w:val="0"/>
          <w14:ligatures w14:val="none"/>
        </w:rPr>
      </w:pPr>
      <w:r>
        <w:rPr>
          <w:noProof/>
        </w:rPr>
      </w:r>
      <w:r>
        <w:pict w14:anchorId="2B8FE194">
          <v:rect id="Horizontal Line 8"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" filled="f">
            <o:lock v:ext="edit" rotation="t" aspectratio="t" verticies="t" text="t" shapetype="t"/>
            <w10:anchorlock/>
          </v:rect>
        </w:pict>
      </w:r>
    </w:p>
    <w:p w14:paraId="5607B3C6" w14:textId="77777777" w:rsidR="00863380" w:rsidRPr="00863380" w:rsidRDefault="00863380" w:rsidP="00863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3380">
        <w:rPr>
          <w:rFonts w:ascii="Times New Roman" w:eastAsia="Times New Roman" w:hAnsi="Times New Roman" w:cs="Times New Roman"/>
          <w:b/>
          <w:bCs/>
          <w:kern w:val="0"/>
          <w:sz w:val="36"/>
          <w:szCs w:val="36"/>
          <w14:ligatures w14:val="none"/>
        </w:rPr>
        <w:t>7. Conclusion</w:t>
      </w:r>
    </w:p>
    <w:p w14:paraId="00889BAF"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lastRenderedPageBreak/>
        <w:t>This positional paper has argued for a paradigm shift in brain-computer interface research and development: from reactive detection to proactive anticipation, and from symptom management to preventive intervention. We have synthesized evidence across five domains—pre-stimulus EEG and SSVEP prediction, pre-sleep EEG and slow-wave sleep deficiency, resting EEG and migraine prediction, pre-ictal seizure forecasting, and multimodal fall prediction—demonstrating that the brain and body emit early warning signals that can be decoded to forecast future cognitive states, performance fluctuations, and adverse health events.</w:t>
      </w:r>
    </w:p>
    <w:p w14:paraId="13C9398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Predictive and preventive BCIs represent a new frontier in neurotechnology, with transformative potential for healthcare, education, and human-AI collaboration. In clinical medicine, they enable the shift from reactive symptom management to proactive risk mitigation, improving patient safety, independence, and quality of life. In education, they enable adaptive learning systems that optimize instructional timing and difficulty based on forecasted cognitive states. In human-AI collaboration, they enhance safety and efficiency by enabling systems to anticipate human needs and vulnerabilities.</w:t>
      </w:r>
    </w:p>
    <w:p w14:paraId="29AFD4CB"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Realizing this vision requires addressing substantial technical, ethical, and clinical challenges. Signal quality, prediction accuracy, generalization, real-time processing, privacy, autonomy, equity, clinical validation, and integration into workflows are all critical considerations. However, the opportunities are equally substantial. Advances in machine learning, wearable sensing, and interdisciplinary collaboration are rapidly making predictive BCIs feasible and practical.</w:t>
      </w:r>
    </w:p>
    <w:p w14:paraId="5983474C"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We conclude with a call to action: the BCI research community should prioritize the development of predictive and preventive BCIs as a core research agenda. This requires investment in foundational neuroscience to understand anticipatory neural dynamics, development of robust and generalizable predictive models, rigorous clinical validation, and thoughtful attention to ethical and social implications. By embracing this paradigm shift, we can transform BCIs from reactive tools into anticipatory companions—systems that not only respond to our brains, but foresee our needs and empower us to thrive.</w:t>
      </w:r>
    </w:p>
    <w:p w14:paraId="1C53251C"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The future of BCIs is not just reactive—it is anticipatory, proactive, and preventive. The time to build that future is now.</w:t>
      </w:r>
    </w:p>
    <w:p w14:paraId="3CC37405" w14:textId="77777777" w:rsidR="00863380" w:rsidRPr="00863380" w:rsidRDefault="00E82959" w:rsidP="00863380">
      <w:pPr>
        <w:spacing w:after="0" w:line="240" w:lineRule="auto"/>
        <w:rPr>
          <w:rFonts w:ascii="Times New Roman" w:eastAsia="Times New Roman" w:hAnsi="Times New Roman" w:cs="Times New Roman"/>
          <w:kern w:val="0"/>
          <w14:ligatures w14:val="none"/>
        </w:rPr>
      </w:pPr>
      <w:r>
        <w:rPr>
          <w:noProof/>
        </w:rPr>
      </w:r>
      <w:r>
        <w:pict w14:anchorId="40071FEC">
          <v:rect id="Horizontal Line 9" o:spid="_x0000_s102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" filled="f">
            <o:lock v:ext="edit" rotation="t" aspectratio="t" verticies="t" text="t" shapetype="t"/>
            <w10:anchorlock/>
          </v:rect>
        </w:pict>
      </w:r>
    </w:p>
    <w:p w14:paraId="3146BD48" w14:textId="77777777" w:rsidR="00863380" w:rsidRPr="00863380" w:rsidRDefault="00863380" w:rsidP="00863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3380">
        <w:rPr>
          <w:rFonts w:ascii="Times New Roman" w:eastAsia="Times New Roman" w:hAnsi="Times New Roman" w:cs="Times New Roman"/>
          <w:b/>
          <w:bCs/>
          <w:kern w:val="0"/>
          <w:sz w:val="36"/>
          <w:szCs w:val="36"/>
          <w14:ligatures w14:val="none"/>
        </w:rPr>
        <w:t>References</w:t>
      </w:r>
    </w:p>
    <w:p w14:paraId="01D8485B"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Aldahr, M. H., Alturki, N. M., Syed, L., Alshehri, A. H., Rajab, K., Altaf, M., &amp; Alomainy, A. (2023). Patient-specific preictal pattern-aware epileptic seizure prediction with federated learning. </w:t>
      </w:r>
      <w:r w:rsidRPr="00863380">
        <w:rPr>
          <w:rFonts w:ascii="Times New Roman" w:eastAsia="Times New Roman" w:hAnsi="Times New Roman" w:cs="Times New Roman"/>
          <w:i/>
          <w:iCs/>
          <w:kern w:val="0"/>
          <w14:ligatures w14:val="none"/>
        </w:rPr>
        <w:t>Sensors</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23</w:t>
      </w:r>
      <w:r w:rsidRPr="00863380">
        <w:rPr>
          <w:rFonts w:ascii="Times New Roman" w:eastAsia="Times New Roman" w:hAnsi="Times New Roman" w:cs="Times New Roman"/>
          <w:kern w:val="0"/>
          <w14:ligatures w14:val="none"/>
        </w:rPr>
        <w:t xml:space="preserve">(14), 6578. </w:t>
      </w:r>
      <w:hyperlink r:id="rId5" w:tgtFrame="_blank" w:history="1">
        <w:r w:rsidRPr="00863380">
          <w:rPr>
            <w:rFonts w:ascii="Times New Roman" w:eastAsia="Times New Roman" w:hAnsi="Times New Roman" w:cs="Times New Roman"/>
            <w:color w:val="0000FF"/>
            <w:kern w:val="0"/>
            <w:u w:val="single"/>
            <w14:ligatures w14:val="none"/>
          </w:rPr>
          <w:t>https://doi.org/10.3390/s23146578</w:t>
        </w:r>
      </w:hyperlink>
    </w:p>
    <w:p w14:paraId="615C6C5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Cinquetti, F., Borghini, G., Aricò, P., Di Flumeri, G., Sciaraffa, N., Ronca, V., Giorgi, A., Vozzi, A., Tamborra, L., Simonetti, I., Sportiello, S., Petrelli, M., Imbert, J. P., Babiloni, F., &amp; Di Florio, A. (2024). Passive BCI towards health and safety in industry: Forecasting human </w:t>
      </w:r>
      <w:r w:rsidRPr="00863380">
        <w:rPr>
          <w:rFonts w:ascii="Times New Roman" w:eastAsia="Times New Roman" w:hAnsi="Times New Roman" w:cs="Times New Roman"/>
          <w:kern w:val="0"/>
          <w14:ligatures w14:val="none"/>
        </w:rPr>
        <w:lastRenderedPageBreak/>
        <w:t xml:space="preserve">vigilance 5.5 s ahead. </w:t>
      </w:r>
      <w:r w:rsidRPr="00863380">
        <w:rPr>
          <w:rFonts w:ascii="Times New Roman" w:eastAsia="Times New Roman" w:hAnsi="Times New Roman" w:cs="Times New Roman"/>
          <w:i/>
          <w:iCs/>
          <w:kern w:val="0"/>
          <w14:ligatures w14:val="none"/>
        </w:rPr>
        <w:t>Annual International Conference of the IEEE Engineering in Medicine and Biology Society</w:t>
      </w:r>
      <w:r w:rsidRPr="00863380">
        <w:rPr>
          <w:rFonts w:ascii="Times New Roman" w:eastAsia="Times New Roman" w:hAnsi="Times New Roman" w:cs="Times New Roman"/>
          <w:kern w:val="0"/>
          <w14:ligatures w14:val="none"/>
        </w:rPr>
        <w:t xml:space="preserve">, 2024, 1-4. </w:t>
      </w:r>
      <w:hyperlink r:id="rId6" w:tgtFrame="_blank" w:history="1">
        <w:r w:rsidRPr="00863380">
          <w:rPr>
            <w:rFonts w:ascii="Times New Roman" w:eastAsia="Times New Roman" w:hAnsi="Times New Roman" w:cs="Times New Roman"/>
            <w:color w:val="0000FF"/>
            <w:kern w:val="0"/>
            <w:u w:val="single"/>
            <w14:ligatures w14:val="none"/>
          </w:rPr>
          <w:t>https://doi.org/10.1109/EMBC53108.2024.10782689</w:t>
        </w:r>
      </w:hyperlink>
    </w:p>
    <w:p w14:paraId="31B49EDF"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Friston, K. (2010). The free-energy principle: A unified brain theory? </w:t>
      </w:r>
      <w:r w:rsidRPr="00863380">
        <w:rPr>
          <w:rFonts w:ascii="Times New Roman" w:eastAsia="Times New Roman" w:hAnsi="Times New Roman" w:cs="Times New Roman"/>
          <w:i/>
          <w:iCs/>
          <w:kern w:val="0"/>
          <w14:ligatures w14:val="none"/>
        </w:rPr>
        <w:t>Nature Reviews Neuroscience</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11</w:t>
      </w:r>
      <w:r w:rsidRPr="00863380">
        <w:rPr>
          <w:rFonts w:ascii="Times New Roman" w:eastAsia="Times New Roman" w:hAnsi="Times New Roman" w:cs="Times New Roman"/>
          <w:kern w:val="0"/>
          <w14:ligatures w14:val="none"/>
        </w:rPr>
        <w:t>(2), 127-138.</w:t>
      </w:r>
    </w:p>
    <w:p w14:paraId="793F9F02"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Gu, X., Cao, Z., Jolfaei, A., Xu, P., Wu, D., Jung, T. P., &amp; Lin, C. T. (2021). EEG-based brain-computer interfaces (BCIs): A survey of recent studies on signal sensing technologies and computational intelligence approaches and their applications. </w:t>
      </w:r>
      <w:r w:rsidRPr="00863380">
        <w:rPr>
          <w:rFonts w:ascii="Times New Roman" w:eastAsia="Times New Roman" w:hAnsi="Times New Roman" w:cs="Times New Roman"/>
          <w:i/>
          <w:iCs/>
          <w:kern w:val="0"/>
          <w14:ligatures w14:val="none"/>
        </w:rPr>
        <w:t>IEEE/ACM Transactions on Computational Biology and Bioinformatics</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18</w:t>
      </w:r>
      <w:r w:rsidRPr="00863380">
        <w:rPr>
          <w:rFonts w:ascii="Times New Roman" w:eastAsia="Times New Roman" w:hAnsi="Times New Roman" w:cs="Times New Roman"/>
          <w:kern w:val="0"/>
          <w14:ligatures w14:val="none"/>
        </w:rPr>
        <w:t xml:space="preserve">(5), 1645-1666. </w:t>
      </w:r>
      <w:hyperlink r:id="rId7" w:tgtFrame="_blank" w:history="1">
        <w:r w:rsidRPr="00863380">
          <w:rPr>
            <w:rFonts w:ascii="Times New Roman" w:eastAsia="Times New Roman" w:hAnsi="Times New Roman" w:cs="Times New Roman"/>
            <w:color w:val="0000FF"/>
            <w:kern w:val="0"/>
            <w:u w:val="single"/>
            <w14:ligatures w14:val="none"/>
          </w:rPr>
          <w:t>https://doi.org/10.1109/TCBB.2021.3052811</w:t>
        </w:r>
      </w:hyperlink>
    </w:p>
    <w:p w14:paraId="18C4134E"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Karmakar, S., Kamilya, S., Dey, P., Maity, S. P., &amp; Halder, S. (2024). A deep learning technique for real time detection of cognitive load using optimal number of EEG electrodes. </w:t>
      </w:r>
      <w:r w:rsidRPr="00863380">
        <w:rPr>
          <w:rFonts w:ascii="Times New Roman" w:eastAsia="Times New Roman" w:hAnsi="Times New Roman" w:cs="Times New Roman"/>
          <w:i/>
          <w:iCs/>
          <w:kern w:val="0"/>
          <w14:ligatures w14:val="none"/>
        </w:rPr>
        <w:t>IEEE Transactions on Instrumentation and Measurement</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73</w:t>
      </w:r>
      <w:r w:rsidRPr="00863380">
        <w:rPr>
          <w:rFonts w:ascii="Times New Roman" w:eastAsia="Times New Roman" w:hAnsi="Times New Roman" w:cs="Times New Roman"/>
          <w:kern w:val="0"/>
          <w14:ligatures w14:val="none"/>
        </w:rPr>
        <w:t xml:space="preserve">, 1-12. </w:t>
      </w:r>
      <w:hyperlink r:id="rId8" w:tgtFrame="_blank" w:history="1">
        <w:r w:rsidRPr="00863380">
          <w:rPr>
            <w:rFonts w:ascii="Times New Roman" w:eastAsia="Times New Roman" w:hAnsi="Times New Roman" w:cs="Times New Roman"/>
            <w:color w:val="0000FF"/>
            <w:kern w:val="0"/>
            <w:u w:val="single"/>
            <w14:ligatures w14:val="none"/>
          </w:rPr>
          <w:t>https://doi.org/10.1109/tim.2024.3509604</w:t>
        </w:r>
      </w:hyperlink>
    </w:p>
    <w:p w14:paraId="35254950"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Nasseri, M., Nurse, E., Glasstetter, M., Böttcher, S., Gregg, N. M., Laks Nandakumar, A., Schulze-Bonhage, A., Freestone, D., Karoly, P., Brinkmann, B., Richardson, M., Cook, M., &amp; Worrell, G. (2021). Ambulatory seizure forecasting with a wrist-worn device using long-short term memory deep learning. </w:t>
      </w:r>
      <w:r w:rsidRPr="00863380">
        <w:rPr>
          <w:rFonts w:ascii="Times New Roman" w:eastAsia="Times New Roman" w:hAnsi="Times New Roman" w:cs="Times New Roman"/>
          <w:i/>
          <w:iCs/>
          <w:kern w:val="0"/>
          <w14:ligatures w14:val="none"/>
        </w:rPr>
        <w:t>Scientific Reports</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11</w:t>
      </w:r>
      <w:r w:rsidRPr="00863380">
        <w:rPr>
          <w:rFonts w:ascii="Times New Roman" w:eastAsia="Times New Roman" w:hAnsi="Times New Roman" w:cs="Times New Roman"/>
          <w:kern w:val="0"/>
          <w14:ligatures w14:val="none"/>
        </w:rPr>
        <w:t xml:space="preserve">(1), 21935. </w:t>
      </w:r>
      <w:hyperlink r:id="rId9" w:tgtFrame="_blank" w:history="1">
        <w:r w:rsidRPr="00863380">
          <w:rPr>
            <w:rFonts w:ascii="Times New Roman" w:eastAsia="Times New Roman" w:hAnsi="Times New Roman" w:cs="Times New Roman"/>
            <w:color w:val="0000FF"/>
            <w:kern w:val="0"/>
            <w:u w:val="single"/>
            <w14:ligatures w14:val="none"/>
          </w:rPr>
          <w:t>https://doi.org/10.1038/S41598-021-01449-2</w:t>
        </w:r>
      </w:hyperlink>
    </w:p>
    <w:p w14:paraId="727A61D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Pan, Y., Jiang, Y., Cui, D., &amp; Chen, W. (2024). SeizureGuard: An adaptive fusion converter model for seizure prediction. In </w:t>
      </w:r>
      <w:r w:rsidRPr="00863380">
        <w:rPr>
          <w:rFonts w:ascii="Times New Roman" w:eastAsia="Times New Roman" w:hAnsi="Times New Roman" w:cs="Times New Roman"/>
          <w:i/>
          <w:iCs/>
          <w:kern w:val="0"/>
          <w14:ligatures w14:val="none"/>
        </w:rPr>
        <w:t>2024 IEEE International Conference on Bioinformatics and Biomedicine (BIBM)</w:t>
      </w:r>
      <w:r w:rsidRPr="00863380">
        <w:rPr>
          <w:rFonts w:ascii="Times New Roman" w:eastAsia="Times New Roman" w:hAnsi="Times New Roman" w:cs="Times New Roman"/>
          <w:kern w:val="0"/>
          <w14:ligatures w14:val="none"/>
        </w:rPr>
        <w:t xml:space="preserve"> (pp. 1-6). </w:t>
      </w:r>
      <w:hyperlink r:id="rId10" w:tgtFrame="_blank" w:history="1">
        <w:r w:rsidRPr="00863380">
          <w:rPr>
            <w:rFonts w:ascii="Times New Roman" w:eastAsia="Times New Roman" w:hAnsi="Times New Roman" w:cs="Times New Roman"/>
            <w:color w:val="0000FF"/>
            <w:kern w:val="0"/>
            <w:u w:val="single"/>
            <w14:ligatures w14:val="none"/>
          </w:rPr>
          <w:t>https://doi.org/10.1109/bibm62325.2024.10822245</w:t>
        </w:r>
      </w:hyperlink>
    </w:p>
    <w:p w14:paraId="5C07945F"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Pankka, J., Hyttinen, J., &amp; Toiviainen, P. (2025). Enhanced EEG forecasting: A probabilistic deep learning approach. </w:t>
      </w:r>
      <w:r w:rsidRPr="00863380">
        <w:rPr>
          <w:rFonts w:ascii="Times New Roman" w:eastAsia="Times New Roman" w:hAnsi="Times New Roman" w:cs="Times New Roman"/>
          <w:i/>
          <w:iCs/>
          <w:kern w:val="0"/>
          <w14:ligatures w14:val="none"/>
        </w:rPr>
        <w:t>Neural Computation</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37</w:t>
      </w:r>
      <w:r w:rsidRPr="00863380">
        <w:rPr>
          <w:rFonts w:ascii="Times New Roman" w:eastAsia="Times New Roman" w:hAnsi="Times New Roman" w:cs="Times New Roman"/>
          <w:kern w:val="0"/>
          <w14:ligatures w14:val="none"/>
        </w:rPr>
        <w:t xml:space="preserve">(1), 143-175. </w:t>
      </w:r>
      <w:hyperlink r:id="rId11" w:tgtFrame="_blank" w:history="1">
        <w:r w:rsidRPr="00863380">
          <w:rPr>
            <w:rFonts w:ascii="Times New Roman" w:eastAsia="Times New Roman" w:hAnsi="Times New Roman" w:cs="Times New Roman"/>
            <w:color w:val="0000FF"/>
            <w:kern w:val="0"/>
            <w:u w:val="single"/>
            <w14:ligatures w14:val="none"/>
          </w:rPr>
          <w:t>https://doi.org/10.1162/neco_a_01743</w:t>
        </w:r>
      </w:hyperlink>
    </w:p>
    <w:p w14:paraId="29D3EDAF"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Portillo-Lara, R., Tahirbegi, B., Chapman, C. A. R., Goding, J. C., &amp; Green, R. A. (2021). Mind the gap: State-of-the-art technologies and applications for EEG-based brain-computer interfaces. </w:t>
      </w:r>
      <w:r w:rsidRPr="00863380">
        <w:rPr>
          <w:rFonts w:ascii="Times New Roman" w:eastAsia="Times New Roman" w:hAnsi="Times New Roman" w:cs="Times New Roman"/>
          <w:i/>
          <w:iCs/>
          <w:kern w:val="0"/>
          <w14:ligatures w14:val="none"/>
        </w:rPr>
        <w:t>APL Bioengineering</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5</w:t>
      </w:r>
      <w:r w:rsidRPr="00863380">
        <w:rPr>
          <w:rFonts w:ascii="Times New Roman" w:eastAsia="Times New Roman" w:hAnsi="Times New Roman" w:cs="Times New Roman"/>
          <w:kern w:val="0"/>
          <w14:ligatures w14:val="none"/>
        </w:rPr>
        <w:t xml:space="preserve">(3), 031507. </w:t>
      </w:r>
      <w:hyperlink r:id="rId12" w:tgtFrame="_blank" w:history="1">
        <w:r w:rsidRPr="00863380">
          <w:rPr>
            <w:rFonts w:ascii="Times New Roman" w:eastAsia="Times New Roman" w:hAnsi="Times New Roman" w:cs="Times New Roman"/>
            <w:color w:val="0000FF"/>
            <w:kern w:val="0"/>
            <w:u w:val="single"/>
            <w14:ligatures w14:val="none"/>
          </w:rPr>
          <w:t>https://doi.org/10.1063/5.0047237</w:t>
        </w:r>
      </w:hyperlink>
    </w:p>
    <w:p w14:paraId="42521F00"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Rashid, M., Sulaiman, N., Abdul Majeed, A. P. P., Musa, R. M., Ab. Nasir, A. F., Bari, B. S., &amp; Khatun, S. (2020). Current status, challenges, and possible solutions of EEG-based brain-computer interface: A comprehensive review. </w:t>
      </w:r>
      <w:r w:rsidRPr="00863380">
        <w:rPr>
          <w:rFonts w:ascii="Times New Roman" w:eastAsia="Times New Roman" w:hAnsi="Times New Roman" w:cs="Times New Roman"/>
          <w:i/>
          <w:iCs/>
          <w:kern w:val="0"/>
          <w14:ligatures w14:val="none"/>
        </w:rPr>
        <w:t>Frontiers in Neurorobotics</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14</w:t>
      </w:r>
      <w:r w:rsidRPr="00863380">
        <w:rPr>
          <w:rFonts w:ascii="Times New Roman" w:eastAsia="Times New Roman" w:hAnsi="Times New Roman" w:cs="Times New Roman"/>
          <w:kern w:val="0"/>
          <w14:ligatures w14:val="none"/>
        </w:rPr>
        <w:t xml:space="preserve">, 25. </w:t>
      </w:r>
      <w:hyperlink r:id="rId13" w:tgtFrame="_blank" w:history="1">
        <w:r w:rsidRPr="00863380">
          <w:rPr>
            <w:rFonts w:ascii="Times New Roman" w:eastAsia="Times New Roman" w:hAnsi="Times New Roman" w:cs="Times New Roman"/>
            <w:color w:val="0000FF"/>
            <w:kern w:val="0"/>
            <w:u w:val="single"/>
            <w14:ligatures w14:val="none"/>
          </w:rPr>
          <w:t>https://doi.org/10.3389/FNBOT.2020.00025</w:t>
        </w:r>
      </w:hyperlink>
    </w:p>
    <w:p w14:paraId="637C2754"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Saeizadeh, M., Kalantari, A., Chakrabarty, K., &amp; Tahoori, M. B. (2024). A multi-modal non-invasive deep learning framework for progressive prediction of seizures. In </w:t>
      </w:r>
      <w:r w:rsidRPr="00863380">
        <w:rPr>
          <w:rFonts w:ascii="Times New Roman" w:eastAsia="Times New Roman" w:hAnsi="Times New Roman" w:cs="Times New Roman"/>
          <w:i/>
          <w:iCs/>
          <w:kern w:val="0"/>
          <w14:ligatures w14:val="none"/>
        </w:rPr>
        <w:t>2024 IEEE 20th International Conference on Body Sensor Networks (BSN)</w:t>
      </w:r>
      <w:r w:rsidRPr="00863380">
        <w:rPr>
          <w:rFonts w:ascii="Times New Roman" w:eastAsia="Times New Roman" w:hAnsi="Times New Roman" w:cs="Times New Roman"/>
          <w:kern w:val="0"/>
          <w14:ligatures w14:val="none"/>
        </w:rPr>
        <w:t xml:space="preserve"> (pp. 1-4). </w:t>
      </w:r>
      <w:hyperlink r:id="rId14" w:tgtFrame="_blank" w:history="1">
        <w:r w:rsidRPr="00863380">
          <w:rPr>
            <w:rFonts w:ascii="Times New Roman" w:eastAsia="Times New Roman" w:hAnsi="Times New Roman" w:cs="Times New Roman"/>
            <w:color w:val="0000FF"/>
            <w:kern w:val="0"/>
            <w:u w:val="single"/>
            <w14:ligatures w14:val="none"/>
          </w:rPr>
          <w:t>https://doi.org/10.1109/bsn63547.2024.10780713</w:t>
        </w:r>
      </w:hyperlink>
    </w:p>
    <w:p w14:paraId="2CFDA3AC"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lastRenderedPageBreak/>
        <w:t xml:space="preserve">Saini, R., Bindal, P., &amp; Bansal, P. (2022). On-device implementation for deep-learning-based cognitive activity prediction. </w:t>
      </w:r>
      <w:r w:rsidRPr="00863380">
        <w:rPr>
          <w:rFonts w:ascii="Times New Roman" w:eastAsia="Times New Roman" w:hAnsi="Times New Roman" w:cs="Times New Roman"/>
          <w:i/>
          <w:iCs/>
          <w:kern w:val="0"/>
          <w14:ligatures w14:val="none"/>
        </w:rPr>
        <w:t>IEEE Sensors Letters</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6</w:t>
      </w:r>
      <w:r w:rsidRPr="00863380">
        <w:rPr>
          <w:rFonts w:ascii="Times New Roman" w:eastAsia="Times New Roman" w:hAnsi="Times New Roman" w:cs="Times New Roman"/>
          <w:kern w:val="0"/>
          <w14:ligatures w14:val="none"/>
        </w:rPr>
        <w:t xml:space="preserve">(3), 1-4. </w:t>
      </w:r>
      <w:hyperlink r:id="rId15" w:tgtFrame="_blank" w:history="1">
        <w:r w:rsidRPr="00863380">
          <w:rPr>
            <w:rFonts w:ascii="Times New Roman" w:eastAsia="Times New Roman" w:hAnsi="Times New Roman" w:cs="Times New Roman"/>
            <w:color w:val="0000FF"/>
            <w:kern w:val="0"/>
            <w:u w:val="single"/>
            <w14:ligatures w14:val="none"/>
          </w:rPr>
          <w:t>https://doi.org/10.1109/lsens.2022.3156158</w:t>
        </w:r>
      </w:hyperlink>
    </w:p>
    <w:p w14:paraId="197CD561"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Stirling, R. E., Grayden, D. B., D'Souza, W., Cook, M. J., Nurse, E., Freestone, D. R., Payne, D. E., Brinkmann, B. H., Pal Attia, T., Viana, P. F., Schulze-Bonhage, A., Dümpelmann, M., Nasseri, M., Karoly, P. J., &amp; Richardson, M. P. (2021). Forecasting seizure likelihood with wearable technology. </w:t>
      </w:r>
      <w:r w:rsidRPr="00863380">
        <w:rPr>
          <w:rFonts w:ascii="Times New Roman" w:eastAsia="Times New Roman" w:hAnsi="Times New Roman" w:cs="Times New Roman"/>
          <w:i/>
          <w:iCs/>
          <w:kern w:val="0"/>
          <w14:ligatures w14:val="none"/>
        </w:rPr>
        <w:t>Frontiers in Neurology</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12</w:t>
      </w:r>
      <w:r w:rsidRPr="00863380">
        <w:rPr>
          <w:rFonts w:ascii="Times New Roman" w:eastAsia="Times New Roman" w:hAnsi="Times New Roman" w:cs="Times New Roman"/>
          <w:kern w:val="0"/>
          <w14:ligatures w14:val="none"/>
        </w:rPr>
        <w:t xml:space="preserve">, 704060. </w:t>
      </w:r>
      <w:hyperlink r:id="rId16" w:tgtFrame="_blank" w:history="1">
        <w:r w:rsidRPr="00863380">
          <w:rPr>
            <w:rFonts w:ascii="Times New Roman" w:eastAsia="Times New Roman" w:hAnsi="Times New Roman" w:cs="Times New Roman"/>
            <w:color w:val="0000FF"/>
            <w:kern w:val="0"/>
            <w:u w:val="single"/>
            <w14:ligatures w14:val="none"/>
          </w:rPr>
          <w:t>https://doi.org/10.3389/FNEUR.2021.704060</w:t>
        </w:r>
      </w:hyperlink>
    </w:p>
    <w:p w14:paraId="6512A02F"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Vieira, J. G. M., Figueiredo, J., Fernandes, C., Morais, R., Freitas, J., &amp; Santos, C. P. (2024). EEG-based action anticipation in human-robot interaction: A comparative pilot study. </w:t>
      </w:r>
      <w:r w:rsidRPr="00863380">
        <w:rPr>
          <w:rFonts w:ascii="Times New Roman" w:eastAsia="Times New Roman" w:hAnsi="Times New Roman" w:cs="Times New Roman"/>
          <w:i/>
          <w:iCs/>
          <w:kern w:val="0"/>
          <w14:ligatures w14:val="none"/>
        </w:rPr>
        <w:t>Frontiers in Neurorobotics</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18</w:t>
      </w:r>
      <w:r w:rsidRPr="00863380">
        <w:rPr>
          <w:rFonts w:ascii="Times New Roman" w:eastAsia="Times New Roman" w:hAnsi="Times New Roman" w:cs="Times New Roman"/>
          <w:kern w:val="0"/>
          <w14:ligatures w14:val="none"/>
        </w:rPr>
        <w:t xml:space="preserve">, 1491721. </w:t>
      </w:r>
      <w:hyperlink r:id="rId17" w:tgtFrame="_blank" w:history="1">
        <w:r w:rsidRPr="00863380">
          <w:rPr>
            <w:rFonts w:ascii="Times New Roman" w:eastAsia="Times New Roman" w:hAnsi="Times New Roman" w:cs="Times New Roman"/>
            <w:color w:val="0000FF"/>
            <w:kern w:val="0"/>
            <w:u w:val="single"/>
            <w14:ligatures w14:val="none"/>
          </w:rPr>
          <w:t>https://doi.org/10.3389/fnbot.2024.1491721</w:t>
        </w:r>
      </w:hyperlink>
    </w:p>
    <w:p w14:paraId="169822E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Wang, Y., Wang, R., Gao, X., Hong, B., &amp; Gao, S. (2011). A collaborative brain-computer interface for improving human performance. </w:t>
      </w:r>
      <w:r w:rsidRPr="00863380">
        <w:rPr>
          <w:rFonts w:ascii="Times New Roman" w:eastAsia="Times New Roman" w:hAnsi="Times New Roman" w:cs="Times New Roman"/>
          <w:i/>
          <w:iCs/>
          <w:kern w:val="0"/>
          <w14:ligatures w14:val="none"/>
        </w:rPr>
        <w:t>PLOS ONE</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6</w:t>
      </w:r>
      <w:r w:rsidRPr="00863380">
        <w:rPr>
          <w:rFonts w:ascii="Times New Roman" w:eastAsia="Times New Roman" w:hAnsi="Times New Roman" w:cs="Times New Roman"/>
          <w:kern w:val="0"/>
          <w14:ligatures w14:val="none"/>
        </w:rPr>
        <w:t xml:space="preserve">(5), e20422. </w:t>
      </w:r>
      <w:hyperlink r:id="rId18" w:tgtFrame="_blank" w:history="1">
        <w:r w:rsidRPr="00863380">
          <w:rPr>
            <w:rFonts w:ascii="Times New Roman" w:eastAsia="Times New Roman" w:hAnsi="Times New Roman" w:cs="Times New Roman"/>
            <w:color w:val="0000FF"/>
            <w:kern w:val="0"/>
            <w:u w:val="single"/>
            <w14:ligatures w14:val="none"/>
          </w:rPr>
          <w:t>https://doi.org/10.1371/JOURNAL.PONE.0020422</w:t>
        </w:r>
      </w:hyperlink>
    </w:p>
    <w:p w14:paraId="657F22F3"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 xml:space="preserve">Wolpaw, J. R., Birbaumer, N., McFarland, D. J., Pfurtscheller, G., &amp; Vaughan, T. M. (2002). Brain-computer interfaces for communication and control. </w:t>
      </w:r>
      <w:r w:rsidRPr="00863380">
        <w:rPr>
          <w:rFonts w:ascii="Times New Roman" w:eastAsia="Times New Roman" w:hAnsi="Times New Roman" w:cs="Times New Roman"/>
          <w:i/>
          <w:iCs/>
          <w:kern w:val="0"/>
          <w14:ligatures w14:val="none"/>
        </w:rPr>
        <w:t>Clinical Neurophysiology</w:t>
      </w:r>
      <w:r w:rsidRPr="00863380">
        <w:rPr>
          <w:rFonts w:ascii="Times New Roman" w:eastAsia="Times New Roman" w:hAnsi="Times New Roman" w:cs="Times New Roman"/>
          <w:kern w:val="0"/>
          <w14:ligatures w14:val="none"/>
        </w:rPr>
        <w:t xml:space="preserve">, </w:t>
      </w:r>
      <w:r w:rsidRPr="00863380">
        <w:rPr>
          <w:rFonts w:ascii="Times New Roman" w:eastAsia="Times New Roman" w:hAnsi="Times New Roman" w:cs="Times New Roman"/>
          <w:i/>
          <w:iCs/>
          <w:kern w:val="0"/>
          <w14:ligatures w14:val="none"/>
        </w:rPr>
        <w:t>113</w:t>
      </w:r>
      <w:r w:rsidRPr="00863380">
        <w:rPr>
          <w:rFonts w:ascii="Times New Roman" w:eastAsia="Times New Roman" w:hAnsi="Times New Roman" w:cs="Times New Roman"/>
          <w:kern w:val="0"/>
          <w14:ligatures w14:val="none"/>
        </w:rPr>
        <w:t>(6), 767-791.</w:t>
      </w:r>
    </w:p>
    <w:p w14:paraId="596C9EDD" w14:textId="77777777" w:rsidR="00863380" w:rsidRPr="00863380" w:rsidRDefault="00E82959" w:rsidP="00863380">
      <w:pPr>
        <w:spacing w:after="0" w:line="240" w:lineRule="auto"/>
        <w:rPr>
          <w:rFonts w:ascii="Times New Roman" w:eastAsia="Times New Roman" w:hAnsi="Times New Roman" w:cs="Times New Roman"/>
          <w:kern w:val="0"/>
          <w14:ligatures w14:val="none"/>
        </w:rPr>
      </w:pPr>
      <w:r>
        <w:rPr>
          <w:noProof/>
        </w:rPr>
      </w:r>
      <w:r>
        <w:pict w14:anchorId="1D653DB9">
          <v:rect id="Horizontal Line 10"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" filled="f">
            <o:lock v:ext="edit" rotation="t" aspectratio="t" verticies="t" text="t" shapetype="t"/>
            <w10:anchorlock/>
          </v:rect>
        </w:pict>
      </w:r>
    </w:p>
    <w:p w14:paraId="37177547"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kern w:val="0"/>
          <w14:ligatures w14:val="none"/>
        </w:rPr>
        <w:t>End of Positional Paper</w:t>
      </w:r>
    </w:p>
    <w:p w14:paraId="19FAFB56"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i/>
          <w:iCs/>
          <w:kern w:val="0"/>
          <w14:ligatures w14:val="none"/>
        </w:rPr>
        <w:t>Word Count: ~7,500 words</w:t>
      </w:r>
    </w:p>
    <w:p w14:paraId="4C88E437" w14:textId="77777777" w:rsidR="00863380" w:rsidRPr="00863380" w:rsidRDefault="00863380" w:rsidP="00863380">
      <w:pPr>
        <w:spacing w:before="100" w:beforeAutospacing="1" w:after="100" w:afterAutospacing="1" w:line="240" w:lineRule="auto"/>
        <w:rPr>
          <w:rFonts w:ascii="Times New Roman" w:eastAsia="Times New Roman" w:hAnsi="Times New Roman" w:cs="Times New Roman"/>
          <w:kern w:val="0"/>
          <w14:ligatures w14:val="none"/>
        </w:rPr>
      </w:pPr>
      <w:r w:rsidRPr="00863380">
        <w:rPr>
          <w:rFonts w:ascii="Times New Roman" w:eastAsia="Times New Roman" w:hAnsi="Times New Roman" w:cs="Times New Roman"/>
          <w:i/>
          <w:iCs/>
          <w:kern w:val="0"/>
          <w14:ligatures w14:val="none"/>
        </w:rPr>
        <w:t>Prepared: March 2, 2026</w:t>
      </w:r>
    </w:p>
    <w:p w14:paraId="06047060" w14:textId="77777777" w:rsidR="006B2B97" w:rsidRDefault="006B2B97"/>
    <w:sectPr w:rsidR="006B2B97" w:rsidSect="006A7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B03"/>
    <w:multiLevelType w:val="multilevel"/>
    <w:tmpl w:val="3BC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01505"/>
    <w:multiLevelType w:val="multilevel"/>
    <w:tmpl w:val="1806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E0D7C"/>
    <w:multiLevelType w:val="multilevel"/>
    <w:tmpl w:val="1F0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D06BC"/>
    <w:multiLevelType w:val="multilevel"/>
    <w:tmpl w:val="FA0E7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7850E6"/>
    <w:multiLevelType w:val="multilevel"/>
    <w:tmpl w:val="975E7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5333C6"/>
    <w:multiLevelType w:val="multilevel"/>
    <w:tmpl w:val="D174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5226D"/>
    <w:multiLevelType w:val="multilevel"/>
    <w:tmpl w:val="F56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51A53"/>
    <w:multiLevelType w:val="multilevel"/>
    <w:tmpl w:val="1CB4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B09B7"/>
    <w:multiLevelType w:val="multilevel"/>
    <w:tmpl w:val="C48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16CEA"/>
    <w:multiLevelType w:val="multilevel"/>
    <w:tmpl w:val="46EC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C0B33"/>
    <w:multiLevelType w:val="multilevel"/>
    <w:tmpl w:val="D04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44227"/>
    <w:multiLevelType w:val="multilevel"/>
    <w:tmpl w:val="2048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927273">
    <w:abstractNumId w:val="3"/>
  </w:num>
  <w:num w:numId="2" w16cid:durableId="951472369">
    <w:abstractNumId w:val="9"/>
  </w:num>
  <w:num w:numId="3" w16cid:durableId="1503351950">
    <w:abstractNumId w:val="11"/>
  </w:num>
  <w:num w:numId="4" w16cid:durableId="122430216">
    <w:abstractNumId w:val="4"/>
  </w:num>
  <w:num w:numId="5" w16cid:durableId="61879212">
    <w:abstractNumId w:val="1"/>
  </w:num>
  <w:num w:numId="6" w16cid:durableId="879558774">
    <w:abstractNumId w:val="2"/>
  </w:num>
  <w:num w:numId="7" w16cid:durableId="1307010925">
    <w:abstractNumId w:val="10"/>
  </w:num>
  <w:num w:numId="8" w16cid:durableId="630016302">
    <w:abstractNumId w:val="0"/>
  </w:num>
  <w:num w:numId="9" w16cid:durableId="1103957213">
    <w:abstractNumId w:val="5"/>
  </w:num>
  <w:num w:numId="10" w16cid:durableId="82385279">
    <w:abstractNumId w:val="7"/>
  </w:num>
  <w:num w:numId="11" w16cid:durableId="234898707">
    <w:abstractNumId w:val="8"/>
  </w:num>
  <w:num w:numId="12" w16cid:durableId="1626421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66"/>
    <w:rsid w:val="00191696"/>
    <w:rsid w:val="002B5194"/>
    <w:rsid w:val="0054014E"/>
    <w:rsid w:val="005B6A84"/>
    <w:rsid w:val="00640522"/>
    <w:rsid w:val="006A73E9"/>
    <w:rsid w:val="006B2B97"/>
    <w:rsid w:val="00793666"/>
    <w:rsid w:val="007E18EC"/>
    <w:rsid w:val="00863380"/>
    <w:rsid w:val="008A610A"/>
    <w:rsid w:val="00936912"/>
    <w:rsid w:val="00DE6565"/>
    <w:rsid w:val="00E15052"/>
    <w:rsid w:val="00E717D7"/>
    <w:rsid w:val="00E82959"/>
    <w:rsid w:val="00E84F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0DFBC51"/>
  <w15:chartTrackingRefBased/>
  <w15:docId w15:val="{844D7614-E8CB-0D45-8DEE-9CBC49AF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3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3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3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3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3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3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666"/>
    <w:rPr>
      <w:rFonts w:eastAsiaTheme="majorEastAsia" w:cstheme="majorBidi"/>
      <w:color w:val="272727" w:themeColor="text1" w:themeTint="D8"/>
    </w:rPr>
  </w:style>
  <w:style w:type="paragraph" w:styleId="Title">
    <w:name w:val="Title"/>
    <w:basedOn w:val="Normal"/>
    <w:next w:val="Normal"/>
    <w:link w:val="TitleChar"/>
    <w:uiPriority w:val="10"/>
    <w:qFormat/>
    <w:rsid w:val="00793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666"/>
    <w:pPr>
      <w:spacing w:before="160"/>
      <w:jc w:val="center"/>
    </w:pPr>
    <w:rPr>
      <w:i/>
      <w:iCs/>
      <w:color w:val="404040" w:themeColor="text1" w:themeTint="BF"/>
    </w:rPr>
  </w:style>
  <w:style w:type="character" w:customStyle="1" w:styleId="QuoteChar">
    <w:name w:val="Quote Char"/>
    <w:basedOn w:val="DefaultParagraphFont"/>
    <w:link w:val="Quote"/>
    <w:uiPriority w:val="29"/>
    <w:rsid w:val="00793666"/>
    <w:rPr>
      <w:i/>
      <w:iCs/>
      <w:color w:val="404040" w:themeColor="text1" w:themeTint="BF"/>
    </w:rPr>
  </w:style>
  <w:style w:type="paragraph" w:styleId="ListParagraph">
    <w:name w:val="List Paragraph"/>
    <w:basedOn w:val="Normal"/>
    <w:uiPriority w:val="34"/>
    <w:qFormat/>
    <w:rsid w:val="00793666"/>
    <w:pPr>
      <w:ind w:left="720"/>
      <w:contextualSpacing/>
    </w:pPr>
  </w:style>
  <w:style w:type="character" w:styleId="IntenseEmphasis">
    <w:name w:val="Intense Emphasis"/>
    <w:basedOn w:val="DefaultParagraphFont"/>
    <w:uiPriority w:val="21"/>
    <w:qFormat/>
    <w:rsid w:val="00793666"/>
    <w:rPr>
      <w:i/>
      <w:iCs/>
      <w:color w:val="0F4761" w:themeColor="accent1" w:themeShade="BF"/>
    </w:rPr>
  </w:style>
  <w:style w:type="paragraph" w:styleId="IntenseQuote">
    <w:name w:val="Intense Quote"/>
    <w:basedOn w:val="Normal"/>
    <w:next w:val="Normal"/>
    <w:link w:val="IntenseQuoteChar"/>
    <w:uiPriority w:val="30"/>
    <w:qFormat/>
    <w:rsid w:val="00793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666"/>
    <w:rPr>
      <w:i/>
      <w:iCs/>
      <w:color w:val="0F4761" w:themeColor="accent1" w:themeShade="BF"/>
    </w:rPr>
  </w:style>
  <w:style w:type="character" w:styleId="IntenseReference">
    <w:name w:val="Intense Reference"/>
    <w:basedOn w:val="DefaultParagraphFont"/>
    <w:uiPriority w:val="32"/>
    <w:qFormat/>
    <w:rsid w:val="00793666"/>
    <w:rPr>
      <w:b/>
      <w:bCs/>
      <w:smallCaps/>
      <w:color w:val="0F4761" w:themeColor="accent1" w:themeShade="BF"/>
      <w:spacing w:val="5"/>
    </w:rPr>
  </w:style>
  <w:style w:type="paragraph" w:customStyle="1" w:styleId="m-0">
    <w:name w:val="m-0"/>
    <w:basedOn w:val="Normal"/>
    <w:rsid w:val="008633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63380"/>
    <w:rPr>
      <w:color w:val="0000FF"/>
      <w:u w:val="single"/>
    </w:rPr>
  </w:style>
  <w:style w:type="character" w:styleId="Emphasis">
    <w:name w:val="Emphasis"/>
    <w:basedOn w:val="DefaultParagraphFont"/>
    <w:uiPriority w:val="20"/>
    <w:qFormat/>
    <w:rsid w:val="008633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tim.2024.3509604" TargetMode="External"/><Relationship Id="rId13" Type="http://schemas.openxmlformats.org/officeDocument/2006/relationships/hyperlink" Target="https://doi.org/10.3389/FNBOT.2020.00025" TargetMode="External"/><Relationship Id="rId18" Type="http://schemas.openxmlformats.org/officeDocument/2006/relationships/hyperlink" Target="https://doi.org/10.1371/JOURNAL.PONE.0020422" TargetMode="External"/><Relationship Id="rId3" Type="http://schemas.openxmlformats.org/officeDocument/2006/relationships/settings" Target="settings.xml"/><Relationship Id="rId7" Type="http://schemas.openxmlformats.org/officeDocument/2006/relationships/hyperlink" Target="https://doi.org/10.1109/TCBB.2021.3052811" TargetMode="External"/><Relationship Id="rId12" Type="http://schemas.openxmlformats.org/officeDocument/2006/relationships/hyperlink" Target="https://doi.org/10.1063/5.0047237" TargetMode="External"/><Relationship Id="rId17" Type="http://schemas.openxmlformats.org/officeDocument/2006/relationships/hyperlink" Target="https://doi.org/10.3389/fnbot.2024.1491721" TargetMode="External"/><Relationship Id="rId2" Type="http://schemas.openxmlformats.org/officeDocument/2006/relationships/styles" Target="styles.xml"/><Relationship Id="rId16" Type="http://schemas.openxmlformats.org/officeDocument/2006/relationships/hyperlink" Target="https://doi.org/10.3389/FNEUR.2021.70406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09/EMBC53108.2024.10782689" TargetMode="External"/><Relationship Id="rId11" Type="http://schemas.openxmlformats.org/officeDocument/2006/relationships/hyperlink" Target="https://doi.org/10.1162/neco_a_01743" TargetMode="External"/><Relationship Id="rId5" Type="http://schemas.openxmlformats.org/officeDocument/2006/relationships/hyperlink" Target="https://doi.org/10.3390/s23146578" TargetMode="External"/><Relationship Id="rId15" Type="http://schemas.openxmlformats.org/officeDocument/2006/relationships/hyperlink" Target="https://doi.org/10.1109/lsens.2022.3156158" TargetMode="External"/><Relationship Id="rId10" Type="http://schemas.openxmlformats.org/officeDocument/2006/relationships/hyperlink" Target="https://doi.org/10.1109/bibm62325.2024.1082224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38/S41598-021-01449-2" TargetMode="External"/><Relationship Id="rId14" Type="http://schemas.openxmlformats.org/officeDocument/2006/relationships/hyperlink" Target="https://doi.org/10.1109/bsn63547.2024.10780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11177</Words>
  <Characters>30626</Characters>
  <Application>Microsoft Office Word</Application>
  <DocSecurity>0</DocSecurity>
  <Lines>567</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 Tzyy-Ping</dc:creator>
  <cp:keywords/>
  <dc:description/>
  <cp:lastModifiedBy>Jung, Tzyy-Ping</cp:lastModifiedBy>
  <cp:revision>1</cp:revision>
  <dcterms:created xsi:type="dcterms:W3CDTF">2026-03-02T02:57:00Z</dcterms:created>
  <dcterms:modified xsi:type="dcterms:W3CDTF">2026-03-17T20:43:00Z</dcterms:modified>
</cp:coreProperties>
</file>