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rFonts w:ascii="Calibri" w:cs="Calibri" w:eastAsia="Calibri" w:hAnsi="Calibri"/>
          <w:b/>
          <w:bCs/>
          <w:color w:val="EE7200"/>
          <w:spacing w:val="20"/>
          <w:sz w:val="60"/>
          <w:szCs w:val="60"/>
        </w:rPr>
        <w:t xml:space="preserve">IRON VAULT ACADEMY</w:t>
      </w:r>
    </w:p>
    <w:p>
      <w:pPr>
        <w:spacing w:after="100" w:before="200"/>
        <w:jc w:val="center"/>
      </w:pPr>
      <w:r>
        <w:rPr>
          <w:rFonts w:ascii="Calibri" w:cs="Calibri" w:eastAsia="Calibri" w:hAnsi="Calibri"/>
          <w:b/>
          <w:bCs/>
          <w:color w:val="1C1C1C"/>
          <w:spacing w:val="40"/>
          <w:sz w:val="30"/>
          <w:szCs w:val="30"/>
        </w:rPr>
        <w:t xml:space="preserve">MASTER CURRICULUM SYLLABUS</w:t>
      </w:r>
    </w:p>
    <w:p>
      <w:pPr>
        <w:spacing w:after="500" w:before="40"/>
        <w:jc w:val="center"/>
      </w:pPr>
      <w:r>
        <w:rPr>
          <w:rFonts w:ascii="Georgia" w:cs="Georgia" w:eastAsia="Georgia" w:hAnsi="Georgia"/>
          <w:i/>
          <w:iCs/>
          <w:color w:val="5B5B5B"/>
          <w:sz w:val="22"/>
          <w:szCs w:val="22"/>
        </w:rPr>
        <w:t xml:space="preserve">Pathways · Courses · Weekly Schedules · Assessment Standards</w:t>
      </w:r>
    </w:p>
    <w:p>
      <w:pPr>
        <w:pBdr>
          <w:top w:val="single" w:color="C9A96E" w:sz="6" w:space="8"/>
          <w:bottom w:val="single" w:color="C9A96E" w:sz="6" w:space="8"/>
        </w:pBdr>
        <w:spacing w:before="200"/>
        <w:jc w:val="center"/>
      </w:pPr>
      <w:r>
        <w:rPr>
          <w:sz w:val="4"/>
          <w:szCs w:val="4"/>
        </w:rPr>
        <w:t xml:space="preserve"> </w:t>
      </w:r>
    </w:p>
    <w:p>
      <w:pPr>
        <w:spacing w:before="900"/>
        <w:jc w:val="center"/>
      </w:pPr>
      <w:r>
        <w:rPr>
          <w:rFonts w:ascii="Calibri" w:cs="Calibri" w:eastAsia="Calibri" w:hAnsi="Calibri"/>
          <w:color w:val="1C1C1C"/>
          <w:sz w:val="20"/>
          <w:szCs w:val="20"/>
        </w:rPr>
        <w:t xml:space="preserve">Version: July 2026</w:t>
      </w:r>
    </w:p>
    <w:p>
      <w:pPr>
        <w:spacing w:before="60"/>
        <w:jc w:val="center"/>
      </w:pPr>
      <w:r>
        <w:rPr>
          <w:rFonts w:ascii="Georgia" w:cs="Georgia" w:eastAsia="Georgia" w:hAnsi="Georgia"/>
          <w:i/>
          <w:iCs/>
          <w:color w:val="5B5B5B"/>
          <w:sz w:val="19"/>
          <w:szCs w:val="19"/>
        </w:rPr>
        <w:t xml:space="preserve">Status: Canonical syllabus for the Iron Vault Academy course catalog, pathway architecture, and delivery model.</w:t>
      </w:r>
    </w:p>
    <w:p>
      <w:pPr>
        <w:spacing w:before="4200"/>
        <w:jc w:val="center"/>
      </w:pPr>
      <w:r>
        <w:rPr>
          <w:rFonts w:ascii="Calibri" w:cs="Calibri" w:eastAsia="Calibri" w:hAnsi="Calibri"/>
          <w:color w:val="8A6A3E"/>
          <w:spacing w:val="30"/>
          <w:sz w:val="17"/>
          <w:szCs w:val="17"/>
        </w:rPr>
        <w:t xml:space="preserve">IRON VAULT · EDUCATION SYSTEM</w:t>
      </w:r>
    </w:p>
    <w:p>
      <w:pPr>
        <w:sectPr>
          <w:pgSz w:w="12240" w:h="15840" w:orient="portrait"/>
          <w:pgMar w:top="1440" w:right="1350" w:bottom="1440" w:left="1350" w:header="708" w:footer="708" w:gutter="0"/>
          <w:pgNumType/>
          <w:docGrid w:linePitch="360"/>
        </w:sectPr>
      </w:pPr>
    </w:p>
    <w:p>
      <w:pPr>
        <w:pStyle w:val="Heading1"/>
        <w:pBdr>
          <w:bottom w:val="single" w:color="EE7200" w:sz="8" w:space="6"/>
        </w:pBdr>
        <w:spacing w:after="200" w:before="480"/>
      </w:pPr>
      <w:r>
        <w:rPr>
          <w:rFonts w:ascii="Calibri" w:cs="Calibri" w:eastAsia="Calibri" w:hAnsi="Calibri"/>
          <w:b/>
          <w:bCs/>
          <w:color w:val="EE7200"/>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EE7200" w:sz="8" w:space="6"/>
        </w:pBdr>
        <w:spacing w:after="200" w:before="480"/>
      </w:pPr>
      <w:r>
        <w:rPr>
          <w:rFonts w:ascii="Calibri" w:cs="Calibri" w:eastAsia="Calibri" w:hAnsi="Calibri"/>
          <w:b/>
          <w:bCs/>
          <w:color w:val="EE7200"/>
          <w:sz w:val="30"/>
          <w:szCs w:val="30"/>
        </w:rPr>
        <w:t xml:space="preserve">1. Program Philosophy &amp; Structure</w:t>
      </w:r>
    </w:p>
    <w:tbl>
      <w:tblPr>
        <w:tblW w:type="pct" w:w="100%"/>
        <w:tblBorders>
          <w:top w:val="single" w:color="EE7200" w:sz="6"/>
          <w:left w:val="single" w:color="EE7200" w:sz="6"/>
          <w:bottom w:val="single" w:color="EE7200" w:sz="6"/>
          <w:right w:val="single" w:color="EE7200" w:sz="6"/>
          <w:insideH w:val="none" w:color="FFFFFF" w:sz="0"/>
          <w:insideV w:val="none" w:color="FFFFFF" w:sz="0"/>
        </w:tblBorders>
      </w:tblPr>
      <w:tblGrid>
        <w:gridCol w:w="100"/>
      </w:tblGrid>
      <w:tr>
        <w:tc>
          <w:tcPr>
            <w:shd w:fill="F5F0E8" w:color="auto" w:val="clear"/>
            <w:tcMar>
              <w:top w:type="dxa" w:w="200"/>
              <w:left w:type="dxa" w:w="260"/>
              <w:bottom w:type="dxa" w:w="200"/>
              <w:right w:type="dxa" w:w="260"/>
            </w:tcMar>
          </w:tcPr>
          <w:p>
            <w:pPr>
              <w:spacing w:after="60"/>
            </w:pPr>
            <w:r>
              <w:rPr>
                <w:rFonts w:ascii="Calibri" w:cs="Calibri" w:eastAsia="Calibri" w:hAnsi="Calibri"/>
                <w:b/>
                <w:bCs/>
                <w:color w:val="EE7200"/>
                <w:spacing w:val="10"/>
                <w:sz w:val="17"/>
                <w:szCs w:val="17"/>
              </w:rPr>
              <w:t xml:space="preserve">OPERATING PRINCIPLE</w:t>
            </w:r>
          </w:p>
          <w:p>
            <w:pPr>
              <w:spacing w:line="280"/>
            </w:pPr>
            <w:r>
              <w:rPr>
                <w:rFonts w:ascii="Georgia" w:cs="Georgia" w:eastAsia="Georgia" w:hAnsi="Georgia"/>
                <w:color w:val="1C1C1C"/>
                <w:sz w:val="20"/>
                <w:szCs w:val="20"/>
              </w:rPr>
              <w:t xml:space="preserve">The academy is presented as clear pathways, not as a 500–700 lesson dump. Every source item is preserved in the master register, then assigned to a coherent learner outcome.</w:t>
            </w:r>
          </w:p>
        </w:tc>
      </w:tr>
    </w:tbl>
    <w:p>
      <w:pPr>
        <w:spacing w:after="140" w:line="300"/>
      </w:pPr>
      <w:r>
        <w:rPr>
          <w:rFonts w:ascii="Georgia" w:cs="Georgia" w:eastAsia="Georgia" w:hAnsi="Georgia"/>
          <w:i w:val="false"/>
          <w:iCs w:val="false"/>
          <w:color w:val="1C1C1C"/>
          <w:sz w:val="21"/>
          <w:szCs w:val="21"/>
        </w:rPr>
        <w:t xml:space="preserve"/>
      </w:r>
    </w:p>
    <w:p>
      <w:pPr>
        <w:spacing w:after="140" w:line="300"/>
      </w:pPr>
      <w:r>
        <w:rPr>
          <w:rFonts w:ascii="Georgia" w:cs="Georgia" w:eastAsia="Georgia" w:hAnsi="Georgia"/>
          <w:i w:val="false"/>
          <w:iCs w:val="false"/>
          <w:color w:val="1C1C1C"/>
          <w:sz w:val="21"/>
          <w:szCs w:val="21"/>
        </w:rPr>
        <w:t xml:space="preserve">This syllabus organizes every course, module, lesson, assessment, and pathway in the Iron Vault Academy catalog into a single teaching document. The existing 320-lesson academy catalog remains the current base inventory and is not replaced by this expansion — it is the foundation this syllabus builds on.</w:t>
      </w:r>
    </w:p>
    <w:p>
      <w:pPr>
        <w:pStyle w:val="Heading2"/>
        <w:spacing w:after="140" w:before="320"/>
      </w:pPr>
      <w:r>
        <w:rPr>
          <w:rFonts w:ascii="Calibri" w:cs="Calibri" w:eastAsia="Calibri" w:hAnsi="Calibri"/>
          <w:b/>
          <w:bCs/>
          <w:color w:val="1C1C1C"/>
          <w:sz w:val="24"/>
          <w:szCs w:val="24"/>
        </w:rPr>
        <w:t xml:space="preserve">Governing Rules</w:t>
      </w:r>
    </w:p>
    <w:p>
      <w:pPr>
        <w:pStyle w:val="ListParagraph"/>
        <w:numPr>
          <w:ilvl w:val="0"/>
          <w:numId w:val="1"/>
        </w:numPr>
        <w:spacing w:after="80" w:line="280"/>
      </w:pPr>
      <w:r>
        <w:rPr>
          <w:rFonts w:ascii="Georgia" w:cs="Georgia" w:eastAsia="Georgia" w:hAnsi="Georgia"/>
          <w:color w:val="1C1C1C"/>
          <w:sz w:val="20"/>
          <w:szCs w:val="20"/>
        </w:rPr>
        <w:t xml:space="preserve">Repeated course titles are consolidated into one canonical course; their appearances across multiple pathways are retained through cross-listing, not duplication.</w:t>
      </w:r>
    </w:p>
    <w:p>
      <w:pPr>
        <w:pStyle w:val="ListParagraph"/>
        <w:numPr>
          <w:ilvl w:val="0"/>
          <w:numId w:val="1"/>
        </w:numPr>
        <w:spacing w:after="80" w:line="280"/>
      </w:pPr>
      <w:r>
        <w:rPr>
          <w:rFonts w:ascii="Georgia" w:cs="Georgia" w:eastAsia="Georgia" w:hAnsi="Georgia"/>
          <w:color w:val="1C1C1C"/>
          <w:sz w:val="20"/>
          <w:szCs w:val="20"/>
        </w:rPr>
        <w:t xml:space="preserve">Spelling and naming are normalized across all sources (e.g., zk-SNARKs, self-study).</w:t>
      </w:r>
    </w:p>
    <w:p>
      <w:pPr>
        <w:pStyle w:val="ListParagraph"/>
        <w:numPr>
          <w:ilvl w:val="0"/>
          <w:numId w:val="1"/>
        </w:numPr>
        <w:spacing w:after="80" w:line="280"/>
      </w:pPr>
      <w:r>
        <w:rPr>
          <w:rFonts w:ascii="Georgia" w:cs="Georgia" w:eastAsia="Georgia" w:hAnsi="Georgia"/>
          <w:color w:val="1C1C1C"/>
          <w:sz w:val="20"/>
          <w:szCs w:val="20"/>
        </w:rPr>
        <w:t xml:space="preserve">Unsupported third-party certification, exam-voucher, tuition-credit, or badge-percentage claims are excluded until a verified partnership exists.</w:t>
      </w:r>
    </w:p>
    <w:p>
      <w:pPr>
        <w:pStyle w:val="ListParagraph"/>
        <w:numPr>
          <w:ilvl w:val="0"/>
          <w:numId w:val="1"/>
        </w:numPr>
        <w:spacing w:after="80" w:line="280"/>
      </w:pPr>
      <w:r>
        <w:rPr>
          <w:rFonts w:ascii="Georgia" w:cs="Georgia" w:eastAsia="Georgia" w:hAnsi="Georgia"/>
          <w:color w:val="1C1C1C"/>
          <w:sz w:val="20"/>
          <w:szCs w:val="20"/>
        </w:rPr>
        <w:t xml:space="preserve">Claims implying guaranteed or superior financial returns are replaced with neutral education about yield, borrowing, collateral, liquidation, and risk.</w:t>
      </w:r>
    </w:p>
    <w:p>
      <w:pPr>
        <w:pStyle w:val="ListParagraph"/>
        <w:numPr>
          <w:ilvl w:val="0"/>
          <w:numId w:val="1"/>
        </w:numPr>
        <w:spacing w:after="80" w:line="280"/>
      </w:pPr>
      <w:r>
        <w:rPr>
          <w:rFonts w:ascii="Georgia" w:cs="Georgia" w:eastAsia="Georgia" w:hAnsi="Georgia"/>
          <w:color w:val="1C1C1C"/>
          <w:sz w:val="20"/>
          <w:szCs w:val="20"/>
        </w:rPr>
        <w:t xml:space="preserve">Iron Vault issues its own course-completion certificate or digital completion credential based on verified completion data.</w:t>
      </w:r>
    </w:p>
    <w:p>
      <w:pPr>
        <w:pStyle w:val="Heading2"/>
        <w:spacing w:after="140" w:before="320"/>
      </w:pPr>
      <w:r>
        <w:rPr>
          <w:rFonts w:ascii="Calibri" w:cs="Calibri" w:eastAsia="Calibri" w:hAnsi="Calibri"/>
          <w:b/>
          <w:bCs/>
          <w:color w:val="1C1C1C"/>
          <w:sz w:val="24"/>
          <w:szCs w:val="24"/>
        </w:rPr>
        <w:t xml:space="preserve">Canonical Content Model</w:t>
      </w:r>
    </w:p>
    <w:p>
      <w:pPr>
        <w:spacing w:after="140" w:line="300"/>
      </w:pPr>
      <w:r>
        <w:rPr>
          <w:rFonts w:ascii="Georgia" w:cs="Georgia" w:eastAsia="Georgia" w:hAnsi="Georgia"/>
          <w:i w:val="false"/>
          <w:iCs w:val="false"/>
          <w:color w:val="1C1C1C"/>
          <w:sz w:val="21"/>
          <w:szCs w:val="21"/>
        </w:rPr>
        <w:t xml:space="preserve">Every unit in the catalog is classified against one shared model, from broadest to most granular:</w:t>
      </w:r>
    </w:p>
    <w:tbl>
      <w:tblPr>
        <w:tblW w:type="dxa" w:w="9000"/>
        <w:tblBorders>
          <w:top w:val="single" w:color="D9D2C2" w:sz="4"/>
          <w:left w:val="single" w:color="D9D2C2" w:sz="4"/>
          <w:bottom w:val="single" w:color="D9D2C2" w:sz="4"/>
          <w:right w:val="single" w:color="D9D2C2" w:sz="4"/>
          <w:insideH w:val="single" w:color="D9D2C2" w:sz="4"/>
          <w:insideV w:val="single" w:color="D9D2C2" w:sz="4"/>
        </w:tblBorders>
      </w:tblPr>
      <w:tblGrid>
        <w:gridCol w:w="1700"/>
        <w:gridCol w:w="4600"/>
        <w:gridCol w:w="2700"/>
      </w:tblGrid>
      <w:tr>
        <w:trPr>
          <w:tblHeader/>
        </w:trPr>
        <w:tc>
          <w:tcPr>
            <w:tcW w:type="dxa" w:w="1700"/>
            <w:shd w:fill="1C1C1C" w:color="auto" w:val="clear"/>
            <w:tcMar>
              <w:top w:type="dxa" w:w="100"/>
              <w:left w:type="dxa" w:w="120"/>
              <w:bottom w:type="dxa" w:w="100"/>
              <w:right w:type="dxa" w:w="120"/>
            </w:tcMar>
            <w:vAlign w:val="center"/>
          </w:tcPr>
          <w:p>
            <w:r>
              <w:rPr>
                <w:rFonts w:ascii="Calibri" w:cs="Calibri" w:eastAsia="Calibri" w:hAnsi="Calibri"/>
                <w:b/>
                <w:bCs/>
                <w:color w:val="FFFFFF"/>
                <w:sz w:val="17"/>
                <w:szCs w:val="17"/>
              </w:rPr>
              <w:t xml:space="preserve">Layer</w:t>
            </w:r>
          </w:p>
        </w:tc>
        <w:tc>
          <w:tcPr>
            <w:tcW w:type="dxa" w:w="4600"/>
            <w:shd w:fill="1C1C1C" w:color="auto" w:val="clear"/>
            <w:tcMar>
              <w:top w:type="dxa" w:w="100"/>
              <w:left w:type="dxa" w:w="120"/>
              <w:bottom w:type="dxa" w:w="100"/>
              <w:right w:type="dxa" w:w="120"/>
            </w:tcMar>
            <w:vAlign w:val="center"/>
          </w:tcPr>
          <w:p>
            <w:r>
              <w:rPr>
                <w:rFonts w:ascii="Calibri" w:cs="Calibri" w:eastAsia="Calibri" w:hAnsi="Calibri"/>
                <w:b/>
                <w:bCs/>
                <w:color w:val="FFFFFF"/>
                <w:sz w:val="17"/>
                <w:szCs w:val="17"/>
              </w:rPr>
              <w:t xml:space="preserve">Definition</w:t>
            </w:r>
          </w:p>
        </w:tc>
        <w:tc>
          <w:tcPr>
            <w:tcW w:type="dxa" w:w="2700"/>
            <w:shd w:fill="1C1C1C" w:color="auto" w:val="clear"/>
            <w:tcMar>
              <w:top w:type="dxa" w:w="100"/>
              <w:left w:type="dxa" w:w="120"/>
              <w:bottom w:type="dxa" w:w="100"/>
              <w:right w:type="dxa" w:w="120"/>
            </w:tcMar>
            <w:vAlign w:val="center"/>
          </w:tcPr>
          <w:p>
            <w:r>
              <w:rPr>
                <w:rFonts w:ascii="Calibri" w:cs="Calibri" w:eastAsia="Calibri" w:hAnsi="Calibri"/>
                <w:b/>
                <w:bCs/>
                <w:color w:val="FFFFFF"/>
                <w:sz w:val="17"/>
                <w:szCs w:val="17"/>
              </w:rPr>
              <w:t xml:space="preserve">Example</w:t>
            </w:r>
          </w:p>
        </w:tc>
      </w:tr>
      <w:tr>
        <w:tc>
          <w:tcPr>
            <w:tcW w:type="dxa" w:w="17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Pathway</w:t>
            </w:r>
          </w:p>
        </w:tc>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A marketable learner outcome spanning multiple courses</w:t>
            </w:r>
          </w:p>
        </w:tc>
        <w:tc>
          <w:tcPr>
            <w:tcW w:type="dxa" w:w="27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DeFi Practitioner</w:t>
            </w:r>
          </w:p>
        </w:tc>
      </w:tr>
      <w:tr>
        <w:tc>
          <w:tcPr>
            <w:tcW w:type="dxa" w:w="17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Course</w:t>
            </w:r>
          </w:p>
        </w:tc>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A bounded body of knowledge with outcomes and assessment</w:t>
            </w:r>
          </w:p>
        </w:tc>
        <w:tc>
          <w:tcPr>
            <w:tcW w:type="dxa" w:w="27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Blockchain Foundations</w:t>
            </w:r>
          </w:p>
        </w:tc>
      </w:tr>
      <w:tr>
        <w:tc>
          <w:tcPr>
            <w:tcW w:type="dxa" w:w="17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Module</w:t>
            </w:r>
          </w:p>
        </w:tc>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A major concept cluster inside a course</w:t>
            </w:r>
          </w:p>
        </w:tc>
        <w:tc>
          <w:tcPr>
            <w:tcW w:type="dxa" w:w="27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Consensus</w:t>
            </w:r>
          </w:p>
        </w:tc>
      </w:tr>
      <w:tr>
        <w:tc>
          <w:tcPr>
            <w:tcW w:type="dxa" w:w="17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Lesson</w:t>
            </w:r>
          </w:p>
        </w:tc>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A short instructional unit</w:t>
            </w:r>
          </w:p>
        </w:tc>
        <w:tc>
          <w:tcPr>
            <w:tcW w:type="dxa" w:w="27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Consensus Mechanisms</w:t>
            </w:r>
          </w:p>
        </w:tc>
      </w:tr>
      <w:tr>
        <w:tc>
          <w:tcPr>
            <w:tcW w:type="dxa" w:w="17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Interaction</w:t>
            </w:r>
          </w:p>
        </w:tc>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A simulation, lab, scenario, quiz, match, or builder</w:t>
            </w:r>
          </w:p>
        </w:tc>
        <w:tc>
          <w:tcPr>
            <w:tcW w:type="dxa" w:w="27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Hash Avalanche Effect Lab</w:t>
            </w:r>
          </w:p>
        </w:tc>
      </w:tr>
      <w:tr>
        <w:tc>
          <w:tcPr>
            <w:tcW w:type="dxa" w:w="17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Assessment</w:t>
            </w:r>
          </w:p>
        </w:tc>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A mastery checkpoint with defined pass logic</w:t>
            </w:r>
          </w:p>
        </w:tc>
        <w:tc>
          <w:tcPr>
            <w:tcW w:type="dxa" w:w="27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Final exam, 70% threshold</w:t>
            </w:r>
          </w:p>
        </w:tc>
      </w:tr>
      <w:tr>
        <w:tc>
          <w:tcPr>
            <w:tcW w:type="dxa" w:w="17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Credential</w:t>
            </w:r>
          </w:p>
        </w:tc>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Evidence of verified completion</w:t>
            </w:r>
          </w:p>
        </w:tc>
        <w:tc>
          <w:tcPr>
            <w:tcW w:type="dxa" w:w="27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Iron Vault completion certificate</w:t>
            </w:r>
          </w:p>
        </w:tc>
      </w:tr>
    </w:tbl>
    <w:p>
      <w:r>
        <w:br w:type="page"/>
      </w:r>
    </w:p>
    <w:p>
      <w:pPr>
        <w:pStyle w:val="Heading1"/>
        <w:pBdr>
          <w:bottom w:val="single" w:color="EE7200" w:sz="8" w:space="6"/>
        </w:pBdr>
        <w:spacing w:after="200" w:before="480"/>
      </w:pPr>
      <w:r>
        <w:rPr>
          <w:rFonts w:ascii="Calibri" w:cs="Calibri" w:eastAsia="Calibri" w:hAnsi="Calibri"/>
          <w:b/>
          <w:bCs/>
          <w:color w:val="EE7200"/>
          <w:sz w:val="30"/>
          <w:szCs w:val="30"/>
        </w:rPr>
        <w:t xml:space="preserve">2. Academy Pathways at a Glance</w:t>
      </w:r>
    </w:p>
    <w:p>
      <w:pPr>
        <w:spacing w:after="140" w:line="300"/>
      </w:pPr>
      <w:r>
        <w:rPr>
          <w:rFonts w:ascii="Georgia" w:cs="Georgia" w:eastAsia="Georgia" w:hAnsi="Georgia"/>
          <w:i w:val="false"/>
          <w:iCs w:val="false"/>
          <w:color w:val="1C1C1C"/>
          <w:sz w:val="21"/>
          <w:szCs w:val="21"/>
        </w:rPr>
        <w:t xml:space="preserve">Eight learner pathways span the academy, from first-time wallet users to smart-contract developers and enterprise risk teams. Each pathway draws on a shared course pool — the same course can serve more than one pathway.</w:t>
      </w:r>
    </w:p>
    <w:tbl>
      <w:tblPr>
        <w:tblW w:type="dxa" w:w="9000"/>
        <w:tblBorders>
          <w:top w:val="single" w:color="D9D2C2" w:sz="4"/>
          <w:left w:val="single" w:color="D9D2C2" w:sz="4"/>
          <w:bottom w:val="single" w:color="D9D2C2" w:sz="4"/>
          <w:right w:val="single" w:color="D9D2C2" w:sz="4"/>
          <w:insideH w:val="single" w:color="D9D2C2" w:sz="4"/>
          <w:insideV w:val="single" w:color="D9D2C2" w:sz="4"/>
        </w:tblBorders>
      </w:tblPr>
      <w:tblGrid>
        <w:gridCol w:w="2400"/>
        <w:gridCol w:w="2900"/>
        <w:gridCol w:w="3700"/>
      </w:tblGrid>
      <w:tr>
        <w:trPr>
          <w:tblHeader/>
        </w:trPr>
        <w:tc>
          <w:tcPr>
            <w:tcW w:type="dxa" w:w="2400"/>
            <w:shd w:fill="1C1C1C" w:color="auto" w:val="clear"/>
            <w:tcMar>
              <w:top w:type="dxa" w:w="100"/>
              <w:left w:type="dxa" w:w="120"/>
              <w:bottom w:type="dxa" w:w="100"/>
              <w:right w:type="dxa" w:w="120"/>
            </w:tcMar>
            <w:vAlign w:val="center"/>
          </w:tcPr>
          <w:p>
            <w:r>
              <w:rPr>
                <w:rFonts w:ascii="Calibri" w:cs="Calibri" w:eastAsia="Calibri" w:hAnsi="Calibri"/>
                <w:b/>
                <w:bCs/>
                <w:color w:val="FFFFFF"/>
                <w:sz w:val="17"/>
                <w:szCs w:val="17"/>
              </w:rPr>
              <w:t xml:space="preserve">Pathway</w:t>
            </w:r>
          </w:p>
        </w:tc>
        <w:tc>
          <w:tcPr>
            <w:tcW w:type="dxa" w:w="2900"/>
            <w:shd w:fill="1C1C1C" w:color="auto" w:val="clear"/>
            <w:tcMar>
              <w:top w:type="dxa" w:w="100"/>
              <w:left w:type="dxa" w:w="120"/>
              <w:bottom w:type="dxa" w:w="100"/>
              <w:right w:type="dxa" w:w="120"/>
            </w:tcMar>
            <w:vAlign w:val="center"/>
          </w:tcPr>
          <w:p>
            <w:r>
              <w:rPr>
                <w:rFonts w:ascii="Calibri" w:cs="Calibri" w:eastAsia="Calibri" w:hAnsi="Calibri"/>
                <w:b/>
                <w:bCs/>
                <w:color w:val="FFFFFF"/>
                <w:sz w:val="17"/>
                <w:szCs w:val="17"/>
              </w:rPr>
              <w:t xml:space="preserve">Primary Learner</w:t>
            </w:r>
          </w:p>
        </w:tc>
        <w:tc>
          <w:tcPr>
            <w:tcW w:type="dxa" w:w="3700"/>
            <w:shd w:fill="1C1C1C" w:color="auto" w:val="clear"/>
            <w:tcMar>
              <w:top w:type="dxa" w:w="100"/>
              <w:left w:type="dxa" w:w="120"/>
              <w:bottom w:type="dxa" w:w="100"/>
              <w:right w:type="dxa" w:w="120"/>
            </w:tcMar>
            <w:vAlign w:val="center"/>
          </w:tcPr>
          <w:p>
            <w:r>
              <w:rPr>
                <w:rFonts w:ascii="Calibri" w:cs="Calibri" w:eastAsia="Calibri" w:hAnsi="Calibri"/>
                <w:b/>
                <w:bCs/>
                <w:color w:val="FFFFFF"/>
                <w:sz w:val="17"/>
                <w:szCs w:val="17"/>
              </w:rPr>
              <w:t xml:space="preserve">Outcome</w:t>
            </w:r>
          </w:p>
        </w:tc>
      </w:tr>
      <w:tr>
        <w:tc>
          <w:tcPr>
            <w:tcW w:type="dxa" w:w="24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Start Here / Core Literacy</w:t>
            </w:r>
          </w:p>
        </w:tc>
        <w:tc>
          <w:tcPr>
            <w:tcW w:type="dxa" w:w="29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Beginners and token-community members</w:t>
            </w:r>
          </w:p>
        </w:tc>
        <w:tc>
          <w:tcPr>
            <w:tcW w:type="dxa" w:w="37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Understand wallets, Bitcoin, blockchain, Web3, risk, and safe participation.</w:t>
            </w:r>
          </w:p>
        </w:tc>
      </w:tr>
      <w:tr>
        <w:tc>
          <w:tcPr>
            <w:tcW w:type="dxa" w:w="24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Blockchain Foundations</w:t>
            </w:r>
          </w:p>
        </w:tc>
        <w:tc>
          <w:tcPr>
            <w:tcW w:type="dxa" w:w="29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Professionals and advisors</w:t>
            </w:r>
          </w:p>
        </w:tc>
        <w:tc>
          <w:tcPr>
            <w:tcW w:type="dxa" w:w="37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Explain blockchain mechanics, consensus, cryptography, wallets, dApps, and business use cases.</w:t>
            </w:r>
          </w:p>
        </w:tc>
      </w:tr>
      <w:tr>
        <w:tc>
          <w:tcPr>
            <w:tcW w:type="dxa" w:w="24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DeFi Practitioner</w:t>
            </w:r>
          </w:p>
        </w:tc>
        <w:tc>
          <w:tcPr>
            <w:tcW w:type="dxa" w:w="29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Beginner-to-intermediate users</w:t>
            </w:r>
          </w:p>
        </w:tc>
        <w:tc>
          <w:tcPr>
            <w:tcW w:type="dxa" w:w="37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Safely practice wallets, stablecoins, swaps, lending, governance, tokenization, and security.</w:t>
            </w:r>
          </w:p>
        </w:tc>
      </w:tr>
      <w:tr>
        <w:tc>
          <w:tcPr>
            <w:tcW w:type="dxa" w:w="24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Web3 Developer</w:t>
            </w:r>
          </w:p>
        </w:tc>
        <w:tc>
          <w:tcPr>
            <w:tcW w:type="dxa" w:w="29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Developers and technical learners</w:t>
            </w:r>
          </w:p>
        </w:tc>
        <w:tc>
          <w:tcPr>
            <w:tcW w:type="dxa" w:w="37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Build, test, secure, and ship Solidity contracts and Ethereum applications.</w:t>
            </w:r>
          </w:p>
        </w:tc>
      </w:tr>
      <w:tr>
        <w:tc>
          <w:tcPr>
            <w:tcW w:type="dxa" w:w="24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Architecture &amp; Enterprise</w:t>
            </w:r>
          </w:p>
        </w:tc>
        <w:tc>
          <w:tcPr>
            <w:tcW w:type="dxa" w:w="29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Architects, operators, business leaders</w:t>
            </w:r>
          </w:p>
        </w:tc>
        <w:tc>
          <w:tcPr>
            <w:tcW w:type="dxa" w:w="37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Evaluate platforms, governance, architecture, integration, risk, and adoption.</w:t>
            </w:r>
          </w:p>
        </w:tc>
      </w:tr>
      <w:tr>
        <w:tc>
          <w:tcPr>
            <w:tcW w:type="dxa" w:w="24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Security, Risk &amp; Compliance</w:t>
            </w:r>
          </w:p>
        </w:tc>
        <w:tc>
          <w:tcPr>
            <w:tcW w:type="dxa" w:w="29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Operators, analysts, regulated teams</w:t>
            </w:r>
          </w:p>
        </w:tc>
        <w:tc>
          <w:tcPr>
            <w:tcW w:type="dxa" w:w="37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Manage keys, cyber risk, smart-contract risk, data protection, and sanctions awareness.</w:t>
            </w:r>
          </w:p>
        </w:tc>
      </w:tr>
      <w:tr>
        <w:tc>
          <w:tcPr>
            <w:tcW w:type="dxa" w:w="24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AI Prompt Engineer</w:t>
            </w:r>
          </w:p>
        </w:tc>
        <w:tc>
          <w:tcPr>
            <w:tcW w:type="dxa" w:w="29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Creators, operators, marketers, developers</w:t>
            </w:r>
          </w:p>
        </w:tc>
        <w:tc>
          <w:tcPr>
            <w:tcW w:type="dxa" w:w="37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Use conversational, image, music, and developer-oriented generative AI workflows.</w:t>
            </w:r>
          </w:p>
        </w:tc>
      </w:tr>
      <w:tr>
        <w:tc>
          <w:tcPr>
            <w:tcW w:type="dxa" w:w="24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Web3 Growth &amp; Community</w:t>
            </w:r>
          </w:p>
        </w:tc>
        <w:tc>
          <w:tcPr>
            <w:tcW w:type="dxa" w:w="29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Founders, growth teams, community operators</w:t>
            </w:r>
          </w:p>
        </w:tc>
        <w:tc>
          <w:tcPr>
            <w:tcW w:type="dxa" w:w="37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Position, fund, distribute, and sustain a Web3 project responsibly.</w:t>
            </w:r>
          </w:p>
        </w:tc>
      </w:tr>
    </w:tbl>
    <w:p>
      <w:r>
        <w:br w:type="page"/>
      </w:r>
    </w:p>
    <w:p>
      <w:pPr>
        <w:pStyle w:val="Heading1"/>
        <w:pBdr>
          <w:bottom w:val="single" w:color="EE7200" w:sz="8" w:space="6"/>
        </w:pBdr>
        <w:spacing w:after="200" w:before="480"/>
      </w:pPr>
      <w:r>
        <w:rPr>
          <w:rFonts w:ascii="Calibri" w:cs="Calibri" w:eastAsia="Calibri" w:hAnsi="Calibri"/>
          <w:b/>
          <w:bCs/>
          <w:color w:val="EE7200"/>
          <w:sz w:val="30"/>
          <w:szCs w:val="30"/>
        </w:rPr>
        <w:t xml:space="preserve">3. Flagship Program Syllabus — Eight-Week Practical DeFi &amp; Web3 Finance Bootcamp</w:t>
      </w:r>
    </w:p>
    <w:p>
      <w:pPr>
        <w:spacing w:after="140" w:line="300"/>
      </w:pPr>
      <w:r>
        <w:rPr>
          <w:rFonts w:ascii="Georgia" w:cs="Georgia" w:eastAsia="Georgia" w:hAnsi="Georgia"/>
          <w:i/>
          <w:iCs/>
          <w:color w:val="1C1C1C"/>
          <w:sz w:val="21"/>
          <w:szCs w:val="21"/>
        </w:rPr>
        <w:t xml:space="preserve">Program promise: discover the future of finance and build practical confidence with digital finance, tokenization, and blockchain innovation — without requiring a technical background.</w:t>
      </w:r>
    </w:p>
    <w:p>
      <w:pPr>
        <w:pStyle w:val="Heading2"/>
        <w:spacing w:after="140" w:before="320"/>
      </w:pPr>
      <w:r>
        <w:rPr>
          <w:rFonts w:ascii="Calibri" w:cs="Calibri" w:eastAsia="Calibri" w:hAnsi="Calibri"/>
          <w:b/>
          <w:bCs/>
          <w:color w:val="1C1C1C"/>
          <w:sz w:val="24"/>
          <w:szCs w:val="24"/>
        </w:rPr>
        <w:t xml:space="preserve">Course Information</w:t>
      </w:r>
    </w:p>
    <w:tbl>
      <w:tblPr>
        <w:tblW w:type="dxa" w:w="9000"/>
        <w:tblBorders>
          <w:top w:val="single" w:color="D9D2C2" w:sz="4"/>
          <w:left w:val="single" w:color="D9D2C2" w:sz="4"/>
          <w:bottom w:val="single" w:color="D9D2C2" w:sz="4"/>
          <w:right w:val="single" w:color="D9D2C2" w:sz="4"/>
          <w:insideH w:val="single" w:color="D9D2C2" w:sz="4"/>
          <w:insideV w:val="single" w:color="D9D2C2" w:sz="4"/>
        </w:tblBorders>
      </w:tblPr>
      <w:tblGrid>
        <w:gridCol w:w="3200"/>
        <w:gridCol w:w="5800"/>
      </w:tblGrid>
      <w:tr>
        <w:trPr>
          <w:tblHeader/>
        </w:trPr>
        <w:tc>
          <w:tcPr>
            <w:tcW w:type="dxa" w:w="3200"/>
            <w:shd w:fill="1C1C1C" w:color="auto" w:val="clear"/>
            <w:tcMar>
              <w:top w:type="dxa" w:w="100"/>
              <w:left w:type="dxa" w:w="120"/>
              <w:bottom w:type="dxa" w:w="100"/>
              <w:right w:type="dxa" w:w="120"/>
            </w:tcMar>
            <w:vAlign w:val="center"/>
          </w:tcPr>
          <w:p>
            <w:r>
              <w:rPr>
                <w:rFonts w:ascii="Calibri" w:cs="Calibri" w:eastAsia="Calibri" w:hAnsi="Calibri"/>
                <w:b/>
                <w:bCs/>
                <w:color w:val="FFFFFF"/>
                <w:sz w:val="17"/>
                <w:szCs w:val="17"/>
              </w:rPr>
              <w:t xml:space="preserve">Attribute</w:t>
            </w:r>
          </w:p>
        </w:tc>
        <w:tc>
          <w:tcPr>
            <w:tcW w:type="dxa" w:w="5800"/>
            <w:shd w:fill="1C1C1C" w:color="auto" w:val="clear"/>
            <w:tcMar>
              <w:top w:type="dxa" w:w="100"/>
              <w:left w:type="dxa" w:w="120"/>
              <w:bottom w:type="dxa" w:w="100"/>
              <w:right w:type="dxa" w:w="120"/>
            </w:tcMar>
            <w:vAlign w:val="center"/>
          </w:tcPr>
          <w:p>
            <w:r>
              <w:rPr>
                <w:rFonts w:ascii="Calibri" w:cs="Calibri" w:eastAsia="Calibri" w:hAnsi="Calibri"/>
                <w:b/>
                <w:bCs/>
                <w:color w:val="FFFFFF"/>
                <w:sz w:val="17"/>
                <w:szCs w:val="17"/>
              </w:rPr>
              <w:t xml:space="preserve">Specification</w:t>
            </w:r>
          </w:p>
        </w:tc>
      </w:tr>
      <w:tr>
        <w:tc>
          <w:tcPr>
            <w:tcW w:type="dxa" w:w="3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Length</w:t>
            </w:r>
          </w:p>
        </w:tc>
        <w:tc>
          <w:tcPr>
            <w:tcW w:type="dxa" w:w="58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8 weeks</w:t>
            </w:r>
          </w:p>
        </w:tc>
      </w:tr>
      <w:tr>
        <w:tc>
          <w:tcPr>
            <w:tcW w:type="dxa" w:w="32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Format</w:t>
            </w:r>
          </w:p>
        </w:tc>
        <w:tc>
          <w:tcPr>
            <w:tcW w:type="dxa" w:w="58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Hands-on learning with practical exercises every week</w:t>
            </w:r>
          </w:p>
        </w:tc>
      </w:tr>
      <w:tr>
        <w:tc>
          <w:tcPr>
            <w:tcW w:type="dxa" w:w="3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Delivery</w:t>
            </w:r>
          </w:p>
        </w:tc>
        <w:tc>
          <w:tcPr>
            <w:tcW w:type="dxa" w:w="58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Flexible — online or on-site</w:t>
            </w:r>
          </w:p>
        </w:tc>
      </w:tr>
      <w:tr>
        <w:tc>
          <w:tcPr>
            <w:tcW w:type="dxa" w:w="32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Level</w:t>
            </w:r>
          </w:p>
        </w:tc>
        <w:tc>
          <w:tcPr>
            <w:tcW w:type="dxa" w:w="58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Beginner-friendly, no prior crypto experience required</w:t>
            </w:r>
          </w:p>
        </w:tc>
      </w:tr>
      <w:tr>
        <w:tc>
          <w:tcPr>
            <w:tcW w:type="dxa" w:w="3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Completion</w:t>
            </w:r>
          </w:p>
        </w:tc>
        <w:tc>
          <w:tcPr>
            <w:tcW w:type="dxa" w:w="58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Iron Vault Academy completion certificate</w:t>
            </w:r>
          </w:p>
        </w:tc>
      </w:tr>
    </w:tbl>
    <w:p>
      <w:pPr>
        <w:spacing w:after="140" w:line="300"/>
      </w:pPr>
      <w:r>
        <w:rPr>
          <w:rFonts w:ascii="Georgia" w:cs="Georgia" w:eastAsia="Georgia" w:hAnsi="Georgia"/>
          <w:i w:val="false"/>
          <w:iCs w:val="false"/>
          <w:color w:val="1C1C1C"/>
          <w:sz w:val="21"/>
          <w:szCs w:val="21"/>
        </w:rPr>
        <w:t xml:space="preserve"/>
      </w:r>
    </w:p>
    <w:p>
      <w:pPr>
        <w:pStyle w:val="Heading2"/>
        <w:spacing w:after="140" w:before="320"/>
      </w:pPr>
      <w:r>
        <w:rPr>
          <w:rFonts w:ascii="Calibri" w:cs="Calibri" w:eastAsia="Calibri" w:hAnsi="Calibri"/>
          <w:b/>
          <w:bCs/>
          <w:color w:val="1C1C1C"/>
          <w:sz w:val="24"/>
          <w:szCs w:val="24"/>
        </w:rPr>
        <w:t xml:space="preserve">Who This Program Is For</w:t>
      </w:r>
    </w:p>
    <w:p>
      <w:pPr>
        <w:spacing w:after="140" w:line="300"/>
      </w:pPr>
      <w:r>
        <w:rPr>
          <w:rFonts w:ascii="Georgia" w:cs="Georgia" w:eastAsia="Georgia" w:hAnsi="Georgia"/>
          <w:i w:val="false"/>
          <w:iCs w:val="false"/>
          <w:color w:val="1C1C1C"/>
          <w:sz w:val="21"/>
          <w:szCs w:val="21"/>
        </w:rPr>
        <w:t xml:space="preserve">This program is designed for entrepreneurs, professionals, finance enthusiasts, community leaders, young adults and career explorers, and any learner with no prior crypto experience.</w:t>
      </w:r>
    </w:p>
    <w:p>
      <w:pPr>
        <w:pStyle w:val="Heading2"/>
        <w:spacing w:after="140" w:before="320"/>
      </w:pPr>
      <w:r>
        <w:rPr>
          <w:rFonts w:ascii="Calibri" w:cs="Calibri" w:eastAsia="Calibri" w:hAnsi="Calibri"/>
          <w:b/>
          <w:bCs/>
          <w:color w:val="1C1C1C"/>
          <w:sz w:val="24"/>
          <w:szCs w:val="24"/>
        </w:rPr>
        <w:t xml:space="preserve">Weekly Schedule</w:t>
      </w:r>
    </w:p>
    <w:tbl>
      <w:tblPr>
        <w:tblW w:type="dxa" w:w="10000"/>
        <w:tblBorders>
          <w:top w:val="single" w:color="D9D2C2" w:sz="4"/>
          <w:left w:val="single" w:color="D9D2C2" w:sz="4"/>
          <w:bottom w:val="single" w:color="D9D2C2" w:sz="4"/>
          <w:right w:val="single" w:color="D9D2C2" w:sz="4"/>
          <w:insideH w:val="single" w:color="D9D2C2" w:sz="4"/>
          <w:insideV w:val="single" w:color="D9D2C2" w:sz="4"/>
        </w:tblBorders>
      </w:tblPr>
      <w:tblGrid>
        <w:gridCol w:w="700"/>
        <w:gridCol w:w="2500"/>
        <w:gridCol w:w="4300"/>
        <w:gridCol w:w="2500"/>
      </w:tblGrid>
      <w:tr>
        <w:trPr>
          <w:tblHeader/>
        </w:trPr>
        <w:tc>
          <w:tcPr>
            <w:tcW w:type="dxa" w:w="700"/>
            <w:shd w:fill="1C1C1C" w:color="auto" w:val="clear"/>
            <w:tcMar>
              <w:top w:type="dxa" w:w="100"/>
              <w:left w:type="dxa" w:w="120"/>
              <w:bottom w:type="dxa" w:w="100"/>
              <w:right w:type="dxa" w:w="120"/>
            </w:tcMar>
            <w:vAlign w:val="center"/>
          </w:tcPr>
          <w:p>
            <w:r>
              <w:rPr>
                <w:rFonts w:ascii="Calibri" w:cs="Calibri" w:eastAsia="Calibri" w:hAnsi="Calibri"/>
                <w:b/>
                <w:bCs/>
                <w:color w:val="FFFFFF"/>
                <w:sz w:val="17"/>
                <w:szCs w:val="17"/>
              </w:rPr>
              <w:t xml:space="preserve">Wk</w:t>
            </w:r>
          </w:p>
        </w:tc>
        <w:tc>
          <w:tcPr>
            <w:tcW w:type="dxa" w:w="2500"/>
            <w:shd w:fill="1C1C1C" w:color="auto" w:val="clear"/>
            <w:tcMar>
              <w:top w:type="dxa" w:w="100"/>
              <w:left w:type="dxa" w:w="120"/>
              <w:bottom w:type="dxa" w:w="100"/>
              <w:right w:type="dxa" w:w="120"/>
            </w:tcMar>
            <w:vAlign w:val="center"/>
          </w:tcPr>
          <w:p>
            <w:r>
              <w:rPr>
                <w:rFonts w:ascii="Calibri" w:cs="Calibri" w:eastAsia="Calibri" w:hAnsi="Calibri"/>
                <w:b/>
                <w:bCs/>
                <w:color w:val="FFFFFF"/>
                <w:sz w:val="17"/>
                <w:szCs w:val="17"/>
              </w:rPr>
              <w:t xml:space="preserve">Theme</w:t>
            </w:r>
          </w:p>
        </w:tc>
        <w:tc>
          <w:tcPr>
            <w:tcW w:type="dxa" w:w="4300"/>
            <w:shd w:fill="1C1C1C" w:color="auto" w:val="clear"/>
            <w:tcMar>
              <w:top w:type="dxa" w:w="100"/>
              <w:left w:type="dxa" w:w="120"/>
              <w:bottom w:type="dxa" w:w="100"/>
              <w:right w:type="dxa" w:w="120"/>
            </w:tcMar>
            <w:vAlign w:val="center"/>
          </w:tcPr>
          <w:p>
            <w:r>
              <w:rPr>
                <w:rFonts w:ascii="Calibri" w:cs="Calibri" w:eastAsia="Calibri" w:hAnsi="Calibri"/>
                <w:b/>
                <w:bCs/>
                <w:color w:val="FFFFFF"/>
                <w:sz w:val="17"/>
                <w:szCs w:val="17"/>
              </w:rPr>
              <w:t xml:space="preserve">Core Topics</w:t>
            </w:r>
          </w:p>
        </w:tc>
        <w:tc>
          <w:tcPr>
            <w:tcW w:type="dxa" w:w="2500"/>
            <w:shd w:fill="1C1C1C" w:color="auto" w:val="clear"/>
            <w:tcMar>
              <w:top w:type="dxa" w:w="100"/>
              <w:left w:type="dxa" w:w="120"/>
              <w:bottom w:type="dxa" w:w="100"/>
              <w:right w:type="dxa" w:w="120"/>
            </w:tcMar>
            <w:vAlign w:val="center"/>
          </w:tcPr>
          <w:p>
            <w:r>
              <w:rPr>
                <w:rFonts w:ascii="Calibri" w:cs="Calibri" w:eastAsia="Calibri" w:hAnsi="Calibri"/>
                <w:b/>
                <w:bCs/>
                <w:color w:val="FFFFFF"/>
                <w:sz w:val="17"/>
                <w:szCs w:val="17"/>
              </w:rPr>
              <w:t xml:space="preserve">Practical Outcome</w:t>
            </w:r>
          </w:p>
        </w:tc>
      </w:tr>
      <w:tr>
        <w:tc>
          <w:tcPr>
            <w:tcW w:type="dxa" w:w="7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1</w:t>
            </w:r>
          </w:p>
        </w:tc>
        <w:tc>
          <w:tcPr>
            <w:tcW w:type="dxa" w:w="25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Welcome to Web3 &amp; Why DeFi Matters</w:t>
            </w:r>
          </w:p>
        </w:tc>
        <w:tc>
          <w:tcPr>
            <w:tcW w:type="dxa" w:w="43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Web1 → Web2 → Web3 evolution; blockchain and decentralization basics; DeFi fundamentals and safety.</w:t>
            </w:r>
          </w:p>
        </w:tc>
        <w:tc>
          <w:tcPr>
            <w:tcW w:type="dxa" w:w="25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Explain the DeFi landscape and identify relevant opportunities and risks.</w:t>
            </w:r>
          </w:p>
        </w:tc>
      </w:tr>
      <w:tr>
        <w:tc>
          <w:tcPr>
            <w:tcW w:type="dxa" w:w="7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2</w:t>
            </w:r>
          </w:p>
        </w:tc>
        <w:tc>
          <w:tcPr>
            <w:tcW w:type="dxa" w:w="25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Your First Wallet &amp; Moving Money</w:t>
            </w:r>
          </w:p>
        </w:tc>
        <w:tc>
          <w:tcPr>
            <w:tcW w:type="dxa" w:w="43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Hot vs. cold wallets; security best practices; send and receive crypto on testnet.</w:t>
            </w:r>
          </w:p>
        </w:tc>
        <w:tc>
          <w:tcPr>
            <w:tcW w:type="dxa" w:w="25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Create a secure practice wallet and complete test transactions.</w:t>
            </w:r>
          </w:p>
        </w:tc>
      </w:tr>
      <w:tr>
        <w:tc>
          <w:tcPr>
            <w:tcW w:type="dxa" w:w="7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3</w:t>
            </w:r>
          </w:p>
        </w:tc>
        <w:tc>
          <w:tcPr>
            <w:tcW w:type="dxa" w:w="25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Stablecoins and Digital Dollars</w:t>
            </w:r>
          </w:p>
        </w:tc>
        <w:tc>
          <w:tcPr>
            <w:tcW w:type="dxa" w:w="43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USDT, USDC, DAI, and other stablecoin models; centralized vs. decentralized; remittance, settlement, and savings use cases.</w:t>
            </w:r>
          </w:p>
        </w:tc>
        <w:tc>
          <w:tcPr>
            <w:tcW w:type="dxa" w:w="25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Explain stablecoin models and evaluate cross-border and treasury use cases.</w:t>
            </w:r>
          </w:p>
        </w:tc>
      </w:tr>
      <w:tr>
        <w:tc>
          <w:tcPr>
            <w:tcW w:type="dxa" w:w="7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4</w:t>
            </w:r>
          </w:p>
        </w:tc>
        <w:tc>
          <w:tcPr>
            <w:tcW w:type="dxa" w:w="25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Trading Without Banks — DEXs</w:t>
            </w:r>
          </w:p>
        </w:tc>
        <w:tc>
          <w:tcPr>
            <w:tcW w:type="dxa" w:w="43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Uniswap and PancakeSwap basics; liquidity pools; CEX vs. DEX comparison.</w:t>
            </w:r>
          </w:p>
        </w:tc>
        <w:tc>
          <w:tcPr>
            <w:tcW w:type="dxa" w:w="25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Execute a practice token swap and explain liquidity mechanics.</w:t>
            </w:r>
          </w:p>
        </w:tc>
      </w:tr>
      <w:tr>
        <w:tc>
          <w:tcPr>
            <w:tcW w:type="dxa" w:w="7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5</w:t>
            </w:r>
          </w:p>
        </w:tc>
        <w:tc>
          <w:tcPr>
            <w:tcW w:type="dxa" w:w="25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Lending, Borrowing &amp; Yield</w:t>
            </w:r>
          </w:p>
        </w:tc>
        <w:tc>
          <w:tcPr>
            <w:tcW w:type="dxa" w:w="43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Aave and Compound; collateral and liquidation; yield-farming fundamentals.</w:t>
            </w:r>
          </w:p>
        </w:tc>
        <w:tc>
          <w:tcPr>
            <w:tcW w:type="dxa" w:w="25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Calculate example positions and explain yield, leverage, collateral, and liquidation risk.</w:t>
            </w:r>
          </w:p>
        </w:tc>
      </w:tr>
      <w:tr>
        <w:tc>
          <w:tcPr>
            <w:tcW w:type="dxa" w:w="7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6</w:t>
            </w:r>
          </w:p>
        </w:tc>
        <w:tc>
          <w:tcPr>
            <w:tcW w:type="dxa" w:w="25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DAOs and Digital Cooperatives</w:t>
            </w:r>
          </w:p>
        </w:tc>
        <w:tc>
          <w:tcPr>
            <w:tcW w:type="dxa" w:w="43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DAO fundamentals and governance; token-based voting; organizational and community applications.</w:t>
            </w:r>
          </w:p>
        </w:tc>
        <w:tc>
          <w:tcPr>
            <w:tcW w:type="dxa" w:w="25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Participate in a simulated governance proposal and vote.</w:t>
            </w:r>
          </w:p>
        </w:tc>
      </w:tr>
      <w:tr>
        <w:tc>
          <w:tcPr>
            <w:tcW w:type="dxa" w:w="7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7</w:t>
            </w:r>
          </w:p>
        </w:tc>
        <w:tc>
          <w:tcPr>
            <w:tcW w:type="dxa" w:w="25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NFTs &amp; Tokenization of Assets</w:t>
            </w:r>
          </w:p>
        </w:tc>
        <w:tc>
          <w:tcPr>
            <w:tcW w:type="dxa" w:w="43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NFTs beyond art — access, tickets, identity, property claims; fractional ownership concepts; digital ownership models.</w:t>
            </w:r>
          </w:p>
        </w:tc>
        <w:tc>
          <w:tcPr>
            <w:tcW w:type="dxa" w:w="25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Mint a practice NFT and explain tokenization models and limitations.</w:t>
            </w:r>
          </w:p>
        </w:tc>
      </w:tr>
      <w:tr>
        <w:tc>
          <w:tcPr>
            <w:tcW w:type="dxa" w:w="7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8</w:t>
            </w:r>
          </w:p>
        </w:tc>
        <w:tc>
          <w:tcPr>
            <w:tcW w:type="dxa" w:w="25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Security &amp; the Future of Web3</w:t>
            </w:r>
          </w:p>
        </w:tc>
        <w:tc>
          <w:tcPr>
            <w:tcW w:type="dxa" w:w="43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Common threats; security tools and practices; regulation; career and participation pathways.</w:t>
            </w:r>
          </w:p>
        </w:tc>
        <w:tc>
          <w:tcPr>
            <w:tcW w:type="dxa" w:w="25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Graduate able to navigate core Web3 activities with a documented safety framework.</w:t>
            </w:r>
          </w:p>
        </w:tc>
      </w:tr>
    </w:tbl>
    <w:p>
      <w:pPr>
        <w:spacing w:after="140" w:line="300"/>
      </w:pPr>
      <w:r>
        <w:rPr>
          <w:rFonts w:ascii="Georgia" w:cs="Georgia" w:eastAsia="Georgia" w:hAnsi="Georgia"/>
          <w:i w:val="false"/>
          <w:iCs w:val="false"/>
          <w:color w:val="1C1C1C"/>
          <w:sz w:val="21"/>
          <w:szCs w:val="21"/>
        </w:rPr>
        <w:t xml:space="preserve"/>
      </w:r>
    </w:p>
    <w:p>
      <w:pPr>
        <w:pStyle w:val="Heading2"/>
        <w:spacing w:after="140" w:before="320"/>
      </w:pPr>
      <w:r>
        <w:rPr>
          <w:rFonts w:ascii="Calibri" w:cs="Calibri" w:eastAsia="Calibri" w:hAnsi="Calibri"/>
          <w:b/>
          <w:bCs/>
          <w:color w:val="1C1C1C"/>
          <w:sz w:val="24"/>
          <w:szCs w:val="24"/>
        </w:rPr>
        <w:t xml:space="preserve">Graduation Capabilities</w:t>
      </w:r>
    </w:p>
    <w:p>
      <w:pPr>
        <w:spacing w:after="140" w:line="300"/>
      </w:pPr>
      <w:r>
        <w:rPr>
          <w:rFonts w:ascii="Georgia" w:cs="Georgia" w:eastAsia="Georgia" w:hAnsi="Georgia"/>
          <w:i w:val="false"/>
          <w:iCs w:val="false"/>
          <w:color w:val="1C1C1C"/>
          <w:sz w:val="21"/>
          <w:szCs w:val="21"/>
        </w:rPr>
        <w:t xml:space="preserve">By the end of the program, learners will be able to:</w:t>
      </w:r>
    </w:p>
    <w:p>
      <w:pPr>
        <w:pStyle w:val="ListParagraph"/>
        <w:numPr>
          <w:ilvl w:val="0"/>
          <w:numId w:val="1"/>
        </w:numPr>
        <w:spacing w:after="80" w:line="280"/>
      </w:pPr>
      <w:r>
        <w:rPr>
          <w:rFonts w:ascii="Georgia" w:cs="Georgia" w:eastAsia="Georgia" w:hAnsi="Georgia"/>
          <w:color w:val="1C1C1C"/>
          <w:sz w:val="20"/>
          <w:szCs w:val="20"/>
        </w:rPr>
        <w:t xml:space="preserve">Create and secure a practice crypto wallet.</w:t>
      </w:r>
    </w:p>
    <w:p>
      <w:pPr>
        <w:pStyle w:val="ListParagraph"/>
        <w:numPr>
          <w:ilvl w:val="0"/>
          <w:numId w:val="1"/>
        </w:numPr>
        <w:spacing w:after="80" w:line="280"/>
      </w:pPr>
      <w:r>
        <w:rPr>
          <w:rFonts w:ascii="Georgia" w:cs="Georgia" w:eastAsia="Georgia" w:hAnsi="Georgia"/>
          <w:color w:val="1C1C1C"/>
          <w:sz w:val="20"/>
          <w:szCs w:val="20"/>
        </w:rPr>
        <w:t xml:space="preserve">Send, receive, and swap tokens on testnets or controlled learning environments.</w:t>
      </w:r>
    </w:p>
    <w:p>
      <w:pPr>
        <w:pStyle w:val="ListParagraph"/>
        <w:numPr>
          <w:ilvl w:val="0"/>
          <w:numId w:val="1"/>
        </w:numPr>
        <w:spacing w:after="80" w:line="280"/>
      </w:pPr>
      <w:r>
        <w:rPr>
          <w:rFonts w:ascii="Georgia" w:cs="Georgia" w:eastAsia="Georgia" w:hAnsi="Georgia"/>
          <w:color w:val="1C1C1C"/>
          <w:sz w:val="20"/>
          <w:szCs w:val="20"/>
        </w:rPr>
        <w:t xml:space="preserve">Explain DeFi lending, borrowing, yield, collateral, and liquidation risk.</w:t>
      </w:r>
    </w:p>
    <w:p>
      <w:pPr>
        <w:pStyle w:val="ListParagraph"/>
        <w:numPr>
          <w:ilvl w:val="0"/>
          <w:numId w:val="1"/>
        </w:numPr>
        <w:spacing w:after="80" w:line="280"/>
      </w:pPr>
      <w:r>
        <w:rPr>
          <w:rFonts w:ascii="Georgia" w:cs="Georgia" w:eastAsia="Georgia" w:hAnsi="Georgia"/>
          <w:color w:val="1C1C1C"/>
          <w:sz w:val="20"/>
          <w:szCs w:val="20"/>
        </w:rPr>
        <w:t xml:space="preserve">Participate in a simulated DAO governance vote.</w:t>
      </w:r>
    </w:p>
    <w:p>
      <w:pPr>
        <w:pStyle w:val="ListParagraph"/>
        <w:numPr>
          <w:ilvl w:val="0"/>
          <w:numId w:val="1"/>
        </w:numPr>
        <w:spacing w:after="80" w:line="280"/>
      </w:pPr>
      <w:r>
        <w:rPr>
          <w:rFonts w:ascii="Georgia" w:cs="Georgia" w:eastAsia="Georgia" w:hAnsi="Georgia"/>
          <w:color w:val="1C1C1C"/>
          <w:sz w:val="20"/>
          <w:szCs w:val="20"/>
        </w:rPr>
        <w:t xml:space="preserve">Mint a simple practice NFT and explain tokenization.</w:t>
      </w:r>
    </w:p>
    <w:p>
      <w:pPr>
        <w:pStyle w:val="ListParagraph"/>
        <w:numPr>
          <w:ilvl w:val="0"/>
          <w:numId w:val="1"/>
        </w:numPr>
        <w:spacing w:after="80" w:line="280"/>
      </w:pPr>
      <w:r>
        <w:rPr>
          <w:rFonts w:ascii="Georgia" w:cs="Georgia" w:eastAsia="Georgia" w:hAnsi="Georgia"/>
          <w:color w:val="1C1C1C"/>
          <w:sz w:val="20"/>
          <w:szCs w:val="20"/>
        </w:rPr>
        <w:t xml:space="preserve">Explain how Web3 tools can support finance, organizations, ownership, and coordination.</w:t>
      </w:r>
    </w:p>
    <w:p>
      <w:pPr>
        <w:pStyle w:val="ListParagraph"/>
        <w:numPr>
          <w:ilvl w:val="0"/>
          <w:numId w:val="1"/>
        </w:numPr>
        <w:spacing w:after="80" w:line="280"/>
      </w:pPr>
      <w:r>
        <w:rPr>
          <w:rFonts w:ascii="Georgia" w:cs="Georgia" w:eastAsia="Georgia" w:hAnsi="Georgia"/>
          <w:color w:val="1C1C1C"/>
          <w:sz w:val="20"/>
          <w:szCs w:val="20"/>
        </w:rPr>
        <w:t xml:space="preserve">Earn an Iron Vault Academy completion certificate after verified completion.</w:t>
      </w:r>
    </w:p>
    <w:p>
      <w:r>
        <w:br w:type="page"/>
      </w:r>
    </w:p>
    <w:p>
      <w:pPr>
        <w:pStyle w:val="Heading1"/>
        <w:pBdr>
          <w:bottom w:val="single" w:color="EE7200" w:sz="8" w:space="6"/>
        </w:pBdr>
        <w:spacing w:after="200" w:before="480"/>
      </w:pPr>
      <w:r>
        <w:rPr>
          <w:rFonts w:ascii="Calibri" w:cs="Calibri" w:eastAsia="Calibri" w:hAnsi="Calibri"/>
          <w:b/>
          <w:bCs/>
          <w:color w:val="EE7200"/>
          <w:sz w:val="30"/>
          <w:szCs w:val="30"/>
        </w:rPr>
        <w:t xml:space="preserve">4. Core Course Syllabus — Blockchain Foundations</w:t>
      </w:r>
    </w:p>
    <w:p>
      <w:pPr>
        <w:spacing w:after="140" w:line="300"/>
      </w:pPr>
      <w:r>
        <w:rPr>
          <w:rFonts w:ascii="Georgia" w:cs="Georgia" w:eastAsia="Georgia" w:hAnsi="Georgia"/>
          <w:i/>
          <w:iCs/>
          <w:color w:val="1C1C1C"/>
          <w:sz w:val="21"/>
          <w:szCs w:val="21"/>
        </w:rPr>
        <w:t xml:space="preserve">Course promise: educate and empower learners to confidently discuss digital-asset technologies with their sector, clients, and colleagues.</w:t>
      </w:r>
    </w:p>
    <w:p>
      <w:pPr>
        <w:spacing w:after="140" w:line="300"/>
      </w:pPr>
      <w:r>
        <w:rPr>
          <w:rFonts w:ascii="Georgia" w:cs="Georgia" w:eastAsia="Georgia" w:hAnsi="Georgia"/>
          <w:i w:val="false"/>
          <w:iCs w:val="false"/>
          <w:color w:val="1C1C1C"/>
          <w:sz w:val="21"/>
          <w:szCs w:val="21"/>
        </w:rPr>
        <w:t xml:space="preserve">Course description: this course introduces blockchain, Bitcoin, and distributed ledgers. Learners study how blockchain works, explore Bitcoin, review the technology’s history, and examine practical and emerging uses across finance and other business areas. The objective is to build a solid foundation for understanding how blockchain may affect operations, information safeguards, and industry structures.</w:t>
      </w:r>
    </w:p>
    <w:p>
      <w:pPr>
        <w:pStyle w:val="Heading2"/>
        <w:spacing w:after="140" w:before="320"/>
      </w:pPr>
      <w:r>
        <w:rPr>
          <w:rFonts w:ascii="Calibri" w:cs="Calibri" w:eastAsia="Calibri" w:hAnsi="Calibri"/>
          <w:b/>
          <w:bCs/>
          <w:color w:val="1C1C1C"/>
          <w:sz w:val="24"/>
          <w:szCs w:val="24"/>
        </w:rPr>
        <w:t xml:space="preserve">Course Information</w:t>
      </w:r>
    </w:p>
    <w:tbl>
      <w:tblPr>
        <w:tblW w:type="dxa" w:w="9000"/>
        <w:tblBorders>
          <w:top w:val="single" w:color="D9D2C2" w:sz="4"/>
          <w:left w:val="single" w:color="D9D2C2" w:sz="4"/>
          <w:bottom w:val="single" w:color="D9D2C2" w:sz="4"/>
          <w:right w:val="single" w:color="D9D2C2" w:sz="4"/>
          <w:insideH w:val="single" w:color="D9D2C2" w:sz="4"/>
          <w:insideV w:val="single" w:color="D9D2C2" w:sz="4"/>
        </w:tblBorders>
      </w:tblPr>
      <w:tblGrid>
        <w:gridCol w:w="3200"/>
        <w:gridCol w:w="5800"/>
      </w:tblGrid>
      <w:tr>
        <w:trPr>
          <w:tblHeader/>
        </w:trPr>
        <w:tc>
          <w:tcPr>
            <w:tcW w:type="dxa" w:w="3200"/>
            <w:shd w:fill="1C1C1C" w:color="auto" w:val="clear"/>
            <w:tcMar>
              <w:top w:type="dxa" w:w="100"/>
              <w:left w:type="dxa" w:w="120"/>
              <w:bottom w:type="dxa" w:w="100"/>
              <w:right w:type="dxa" w:w="120"/>
            </w:tcMar>
            <w:vAlign w:val="center"/>
          </w:tcPr>
          <w:p>
            <w:r>
              <w:rPr>
                <w:rFonts w:ascii="Calibri" w:cs="Calibri" w:eastAsia="Calibri" w:hAnsi="Calibri"/>
                <w:b/>
                <w:bCs/>
                <w:color w:val="FFFFFF"/>
                <w:sz w:val="17"/>
                <w:szCs w:val="17"/>
              </w:rPr>
              <w:t xml:space="preserve">Attribute</w:t>
            </w:r>
          </w:p>
        </w:tc>
        <w:tc>
          <w:tcPr>
            <w:tcW w:type="dxa" w:w="5800"/>
            <w:shd w:fill="1C1C1C" w:color="auto" w:val="clear"/>
            <w:tcMar>
              <w:top w:type="dxa" w:w="100"/>
              <w:left w:type="dxa" w:w="120"/>
              <w:bottom w:type="dxa" w:w="100"/>
              <w:right w:type="dxa" w:w="120"/>
            </w:tcMar>
            <w:vAlign w:val="center"/>
          </w:tcPr>
          <w:p>
            <w:r>
              <w:rPr>
                <w:rFonts w:ascii="Calibri" w:cs="Calibri" w:eastAsia="Calibri" w:hAnsi="Calibri"/>
                <w:b/>
                <w:bCs/>
                <w:color w:val="FFFFFF"/>
                <w:sz w:val="17"/>
                <w:szCs w:val="17"/>
              </w:rPr>
              <w:t xml:space="preserve">Specification</w:t>
            </w:r>
          </w:p>
        </w:tc>
      </w:tr>
      <w:tr>
        <w:tc>
          <w:tcPr>
            <w:tcW w:type="dxa" w:w="3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Total hours</w:t>
            </w:r>
          </w:p>
        </w:tc>
        <w:tc>
          <w:tcPr>
            <w:tcW w:type="dxa" w:w="58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5</w:t>
            </w:r>
          </w:p>
        </w:tc>
      </w:tr>
      <w:tr>
        <w:tc>
          <w:tcPr>
            <w:tcW w:type="dxa" w:w="32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On-demand video</w:t>
            </w:r>
          </w:p>
        </w:tc>
        <w:tc>
          <w:tcPr>
            <w:tcW w:type="dxa" w:w="58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4 hours</w:t>
            </w:r>
          </w:p>
        </w:tc>
      </w:tr>
      <w:tr>
        <w:tc>
          <w:tcPr>
            <w:tcW w:type="dxa" w:w="3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Self-study</w:t>
            </w:r>
          </w:p>
        </w:tc>
        <w:tc>
          <w:tcPr>
            <w:tcW w:type="dxa" w:w="58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1 hour</w:t>
            </w:r>
          </w:p>
        </w:tc>
      </w:tr>
      <w:tr>
        <w:tc>
          <w:tcPr>
            <w:tcW w:type="dxa" w:w="32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Live workshop</w:t>
            </w:r>
          </w:p>
        </w:tc>
        <w:tc>
          <w:tcPr>
            <w:tcW w:type="dxa" w:w="58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0 required hours</w:t>
            </w:r>
          </w:p>
        </w:tc>
      </w:tr>
      <w:tr>
        <w:tc>
          <w:tcPr>
            <w:tcW w:type="dxa" w:w="3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Optional support</w:t>
            </w:r>
          </w:p>
        </w:tc>
        <w:tc>
          <w:tcPr>
            <w:tcW w:type="dxa" w:w="58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Live student orientation; live instructor-led AMA</w:t>
            </w:r>
          </w:p>
        </w:tc>
      </w:tr>
      <w:tr>
        <w:tc>
          <w:tcPr>
            <w:tcW w:type="dxa" w:w="32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Assessment standard</w:t>
            </w:r>
          </w:p>
        </w:tc>
        <w:tc>
          <w:tcPr>
            <w:tcW w:type="dxa" w:w="58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Checkpoint quizzes plus final exam; 70% required; three final-exam attempts</w:t>
            </w:r>
          </w:p>
        </w:tc>
      </w:tr>
      <w:tr>
        <w:tc>
          <w:tcPr>
            <w:tcW w:type="dxa" w:w="3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Completion evidence</w:t>
            </w:r>
          </w:p>
        </w:tc>
        <w:tc>
          <w:tcPr>
            <w:tcW w:type="dxa" w:w="58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Iron Vault Academy completion certificate or digital completion credential</w:t>
            </w:r>
          </w:p>
        </w:tc>
      </w:tr>
    </w:tbl>
    <w:p>
      <w:pPr>
        <w:spacing w:after="140" w:line="300"/>
      </w:pPr>
      <w:r>
        <w:rPr>
          <w:rFonts w:ascii="Georgia" w:cs="Georgia" w:eastAsia="Georgia" w:hAnsi="Georgia"/>
          <w:i w:val="false"/>
          <w:iCs w:val="false"/>
          <w:color w:val="1C1C1C"/>
          <w:sz w:val="21"/>
          <w:szCs w:val="21"/>
        </w:rPr>
        <w:t xml:space="preserve"/>
      </w:r>
    </w:p>
    <w:p>
      <w:pPr>
        <w:pStyle w:val="Heading2"/>
        <w:spacing w:after="140" w:before="320"/>
      </w:pPr>
      <w:r>
        <w:rPr>
          <w:rFonts w:ascii="Calibri" w:cs="Calibri" w:eastAsia="Calibri" w:hAnsi="Calibri"/>
          <w:b/>
          <w:bCs/>
          <w:color w:val="1C1C1C"/>
          <w:sz w:val="24"/>
          <w:szCs w:val="24"/>
        </w:rPr>
        <w:t xml:space="preserve">Questions Explored</w:t>
      </w:r>
    </w:p>
    <w:p>
      <w:pPr>
        <w:pStyle w:val="ListParagraph"/>
        <w:numPr>
          <w:ilvl w:val="0"/>
          <w:numId w:val="1"/>
        </w:numPr>
        <w:spacing w:after="80" w:line="280"/>
      </w:pPr>
      <w:r>
        <w:rPr>
          <w:rFonts w:ascii="Georgia" w:cs="Georgia" w:eastAsia="Georgia" w:hAnsi="Georgia"/>
          <w:color w:val="1C1C1C"/>
          <w:sz w:val="20"/>
          <w:szCs w:val="20"/>
        </w:rPr>
        <w:t xml:space="preserve">How does blockchain work?</w:t>
      </w:r>
    </w:p>
    <w:p>
      <w:pPr>
        <w:pStyle w:val="ListParagraph"/>
        <w:numPr>
          <w:ilvl w:val="0"/>
          <w:numId w:val="1"/>
        </w:numPr>
        <w:spacing w:after="80" w:line="280"/>
      </w:pPr>
      <w:r>
        <w:rPr>
          <w:rFonts w:ascii="Georgia" w:cs="Georgia" w:eastAsia="Georgia" w:hAnsi="Georgia"/>
          <w:color w:val="1C1C1C"/>
          <w:sz w:val="20"/>
          <w:szCs w:val="20"/>
        </w:rPr>
        <w:t xml:space="preserve">What are mining and hashing?</w:t>
      </w:r>
    </w:p>
    <w:p>
      <w:pPr>
        <w:pStyle w:val="ListParagraph"/>
        <w:numPr>
          <w:ilvl w:val="0"/>
          <w:numId w:val="1"/>
        </w:numPr>
        <w:spacing w:after="80" w:line="280"/>
      </w:pPr>
      <w:r>
        <w:rPr>
          <w:rFonts w:ascii="Georgia" w:cs="Georgia" w:eastAsia="Georgia" w:hAnsi="Georgia"/>
          <w:color w:val="1C1C1C"/>
          <w:sz w:val="20"/>
          <w:szCs w:val="20"/>
        </w:rPr>
        <w:t xml:space="preserve">How do digital wallets differ in their capabilities?</w:t>
      </w:r>
    </w:p>
    <w:p>
      <w:pPr>
        <w:pStyle w:val="ListParagraph"/>
        <w:numPr>
          <w:ilvl w:val="0"/>
          <w:numId w:val="1"/>
        </w:numPr>
        <w:spacing w:after="80" w:line="280"/>
      </w:pPr>
      <w:r>
        <w:rPr>
          <w:rFonts w:ascii="Georgia" w:cs="Georgia" w:eastAsia="Georgia" w:hAnsi="Georgia"/>
          <w:color w:val="1C1C1C"/>
          <w:sz w:val="20"/>
          <w:szCs w:val="20"/>
        </w:rPr>
        <w:t xml:space="preserve">What are smart contracts, and how may they change operations?</w:t>
      </w:r>
    </w:p>
    <w:p>
      <w:pPr>
        <w:pStyle w:val="ListParagraph"/>
        <w:numPr>
          <w:ilvl w:val="0"/>
          <w:numId w:val="1"/>
        </w:numPr>
        <w:spacing w:after="80" w:line="280"/>
      </w:pPr>
      <w:r>
        <w:rPr>
          <w:rFonts w:ascii="Georgia" w:cs="Georgia" w:eastAsia="Georgia" w:hAnsi="Georgia"/>
          <w:color w:val="1C1C1C"/>
          <w:sz w:val="20"/>
          <w:szCs w:val="20"/>
        </w:rPr>
        <w:t xml:space="preserve">What are the nuances of private, public, and hybrid blockchains?</w:t>
      </w:r>
    </w:p>
    <w:p>
      <w:pPr>
        <w:pStyle w:val="ListParagraph"/>
        <w:numPr>
          <w:ilvl w:val="0"/>
          <w:numId w:val="1"/>
        </w:numPr>
        <w:spacing w:after="80" w:line="280"/>
      </w:pPr>
      <w:r>
        <w:rPr>
          <w:rFonts w:ascii="Georgia" w:cs="Georgia" w:eastAsia="Georgia" w:hAnsi="Georgia"/>
          <w:color w:val="1C1C1C"/>
          <w:sz w:val="20"/>
          <w:szCs w:val="20"/>
        </w:rPr>
        <w:t xml:space="preserve">How do permissioned and permissionless blockchains differ?</w:t>
      </w:r>
    </w:p>
    <w:p>
      <w:pPr>
        <w:pStyle w:val="ListParagraph"/>
        <w:numPr>
          <w:ilvl w:val="0"/>
          <w:numId w:val="1"/>
        </w:numPr>
        <w:spacing w:after="80" w:line="280"/>
      </w:pPr>
      <w:r>
        <w:rPr>
          <w:rFonts w:ascii="Georgia" w:cs="Georgia" w:eastAsia="Georgia" w:hAnsi="Georgia"/>
          <w:color w:val="1C1C1C"/>
          <w:sz w:val="20"/>
          <w:szCs w:val="20"/>
        </w:rPr>
        <w:t xml:space="preserve">What consensus types exist, and how do consensus mechanisms differ across protocols?</w:t>
      </w:r>
    </w:p>
    <w:p>
      <w:pPr>
        <w:pStyle w:val="Heading2"/>
        <w:spacing w:after="140" w:before="320"/>
      </w:pPr>
      <w:r>
        <w:rPr>
          <w:rFonts w:ascii="Calibri" w:cs="Calibri" w:eastAsia="Calibri" w:hAnsi="Calibri"/>
          <w:b/>
          <w:bCs/>
          <w:color w:val="1C1C1C"/>
          <w:sz w:val="24"/>
          <w:szCs w:val="24"/>
        </w:rPr>
        <w:t xml:space="preserve">Learning Outcomes</w:t>
      </w:r>
    </w:p>
    <w:p>
      <w:pPr>
        <w:pStyle w:val="ListParagraph"/>
        <w:numPr>
          <w:ilvl w:val="0"/>
          <w:numId w:val="1"/>
        </w:numPr>
        <w:spacing w:after="80" w:line="280"/>
      </w:pPr>
      <w:r>
        <w:rPr>
          <w:rFonts w:ascii="Georgia" w:cs="Georgia" w:eastAsia="Georgia" w:hAnsi="Georgia"/>
          <w:color w:val="1C1C1C"/>
          <w:sz w:val="20"/>
          <w:szCs w:val="20"/>
        </w:rPr>
        <w:t xml:space="preserve">Explore the origins of blockchain and evaluate its potential effects across industries.</w:t>
      </w:r>
    </w:p>
    <w:p>
      <w:pPr>
        <w:pStyle w:val="ListParagraph"/>
        <w:numPr>
          <w:ilvl w:val="0"/>
          <w:numId w:val="1"/>
        </w:numPr>
        <w:spacing w:after="80" w:line="280"/>
      </w:pPr>
      <w:r>
        <w:rPr>
          <w:rFonts w:ascii="Georgia" w:cs="Georgia" w:eastAsia="Georgia" w:hAnsi="Georgia"/>
          <w:color w:val="1C1C1C"/>
          <w:sz w:val="20"/>
          <w:szCs w:val="20"/>
        </w:rPr>
        <w:t xml:space="preserve">Adopt a Web3-oriented mental model for identity, ownership, verification, and participation online.</w:t>
      </w:r>
    </w:p>
    <w:p>
      <w:pPr>
        <w:pStyle w:val="ListParagraph"/>
        <w:numPr>
          <w:ilvl w:val="0"/>
          <w:numId w:val="1"/>
        </w:numPr>
        <w:spacing w:after="80" w:line="280"/>
      </w:pPr>
      <w:r>
        <w:rPr>
          <w:rFonts w:ascii="Georgia" w:cs="Georgia" w:eastAsia="Georgia" w:hAnsi="Georgia"/>
          <w:color w:val="1C1C1C"/>
          <w:sz w:val="20"/>
          <w:szCs w:val="20"/>
        </w:rPr>
        <w:t xml:space="preserve">Comprehend and clearly explain blockchain applications and decentralized applications (dApps).</w:t>
      </w:r>
    </w:p>
    <w:p>
      <w:pPr>
        <w:pStyle w:val="ListParagraph"/>
        <w:numPr>
          <w:ilvl w:val="0"/>
          <w:numId w:val="1"/>
        </w:numPr>
        <w:spacing w:after="80" w:line="280"/>
      </w:pPr>
      <w:r>
        <w:rPr>
          <w:rFonts w:ascii="Georgia" w:cs="Georgia" w:eastAsia="Georgia" w:hAnsi="Georgia"/>
          <w:color w:val="1C1C1C"/>
          <w:sz w:val="20"/>
          <w:szCs w:val="20"/>
        </w:rPr>
        <w:t xml:space="preserve">Build the prerequisite knowledge needed for advanced Iron Vault pathways.</w:t>
      </w:r>
    </w:p>
    <w:p>
      <w:pPr>
        <w:pStyle w:val="Heading2"/>
        <w:spacing w:after="140" w:before="320"/>
      </w:pPr>
      <w:r>
        <w:rPr>
          <w:rFonts w:ascii="Calibri" w:cs="Calibri" w:eastAsia="Calibri" w:hAnsi="Calibri"/>
          <w:b/>
          <w:bCs/>
          <w:color w:val="1C1C1C"/>
          <w:sz w:val="24"/>
          <w:szCs w:val="24"/>
        </w:rPr>
        <w:t xml:space="preserve">Assessment Plan</w:t>
      </w:r>
    </w:p>
    <w:tbl>
      <w:tblPr>
        <w:tblW w:type="dxa" w:w="9000"/>
        <w:tblBorders>
          <w:top w:val="single" w:color="D9D2C2" w:sz="4"/>
          <w:left w:val="single" w:color="D9D2C2" w:sz="4"/>
          <w:bottom w:val="single" w:color="D9D2C2" w:sz="4"/>
          <w:right w:val="single" w:color="D9D2C2" w:sz="4"/>
          <w:insideH w:val="single" w:color="D9D2C2" w:sz="4"/>
          <w:insideV w:val="single" w:color="D9D2C2" w:sz="4"/>
        </w:tblBorders>
      </w:tblPr>
      <w:tblGrid>
        <w:gridCol w:w="3200"/>
        <w:gridCol w:w="5800"/>
      </w:tblGrid>
      <w:tr>
        <w:trPr>
          <w:tblHeader/>
        </w:trPr>
        <w:tc>
          <w:tcPr>
            <w:tcW w:type="dxa" w:w="3200"/>
            <w:shd w:fill="1C1C1C" w:color="auto" w:val="clear"/>
            <w:tcMar>
              <w:top w:type="dxa" w:w="100"/>
              <w:left w:type="dxa" w:w="120"/>
              <w:bottom w:type="dxa" w:w="100"/>
              <w:right w:type="dxa" w:w="120"/>
            </w:tcMar>
            <w:vAlign w:val="center"/>
          </w:tcPr>
          <w:p>
            <w:r>
              <w:rPr>
                <w:rFonts w:ascii="Calibri" w:cs="Calibri" w:eastAsia="Calibri" w:hAnsi="Calibri"/>
                <w:b/>
                <w:bCs/>
                <w:color w:val="FFFFFF"/>
                <w:sz w:val="17"/>
                <w:szCs w:val="17"/>
              </w:rPr>
              <w:t xml:space="preserve">Assessment</w:t>
            </w:r>
          </w:p>
        </w:tc>
        <w:tc>
          <w:tcPr>
            <w:tcW w:type="dxa" w:w="5800"/>
            <w:shd w:fill="1C1C1C" w:color="auto" w:val="clear"/>
            <w:tcMar>
              <w:top w:type="dxa" w:w="100"/>
              <w:left w:type="dxa" w:w="120"/>
              <w:bottom w:type="dxa" w:w="100"/>
              <w:right w:type="dxa" w:w="120"/>
            </w:tcMar>
            <w:vAlign w:val="center"/>
          </w:tcPr>
          <w:p>
            <w:r>
              <w:rPr>
                <w:rFonts w:ascii="Calibri" w:cs="Calibri" w:eastAsia="Calibri" w:hAnsi="Calibri"/>
                <w:b/>
                <w:bCs/>
                <w:color w:val="FFFFFF"/>
                <w:sz w:val="17"/>
                <w:szCs w:val="17"/>
              </w:rPr>
              <w:t xml:space="preserve">Specification</w:t>
            </w:r>
          </w:p>
        </w:tc>
      </w:tr>
      <w:tr>
        <w:tc>
          <w:tcPr>
            <w:tcW w:type="dxa" w:w="3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Modules 1–2 quiz</w:t>
            </w:r>
          </w:p>
        </w:tc>
        <w:tc>
          <w:tcPr>
            <w:tcW w:type="dxa" w:w="58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5 questions</w:t>
            </w:r>
          </w:p>
        </w:tc>
      </w:tr>
      <w:tr>
        <w:tc>
          <w:tcPr>
            <w:tcW w:type="dxa" w:w="32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Modules 3–4 quiz</w:t>
            </w:r>
          </w:p>
        </w:tc>
        <w:tc>
          <w:tcPr>
            <w:tcW w:type="dxa" w:w="58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6 questions</w:t>
            </w:r>
          </w:p>
        </w:tc>
      </w:tr>
      <w:tr>
        <w:tc>
          <w:tcPr>
            <w:tcW w:type="dxa" w:w="3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Modules 7–11 quiz</w:t>
            </w:r>
          </w:p>
        </w:tc>
        <w:tc>
          <w:tcPr>
            <w:tcW w:type="dxa" w:w="58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7 questions</w:t>
            </w:r>
          </w:p>
        </w:tc>
      </w:tr>
      <w:tr>
        <w:tc>
          <w:tcPr>
            <w:tcW w:type="dxa" w:w="32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Final exam</w:t>
            </w:r>
          </w:p>
        </w:tc>
        <w:tc>
          <w:tcPr>
            <w:tcW w:type="dxa" w:w="58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20 questions; 70% required; three attempts</w:t>
            </w:r>
          </w:p>
        </w:tc>
      </w:tr>
    </w:tbl>
    <w:p>
      <w:pPr>
        <w:spacing w:after="140" w:line="300"/>
      </w:pPr>
      <w:r>
        <w:rPr>
          <w:rFonts w:ascii="Georgia" w:cs="Georgia" w:eastAsia="Georgia" w:hAnsi="Georgia"/>
          <w:i w:val="false"/>
          <w:iCs w:val="false"/>
          <w:color w:val="1C1C1C"/>
          <w:sz w:val="21"/>
          <w:szCs w:val="21"/>
        </w:rPr>
        <w:t xml:space="preserve"/>
      </w:r>
    </w:p>
    <w:p>
      <w:pPr>
        <w:pStyle w:val="Heading2"/>
        <w:spacing w:after="140" w:before="320"/>
      </w:pPr>
      <w:r>
        <w:rPr>
          <w:rFonts w:ascii="Calibri" w:cs="Calibri" w:eastAsia="Calibri" w:hAnsi="Calibri"/>
          <w:b/>
          <w:bCs/>
          <w:color w:val="1C1C1C"/>
          <w:sz w:val="24"/>
          <w:szCs w:val="24"/>
        </w:rPr>
        <w:t xml:space="preserve">Module Outline</w:t>
      </w:r>
    </w:p>
    <w:tbl>
      <w:tblPr>
        <w:tblW w:type="dxa" w:w="9000"/>
        <w:tblBorders>
          <w:top w:val="single" w:color="D9D2C2" w:sz="4"/>
          <w:left w:val="single" w:color="D9D2C2" w:sz="4"/>
          <w:bottom w:val="single" w:color="D9D2C2" w:sz="4"/>
          <w:right w:val="single" w:color="D9D2C2" w:sz="4"/>
          <w:insideH w:val="single" w:color="D9D2C2" w:sz="4"/>
          <w:insideV w:val="single" w:color="D9D2C2" w:sz="4"/>
        </w:tblBorders>
      </w:tblPr>
      <w:tblGrid>
        <w:gridCol w:w="1400"/>
        <w:gridCol w:w="7600"/>
      </w:tblGrid>
      <w:tr>
        <w:trPr>
          <w:tblHeader/>
        </w:trPr>
        <w:tc>
          <w:tcPr>
            <w:tcW w:type="dxa" w:w="1400"/>
            <w:shd w:fill="1C1C1C" w:color="auto" w:val="clear"/>
            <w:tcMar>
              <w:top w:type="dxa" w:w="100"/>
              <w:left w:type="dxa" w:w="120"/>
              <w:bottom w:type="dxa" w:w="100"/>
              <w:right w:type="dxa" w:w="120"/>
            </w:tcMar>
            <w:vAlign w:val="center"/>
          </w:tcPr>
          <w:p>
            <w:r>
              <w:rPr>
                <w:rFonts w:ascii="Calibri" w:cs="Calibri" w:eastAsia="Calibri" w:hAnsi="Calibri"/>
                <w:b/>
                <w:bCs/>
                <w:color w:val="FFFFFF"/>
                <w:sz w:val="17"/>
                <w:szCs w:val="17"/>
              </w:rPr>
              <w:t xml:space="preserve">Module</w:t>
            </w:r>
          </w:p>
        </w:tc>
        <w:tc>
          <w:tcPr>
            <w:tcW w:type="dxa" w:w="7600"/>
            <w:shd w:fill="1C1C1C" w:color="auto" w:val="clear"/>
            <w:tcMar>
              <w:top w:type="dxa" w:w="100"/>
              <w:left w:type="dxa" w:w="120"/>
              <w:bottom w:type="dxa" w:w="100"/>
              <w:right w:type="dxa" w:w="120"/>
            </w:tcMar>
            <w:vAlign w:val="center"/>
          </w:tcPr>
          <w:p>
            <w:r>
              <w:rPr>
                <w:rFonts w:ascii="Calibri" w:cs="Calibri" w:eastAsia="Calibri" w:hAnsi="Calibri"/>
                <w:b/>
                <w:bCs/>
                <w:color w:val="FFFFFF"/>
                <w:sz w:val="17"/>
                <w:szCs w:val="17"/>
              </w:rPr>
              <w:t xml:space="preserve">Coverage</w:t>
            </w:r>
          </w:p>
        </w:tc>
      </w:tr>
      <w:tr>
        <w:tc>
          <w:tcPr>
            <w:tcW w:type="dxa" w:w="14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1</w:t>
            </w:r>
          </w:p>
        </w:tc>
        <w:tc>
          <w:tcPr>
            <w:tcW w:type="dxa" w:w="7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Background and Basics — blockchain history, Bitcoin history, FOMO, how blockchain works, mining and hashing, properties of a blockchain</w:t>
            </w:r>
          </w:p>
        </w:tc>
      </w:tr>
      <w:tr>
        <w:tc>
          <w:tcPr>
            <w:tcW w:type="dxa" w:w="14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2</w:t>
            </w:r>
          </w:p>
        </w:tc>
        <w:tc>
          <w:tcPr>
            <w:tcW w:type="dxa" w:w="7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Different Types of Blockchains — private vs. public, permissioned vs. permissionless, hybrid models</w:t>
            </w:r>
          </w:p>
        </w:tc>
      </w:tr>
      <w:tr>
        <w:tc>
          <w:tcPr>
            <w:tcW w:type="dxa" w:w="14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3</w:t>
            </w:r>
          </w:p>
        </w:tc>
        <w:tc>
          <w:tcPr>
            <w:tcW w:type="dxa" w:w="7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Consensus — consensus mechanisms, 14 protocol examples, consensus simulator</w:t>
            </w:r>
          </w:p>
        </w:tc>
      </w:tr>
      <w:tr>
        <w:tc>
          <w:tcPr>
            <w:tcW w:type="dxa" w:w="14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4</w:t>
            </w:r>
          </w:p>
        </w:tc>
        <w:tc>
          <w:tcPr>
            <w:tcW w:type="dxa" w:w="7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Cryptography and Hashing — machine/mathematical cryptography, hash function properties, avalanche-effect lab</w:t>
            </w:r>
          </w:p>
        </w:tc>
      </w:tr>
      <w:tr>
        <w:tc>
          <w:tcPr>
            <w:tcW w:type="dxa" w:w="14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5</w:t>
            </w:r>
          </w:p>
        </w:tc>
        <w:tc>
          <w:tcPr>
            <w:tcW w:type="dxa" w:w="7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Smart Contracts</w:t>
            </w:r>
          </w:p>
        </w:tc>
      </w:tr>
      <w:tr>
        <w:tc>
          <w:tcPr>
            <w:tcW w:type="dxa" w:w="14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6</w:t>
            </w:r>
          </w:p>
        </w:tc>
        <w:tc>
          <w:tcPr>
            <w:tcW w:type="dxa" w:w="7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Blockchain Wallets</w:t>
            </w:r>
          </w:p>
        </w:tc>
      </w:tr>
      <w:tr>
        <w:tc>
          <w:tcPr>
            <w:tcW w:type="dxa" w:w="14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7</w:t>
            </w:r>
          </w:p>
        </w:tc>
        <w:tc>
          <w:tcPr>
            <w:tcW w:type="dxa" w:w="7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Pros and Cons</w:t>
            </w:r>
          </w:p>
        </w:tc>
      </w:tr>
      <w:tr>
        <w:tc>
          <w:tcPr>
            <w:tcW w:type="dxa" w:w="14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8</w:t>
            </w:r>
          </w:p>
        </w:tc>
        <w:tc>
          <w:tcPr>
            <w:tcW w:type="dxa" w:w="7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Public Blockchain-Based Applications</w:t>
            </w:r>
          </w:p>
        </w:tc>
      </w:tr>
      <w:tr>
        <w:tc>
          <w:tcPr>
            <w:tcW w:type="dxa" w:w="14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9</w:t>
            </w:r>
          </w:p>
        </w:tc>
        <w:tc>
          <w:tcPr>
            <w:tcW w:type="dxa" w:w="7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Blockchain and Crypto Regulation</w:t>
            </w:r>
          </w:p>
        </w:tc>
      </w:tr>
      <w:tr>
        <w:tc>
          <w:tcPr>
            <w:tcW w:type="dxa" w:w="14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10</w:t>
            </w:r>
          </w:p>
        </w:tc>
        <w:tc>
          <w:tcPr>
            <w:tcW w:type="dxa" w:w="7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Regulatory Reporting</w:t>
            </w:r>
          </w:p>
        </w:tc>
      </w:tr>
      <w:tr>
        <w:tc>
          <w:tcPr>
            <w:tcW w:type="dxa" w:w="14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11</w:t>
            </w:r>
          </w:p>
        </w:tc>
        <w:tc>
          <w:tcPr>
            <w:tcW w:type="dxa" w:w="7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Distributed Autonomous Organizations</w:t>
            </w:r>
          </w:p>
        </w:tc>
      </w:tr>
      <w:tr>
        <w:tc>
          <w:tcPr>
            <w:tcW w:type="dxa" w:w="14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12</w:t>
            </w:r>
          </w:p>
        </w:tc>
        <w:tc>
          <w:tcPr>
            <w:tcW w:type="dxa" w:w="7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Blockchain Today</w:t>
            </w:r>
          </w:p>
        </w:tc>
      </w:tr>
      <w:tr>
        <w:tc>
          <w:tcPr>
            <w:tcW w:type="dxa" w:w="14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13</w:t>
            </w:r>
          </w:p>
        </w:tc>
        <w:tc>
          <w:tcPr>
            <w:tcW w:type="dxa" w:w="7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The Trilemma</w:t>
            </w:r>
          </w:p>
        </w:tc>
      </w:tr>
    </w:tbl>
    <w:p>
      <w:r>
        <w:br w:type="page"/>
      </w:r>
    </w:p>
    <w:p>
      <w:pPr>
        <w:pStyle w:val="Heading1"/>
        <w:pBdr>
          <w:bottom w:val="single" w:color="EE7200" w:sz="8" w:space="6"/>
        </w:pBdr>
        <w:spacing w:after="200" w:before="480"/>
      </w:pPr>
      <w:r>
        <w:rPr>
          <w:rFonts w:ascii="Calibri" w:cs="Calibri" w:eastAsia="Calibri" w:hAnsi="Calibri"/>
          <w:b/>
          <w:bCs/>
          <w:color w:val="EE7200"/>
          <w:sz w:val="30"/>
          <w:szCs w:val="30"/>
        </w:rPr>
        <w:t xml:space="preserve">5. Advanced Pathway Catalog</w:t>
      </w:r>
    </w:p>
    <w:p>
      <w:pPr>
        <w:spacing w:after="140" w:line="300"/>
      </w:pPr>
      <w:r>
        <w:rPr>
          <w:rFonts w:ascii="Georgia" w:cs="Georgia" w:eastAsia="Georgia" w:hAnsi="Georgia"/>
          <w:i w:val="false"/>
          <w:iCs w:val="false"/>
          <w:color w:val="1C1C1C"/>
          <w:sz w:val="21"/>
          <w:szCs w:val="21"/>
        </w:rPr>
        <w:t xml:space="preserve">The pathways below sit above core literacy and serve developers, AI practitioners, enterprise/risk teams, and growth operators. Full lesson-level detail for each course is preserved in the Complete Source-Course Register (Appendix A).</w:t>
      </w:r>
    </w:p>
    <w:p>
      <w:pPr>
        <w:pStyle w:val="Heading2"/>
        <w:spacing w:after="140" w:before="320"/>
      </w:pPr>
      <w:r>
        <w:rPr>
          <w:rFonts w:ascii="Calibri" w:cs="Calibri" w:eastAsia="Calibri" w:hAnsi="Calibri"/>
          <w:b/>
          <w:bCs/>
          <w:color w:val="1C1C1C"/>
          <w:sz w:val="24"/>
          <w:szCs w:val="24"/>
        </w:rPr>
        <w:t xml:space="preserve">5.1 — Web3 Developer / Master Blockchain Developer Pathway</w:t>
      </w:r>
    </w:p>
    <w:p>
      <w:pPr>
        <w:spacing w:after="140" w:line="300"/>
      </w:pPr>
      <w:r>
        <w:rPr>
          <w:rFonts w:ascii="Georgia" w:cs="Georgia" w:eastAsia="Georgia" w:hAnsi="Georgia"/>
          <w:i w:val="false"/>
          <w:iCs w:val="false"/>
          <w:color w:val="1C1C1C"/>
          <w:sz w:val="21"/>
          <w:szCs w:val="21"/>
        </w:rPr>
        <w:t xml:space="preserve">Purpose: a technical avenue for developers, solution architects, technology enthusiasts, and professionals building or deepening a blockchain-development career.</w:t>
      </w:r>
    </w:p>
    <w:p>
      <w:pPr>
        <w:spacing w:after="40" w:before="40"/>
      </w:pPr>
      <w:r>
        <w:rPr>
          <w:rFonts w:ascii="Calibri" w:cs="Calibri" w:eastAsia="Calibri" w:hAnsi="Calibri"/>
          <w:b/>
          <w:bCs/>
          <w:color w:val="5B5B5B"/>
          <w:spacing w:val="20"/>
          <w:sz w:val="16"/>
          <w:szCs w:val="16"/>
        </w:rPr>
        <w:t xml:space="preserve">PREREQUISITES</w:t>
      </w:r>
    </w:p>
    <w:p>
      <w:pPr>
        <w:spacing w:after="140" w:line="300"/>
      </w:pPr>
      <w:r>
        <w:rPr>
          <w:rFonts w:ascii="Georgia" w:cs="Georgia" w:eastAsia="Georgia" w:hAnsi="Georgia"/>
          <w:i w:val="false"/>
          <w:iCs w:val="false"/>
          <w:color w:val="1C1C1C"/>
          <w:sz w:val="21"/>
          <w:szCs w:val="21"/>
        </w:rPr>
        <w:t xml:space="preserve">Recommended: at least one year of software-development experience in C++, Python, Java, or JavaScript — Solidity is influenced by all three. Foundation courses bridge learners who don’t yet meet the recommendation.</w:t>
      </w:r>
    </w:p>
    <w:p>
      <w:pPr>
        <w:spacing w:after="40" w:before="40"/>
      </w:pPr>
      <w:r>
        <w:rPr>
          <w:rFonts w:ascii="Calibri" w:cs="Calibri" w:eastAsia="Calibri" w:hAnsi="Calibri"/>
          <w:b/>
          <w:bCs/>
          <w:color w:val="5B5B5B"/>
          <w:spacing w:val="20"/>
          <w:sz w:val="16"/>
          <w:szCs w:val="16"/>
        </w:rPr>
        <w:t xml:space="preserve">PROGRAM DELIVERY INVENTORY</w:t>
      </w:r>
    </w:p>
    <w:tbl>
      <w:tblPr>
        <w:tblW w:type="dxa" w:w="9000"/>
        <w:tblBorders>
          <w:top w:val="single" w:color="D9D2C2" w:sz="4"/>
          <w:left w:val="single" w:color="D9D2C2" w:sz="4"/>
          <w:bottom w:val="single" w:color="D9D2C2" w:sz="4"/>
          <w:right w:val="single" w:color="D9D2C2" w:sz="4"/>
          <w:insideH w:val="single" w:color="D9D2C2" w:sz="4"/>
          <w:insideV w:val="single" w:color="D9D2C2" w:sz="4"/>
        </w:tblBorders>
      </w:tblPr>
      <w:tblGrid>
        <w:gridCol w:w="4600"/>
        <w:gridCol w:w="1400"/>
        <w:gridCol w:w="3000"/>
      </w:tblGrid>
      <w:tr>
        <w:trPr>
          <w:tblHeader/>
        </w:trPr>
        <w:tc>
          <w:tcPr>
            <w:tcW w:type="dxa" w:w="4600"/>
            <w:shd w:fill="1C1C1C" w:color="auto" w:val="clear"/>
            <w:tcMar>
              <w:top w:type="dxa" w:w="100"/>
              <w:left w:type="dxa" w:w="120"/>
              <w:bottom w:type="dxa" w:w="100"/>
              <w:right w:type="dxa" w:w="120"/>
            </w:tcMar>
            <w:vAlign w:val="center"/>
          </w:tcPr>
          <w:p>
            <w:r>
              <w:rPr>
                <w:rFonts w:ascii="Calibri" w:cs="Calibri" w:eastAsia="Calibri" w:hAnsi="Calibri"/>
                <w:b/>
                <w:bCs/>
                <w:color w:val="FFFFFF"/>
                <w:sz w:val="17"/>
                <w:szCs w:val="17"/>
              </w:rPr>
              <w:t xml:space="preserve">Course / Event</w:t>
            </w:r>
          </w:p>
        </w:tc>
        <w:tc>
          <w:tcPr>
            <w:tcW w:type="dxa" w:w="1400"/>
            <w:shd w:fill="1C1C1C" w:color="auto" w:val="clear"/>
            <w:tcMar>
              <w:top w:type="dxa" w:w="100"/>
              <w:left w:type="dxa" w:w="120"/>
              <w:bottom w:type="dxa" w:w="100"/>
              <w:right w:type="dxa" w:w="120"/>
            </w:tcMar>
            <w:vAlign w:val="center"/>
          </w:tcPr>
          <w:p>
            <w:r>
              <w:rPr>
                <w:rFonts w:ascii="Calibri" w:cs="Calibri" w:eastAsia="Calibri" w:hAnsi="Calibri"/>
                <w:b/>
                <w:bCs/>
                <w:color w:val="FFFFFF"/>
                <w:sz w:val="17"/>
                <w:szCs w:val="17"/>
              </w:rPr>
              <w:t xml:space="preserve">Duration</w:t>
            </w:r>
          </w:p>
        </w:tc>
        <w:tc>
          <w:tcPr>
            <w:tcW w:type="dxa" w:w="3000"/>
            <w:shd w:fill="1C1C1C" w:color="auto" w:val="clear"/>
            <w:tcMar>
              <w:top w:type="dxa" w:w="100"/>
              <w:left w:type="dxa" w:w="120"/>
              <w:bottom w:type="dxa" w:w="100"/>
              <w:right w:type="dxa" w:w="120"/>
            </w:tcMar>
            <w:vAlign w:val="center"/>
          </w:tcPr>
          <w:p>
            <w:r>
              <w:rPr>
                <w:rFonts w:ascii="Calibri" w:cs="Calibri" w:eastAsia="Calibri" w:hAnsi="Calibri"/>
                <w:b/>
                <w:bCs/>
                <w:color w:val="FFFFFF"/>
                <w:sz w:val="17"/>
                <w:szCs w:val="17"/>
              </w:rPr>
              <w:t xml:space="preserve">Delivery</w:t>
            </w:r>
          </w:p>
        </w:tc>
      </w:tr>
      <w:tr>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Student Orientation</w:t>
            </w:r>
          </w:p>
        </w:tc>
        <w:tc>
          <w:tcPr>
            <w:tcW w:type="dxa" w:w="14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1 hr</w:t>
            </w:r>
          </w:p>
        </w:tc>
        <w:tc>
          <w:tcPr>
            <w:tcW w:type="dxa" w:w="30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Live online, optional</w:t>
            </w:r>
          </w:p>
        </w:tc>
      </w:tr>
      <w:tr>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Live Instructor AMA — bi-weekly</w:t>
            </w:r>
          </w:p>
        </w:tc>
        <w:tc>
          <w:tcPr>
            <w:tcW w:type="dxa" w:w="14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1+ hr</w:t>
            </w:r>
          </w:p>
        </w:tc>
        <w:tc>
          <w:tcPr>
            <w:tcW w:type="dxa" w:w="30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Live online, optional</w:t>
            </w:r>
          </w:p>
        </w:tc>
      </w:tr>
      <w:tr>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Web3 Foundations</w:t>
            </w:r>
          </w:p>
        </w:tc>
        <w:tc>
          <w:tcPr>
            <w:tcW w:type="dxa" w:w="14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3 hrs</w:t>
            </w:r>
          </w:p>
        </w:tc>
        <w:tc>
          <w:tcPr>
            <w:tcW w:type="dxa" w:w="30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On-demand, instructor-supported</w:t>
            </w:r>
          </w:p>
        </w:tc>
      </w:tr>
      <w:tr>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Blockchain Foundations</w:t>
            </w:r>
          </w:p>
        </w:tc>
        <w:tc>
          <w:tcPr>
            <w:tcW w:type="dxa" w:w="14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6 hrs</w:t>
            </w:r>
          </w:p>
        </w:tc>
        <w:tc>
          <w:tcPr>
            <w:tcW w:type="dxa" w:w="30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On-demand, instructor-supported</w:t>
            </w:r>
          </w:p>
        </w:tc>
      </w:tr>
      <w:tr>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Bitcoin Intensive</w:t>
            </w:r>
          </w:p>
        </w:tc>
        <w:tc>
          <w:tcPr>
            <w:tcW w:type="dxa" w:w="14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6 hrs</w:t>
            </w:r>
          </w:p>
        </w:tc>
        <w:tc>
          <w:tcPr>
            <w:tcW w:type="dxa" w:w="30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On-demand, instructor-supported</w:t>
            </w:r>
          </w:p>
        </w:tc>
      </w:tr>
      <w:tr>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Blockchain Development Decision</w:t>
            </w:r>
          </w:p>
        </w:tc>
        <w:tc>
          <w:tcPr>
            <w:tcW w:type="dxa" w:w="14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5 hrs</w:t>
            </w:r>
          </w:p>
        </w:tc>
        <w:tc>
          <w:tcPr>
            <w:tcW w:type="dxa" w:w="30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On-demand, instructor-supported</w:t>
            </w:r>
          </w:p>
        </w:tc>
      </w:tr>
      <w:tr>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Blockchain+ mastery assessment</w:t>
            </w:r>
          </w:p>
        </w:tc>
        <w:tc>
          <w:tcPr>
            <w:tcW w:type="dxa" w:w="14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1 hr</w:t>
            </w:r>
          </w:p>
        </w:tc>
        <w:tc>
          <w:tcPr>
            <w:tcW w:type="dxa" w:w="30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Remote-proctored</w:t>
            </w:r>
          </w:p>
        </w:tc>
      </w:tr>
      <w:tr>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Introduction to Blockchain Scrum Master</w:t>
            </w:r>
          </w:p>
        </w:tc>
        <w:tc>
          <w:tcPr>
            <w:tcW w:type="dxa" w:w="14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3 hrs</w:t>
            </w:r>
          </w:p>
        </w:tc>
        <w:tc>
          <w:tcPr>
            <w:tcW w:type="dxa" w:w="30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On-demand, instructor-supported</w:t>
            </w:r>
          </w:p>
        </w:tc>
      </w:tr>
      <w:tr>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Introduction to DevOps</w:t>
            </w:r>
          </w:p>
        </w:tc>
        <w:tc>
          <w:tcPr>
            <w:tcW w:type="dxa" w:w="14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4 hrs</w:t>
            </w:r>
          </w:p>
        </w:tc>
        <w:tc>
          <w:tcPr>
            <w:tcW w:type="dxa" w:w="30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Live online</w:t>
            </w:r>
          </w:p>
        </w:tc>
      </w:tr>
      <w:tr>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zk-SNARKs Essentials</w:t>
            </w:r>
          </w:p>
        </w:tc>
        <w:tc>
          <w:tcPr>
            <w:tcW w:type="dxa" w:w="14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2 hrs</w:t>
            </w:r>
          </w:p>
        </w:tc>
        <w:tc>
          <w:tcPr>
            <w:tcW w:type="dxa" w:w="30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On-demand, instructor-supported</w:t>
            </w:r>
          </w:p>
        </w:tc>
      </w:tr>
      <w:tr>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Solidity Smart Contract Developer (EVM)</w:t>
            </w:r>
          </w:p>
        </w:tc>
        <w:tc>
          <w:tcPr>
            <w:tcW w:type="dxa" w:w="14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7 hrs</w:t>
            </w:r>
          </w:p>
        </w:tc>
        <w:tc>
          <w:tcPr>
            <w:tcW w:type="dxa" w:w="30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On-demand, instructor-supported</w:t>
            </w:r>
          </w:p>
        </w:tc>
      </w:tr>
      <w:tr>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Smart Contract Developer Live Workshop</w:t>
            </w:r>
          </w:p>
        </w:tc>
        <w:tc>
          <w:tcPr>
            <w:tcW w:type="dxa" w:w="14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3 hrs</w:t>
            </w:r>
          </w:p>
        </w:tc>
        <w:tc>
          <w:tcPr>
            <w:tcW w:type="dxa" w:w="30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Live online</w:t>
            </w:r>
          </w:p>
        </w:tc>
      </w:tr>
      <w:tr>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Smart Contract Security</w:t>
            </w:r>
          </w:p>
        </w:tc>
        <w:tc>
          <w:tcPr>
            <w:tcW w:type="dxa" w:w="14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7 hrs</w:t>
            </w:r>
          </w:p>
        </w:tc>
        <w:tc>
          <w:tcPr>
            <w:tcW w:type="dxa" w:w="30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On-demand, instructor-supported</w:t>
            </w:r>
          </w:p>
        </w:tc>
      </w:tr>
      <w:tr>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Understanding L1 &amp; L2 Blockchains</w:t>
            </w:r>
          </w:p>
        </w:tc>
        <w:tc>
          <w:tcPr>
            <w:tcW w:type="dxa" w:w="14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2 hrs</w:t>
            </w:r>
          </w:p>
        </w:tc>
        <w:tc>
          <w:tcPr>
            <w:tcW w:type="dxa" w:w="30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Live online</w:t>
            </w:r>
          </w:p>
        </w:tc>
      </w:tr>
      <w:tr>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Smart Contract Developer mastery assessment</w:t>
            </w:r>
          </w:p>
        </w:tc>
        <w:tc>
          <w:tcPr>
            <w:tcW w:type="dxa" w:w="14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1 hr</w:t>
            </w:r>
          </w:p>
        </w:tc>
        <w:tc>
          <w:tcPr>
            <w:tcW w:type="dxa" w:w="30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Online proctored</w:t>
            </w:r>
          </w:p>
        </w:tc>
      </w:tr>
      <w:tr>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Ethereum Enterprise Strategist</w:t>
            </w:r>
          </w:p>
        </w:tc>
        <w:tc>
          <w:tcPr>
            <w:tcW w:type="dxa" w:w="14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4 hrs</w:t>
            </w:r>
          </w:p>
        </w:tc>
        <w:tc>
          <w:tcPr>
            <w:tcW w:type="dxa" w:w="30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Remote-proctored</w:t>
            </w:r>
          </w:p>
        </w:tc>
      </w:tr>
      <w:tr>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Ethereum DApp Developer</w:t>
            </w:r>
          </w:p>
        </w:tc>
        <w:tc>
          <w:tcPr>
            <w:tcW w:type="dxa" w:w="14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5 hrs</w:t>
            </w:r>
          </w:p>
        </w:tc>
        <w:tc>
          <w:tcPr>
            <w:tcW w:type="dxa" w:w="30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On-demand, instructor-supported</w:t>
            </w:r>
          </w:p>
        </w:tc>
      </w:tr>
      <w:tr>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Ethereum DApp Live Workshop</w:t>
            </w:r>
          </w:p>
        </w:tc>
        <w:tc>
          <w:tcPr>
            <w:tcW w:type="dxa" w:w="14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3 hrs</w:t>
            </w:r>
          </w:p>
        </w:tc>
        <w:tc>
          <w:tcPr>
            <w:tcW w:type="dxa" w:w="30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Live online</w:t>
            </w:r>
          </w:p>
        </w:tc>
      </w:tr>
      <w:tr>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Blockchain Architecture 101</w:t>
            </w:r>
          </w:p>
        </w:tc>
        <w:tc>
          <w:tcPr>
            <w:tcW w:type="dxa" w:w="14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4 hrs</w:t>
            </w:r>
          </w:p>
        </w:tc>
        <w:tc>
          <w:tcPr>
            <w:tcW w:type="dxa" w:w="30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On-demand, instructor-supported</w:t>
            </w:r>
          </w:p>
        </w:tc>
      </w:tr>
      <w:tr>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Blockchain Architecture 201</w:t>
            </w:r>
          </w:p>
        </w:tc>
        <w:tc>
          <w:tcPr>
            <w:tcW w:type="dxa" w:w="14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4 hrs</w:t>
            </w:r>
          </w:p>
        </w:tc>
        <w:tc>
          <w:tcPr>
            <w:tcW w:type="dxa" w:w="30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On-demand, instructor-supported</w:t>
            </w:r>
          </w:p>
        </w:tc>
      </w:tr>
      <w:tr>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Ethereum Developer mastery assessment</w:t>
            </w:r>
          </w:p>
        </w:tc>
        <w:tc>
          <w:tcPr>
            <w:tcW w:type="dxa" w:w="14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2 hrs</w:t>
            </w:r>
          </w:p>
        </w:tc>
        <w:tc>
          <w:tcPr>
            <w:tcW w:type="dxa" w:w="30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Remote-proctored</w:t>
            </w:r>
          </w:p>
        </w:tc>
      </w:tr>
      <w:tr>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Key Management</w:t>
            </w:r>
          </w:p>
        </w:tc>
        <w:tc>
          <w:tcPr>
            <w:tcW w:type="dxa" w:w="14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3 hrs</w:t>
            </w:r>
          </w:p>
        </w:tc>
        <w:tc>
          <w:tcPr>
            <w:tcW w:type="dxa" w:w="30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On-demand, instructor-supported</w:t>
            </w:r>
          </w:p>
        </w:tc>
      </w:tr>
      <w:tr>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Blockchain Security</w:t>
            </w:r>
          </w:p>
        </w:tc>
        <w:tc>
          <w:tcPr>
            <w:tcW w:type="dxa" w:w="14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10 hrs</w:t>
            </w:r>
          </w:p>
        </w:tc>
        <w:tc>
          <w:tcPr>
            <w:tcW w:type="dxa" w:w="30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On-demand, instructor-supported</w:t>
            </w:r>
          </w:p>
        </w:tc>
      </w:tr>
      <w:tr>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Blockchain Security Live Workshop</w:t>
            </w:r>
          </w:p>
        </w:tc>
        <w:tc>
          <w:tcPr>
            <w:tcW w:type="dxa" w:w="14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3 hrs</w:t>
            </w:r>
          </w:p>
        </w:tc>
        <w:tc>
          <w:tcPr>
            <w:tcW w:type="dxa" w:w="30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Live online</w:t>
            </w:r>
          </w:p>
        </w:tc>
      </w:tr>
      <w:tr>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Blockchain Security Professional mastery assessment</w:t>
            </w:r>
          </w:p>
        </w:tc>
        <w:tc>
          <w:tcPr>
            <w:tcW w:type="dxa" w:w="14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2 hrs</w:t>
            </w:r>
          </w:p>
        </w:tc>
        <w:tc>
          <w:tcPr>
            <w:tcW w:type="dxa" w:w="30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Remote-proctored</w:t>
            </w:r>
          </w:p>
        </w:tc>
      </w:tr>
      <w:tr>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Blockchain Architecture 301</w:t>
            </w:r>
          </w:p>
        </w:tc>
        <w:tc>
          <w:tcPr>
            <w:tcW w:type="dxa" w:w="14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5 hrs</w:t>
            </w:r>
          </w:p>
        </w:tc>
        <w:tc>
          <w:tcPr>
            <w:tcW w:type="dxa" w:w="30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On-demand, instructor-supported</w:t>
            </w:r>
          </w:p>
        </w:tc>
      </w:tr>
      <w:tr>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Blockchain Architecture Workshop</w:t>
            </w:r>
          </w:p>
        </w:tc>
        <w:tc>
          <w:tcPr>
            <w:tcW w:type="dxa" w:w="14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3 hrs</w:t>
            </w:r>
          </w:p>
        </w:tc>
        <w:tc>
          <w:tcPr>
            <w:tcW w:type="dxa" w:w="30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Live online</w:t>
            </w:r>
          </w:p>
        </w:tc>
      </w:tr>
      <w:tr>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Scrum Methods for Blockchain</w:t>
            </w:r>
          </w:p>
        </w:tc>
        <w:tc>
          <w:tcPr>
            <w:tcW w:type="dxa" w:w="14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2 hrs</w:t>
            </w:r>
          </w:p>
        </w:tc>
        <w:tc>
          <w:tcPr>
            <w:tcW w:type="dxa" w:w="30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On-demand, instructor-supported</w:t>
            </w:r>
          </w:p>
        </w:tc>
      </w:tr>
      <w:tr>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Architecting Solutions by Combining Agile Methodologies</w:t>
            </w:r>
          </w:p>
        </w:tc>
        <w:tc>
          <w:tcPr>
            <w:tcW w:type="dxa" w:w="14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2 hrs</w:t>
            </w:r>
          </w:p>
        </w:tc>
        <w:tc>
          <w:tcPr>
            <w:tcW w:type="dxa" w:w="30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On-demand, instructor-supported</w:t>
            </w:r>
          </w:p>
        </w:tc>
      </w:tr>
      <w:tr>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Scaling Agile Solutions for Blockchain to a Team-of-Teams</w:t>
            </w:r>
          </w:p>
        </w:tc>
        <w:tc>
          <w:tcPr>
            <w:tcW w:type="dxa" w:w="14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5 hrs</w:t>
            </w:r>
          </w:p>
        </w:tc>
        <w:tc>
          <w:tcPr>
            <w:tcW w:type="dxa" w:w="30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On-demand, instructor-supported</w:t>
            </w:r>
          </w:p>
        </w:tc>
      </w:tr>
      <w:tr>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Master Blockchain Developer Level 3 mastery assessment</w:t>
            </w:r>
          </w:p>
        </w:tc>
        <w:tc>
          <w:tcPr>
            <w:tcW w:type="dxa" w:w="14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2 hrs</w:t>
            </w:r>
          </w:p>
        </w:tc>
        <w:tc>
          <w:tcPr>
            <w:tcW w:type="dxa" w:w="30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Remote-proctored</w:t>
            </w:r>
          </w:p>
        </w:tc>
      </w:tr>
    </w:tbl>
    <w:p>
      <w:r>
        <w:br w:type="page"/>
      </w:r>
    </w:p>
    <w:p>
      <w:pPr>
        <w:pStyle w:val="Heading2"/>
        <w:spacing w:after="140" w:before="320"/>
      </w:pPr>
      <w:r>
        <w:rPr>
          <w:rFonts w:ascii="Calibri" w:cs="Calibri" w:eastAsia="Calibri" w:hAnsi="Calibri"/>
          <w:b/>
          <w:bCs/>
          <w:color w:val="1C1C1C"/>
          <w:sz w:val="24"/>
          <w:szCs w:val="24"/>
        </w:rPr>
        <w:t xml:space="preserve">5.2 — AI Prompt Engineer Pathway</w:t>
      </w:r>
    </w:p>
    <w:p>
      <w:pPr>
        <w:spacing w:after="140" w:line="300"/>
      </w:pPr>
      <w:r>
        <w:rPr>
          <w:rFonts w:ascii="Georgia" w:cs="Georgia" w:eastAsia="Georgia" w:hAnsi="Georgia"/>
          <w:i w:val="false"/>
          <w:iCs w:val="false"/>
          <w:color w:val="1C1C1C"/>
          <w:sz w:val="21"/>
          <w:szCs w:val="21"/>
        </w:rPr>
        <w:t xml:space="preserve">Purpose: a career-oriented avenue connecting AI literacy, prompt engineering, developer workflows, and generative media. Foundational Web3 and blockchain courses are shared prerequisites where the program is positioned as AI × Web3.</w:t>
      </w:r>
    </w:p>
    <w:tbl>
      <w:tblPr>
        <w:tblW w:type="dxa" w:w="9000"/>
        <w:tblBorders>
          <w:top w:val="single" w:color="D9D2C2" w:sz="4"/>
          <w:left w:val="single" w:color="D9D2C2" w:sz="4"/>
          <w:bottom w:val="single" w:color="D9D2C2" w:sz="4"/>
          <w:right w:val="single" w:color="D9D2C2" w:sz="4"/>
          <w:insideH w:val="single" w:color="D9D2C2" w:sz="4"/>
          <w:insideV w:val="single" w:color="D9D2C2" w:sz="4"/>
        </w:tblBorders>
      </w:tblPr>
      <w:tblGrid>
        <w:gridCol w:w="900"/>
        <w:gridCol w:w="8100"/>
      </w:tblGrid>
      <w:tr>
        <w:trPr>
          <w:tblHeader/>
        </w:trPr>
        <w:tc>
          <w:tcPr>
            <w:tcW w:type="dxa" w:w="900"/>
            <w:shd w:fill="1C1C1C" w:color="auto" w:val="clear"/>
            <w:tcMar>
              <w:top w:type="dxa" w:w="100"/>
              <w:left w:type="dxa" w:w="120"/>
              <w:bottom w:type="dxa" w:w="100"/>
              <w:right w:type="dxa" w:w="120"/>
            </w:tcMar>
            <w:vAlign w:val="center"/>
          </w:tcPr>
          <w:p>
            <w:r>
              <w:rPr>
                <w:rFonts w:ascii="Calibri" w:cs="Calibri" w:eastAsia="Calibri" w:hAnsi="Calibri"/>
                <w:b/>
                <w:bCs/>
                <w:color w:val="FFFFFF"/>
                <w:sz w:val="17"/>
                <w:szCs w:val="17"/>
              </w:rPr>
              <w:t xml:space="preserve">Seq</w:t>
            </w:r>
          </w:p>
        </w:tc>
        <w:tc>
          <w:tcPr>
            <w:tcW w:type="dxa" w:w="8100"/>
            <w:shd w:fill="1C1C1C" w:color="auto" w:val="clear"/>
            <w:tcMar>
              <w:top w:type="dxa" w:w="100"/>
              <w:left w:type="dxa" w:w="120"/>
              <w:bottom w:type="dxa" w:w="100"/>
              <w:right w:type="dxa" w:w="120"/>
            </w:tcMar>
            <w:vAlign w:val="center"/>
          </w:tcPr>
          <w:p>
            <w:r>
              <w:rPr>
                <w:rFonts w:ascii="Calibri" w:cs="Calibri" w:eastAsia="Calibri" w:hAnsi="Calibri"/>
                <w:b/>
                <w:bCs/>
                <w:color w:val="FFFFFF"/>
                <w:sz w:val="17"/>
                <w:szCs w:val="17"/>
              </w:rPr>
              <w:t xml:space="preserve">Course</w:t>
            </w:r>
          </w:p>
        </w:tc>
      </w:tr>
      <w:tr>
        <w:tc>
          <w:tcPr>
            <w:tcW w:type="dxa" w:w="9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1</w:t>
            </w:r>
          </w:p>
        </w:tc>
        <w:tc>
          <w:tcPr>
            <w:tcW w:type="dxa" w:w="81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AI Essentials</w:t>
            </w:r>
          </w:p>
        </w:tc>
      </w:tr>
      <w:tr>
        <w:tc>
          <w:tcPr>
            <w:tcW w:type="dxa" w:w="9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2</w:t>
            </w:r>
          </w:p>
        </w:tc>
        <w:tc>
          <w:tcPr>
            <w:tcW w:type="dxa" w:w="81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Web3 Foundations</w:t>
            </w:r>
          </w:p>
        </w:tc>
      </w:tr>
      <w:tr>
        <w:tc>
          <w:tcPr>
            <w:tcW w:type="dxa" w:w="9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3</w:t>
            </w:r>
          </w:p>
        </w:tc>
        <w:tc>
          <w:tcPr>
            <w:tcW w:type="dxa" w:w="81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Blockchain Foundations</w:t>
            </w:r>
          </w:p>
        </w:tc>
      </w:tr>
      <w:tr>
        <w:tc>
          <w:tcPr>
            <w:tcW w:type="dxa" w:w="9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4</w:t>
            </w:r>
          </w:p>
        </w:tc>
        <w:tc>
          <w:tcPr>
            <w:tcW w:type="dxa" w:w="81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Blockchain &amp; Bitcoin Intensive</w:t>
            </w:r>
          </w:p>
        </w:tc>
      </w:tr>
      <w:tr>
        <w:tc>
          <w:tcPr>
            <w:tcW w:type="dxa" w:w="9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5</w:t>
            </w:r>
          </w:p>
        </w:tc>
        <w:tc>
          <w:tcPr>
            <w:tcW w:type="dxa" w:w="81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Prompt Engineering 101: AI Chatbot (ChatGPT)</w:t>
            </w:r>
          </w:p>
        </w:tc>
      </w:tr>
      <w:tr>
        <w:tc>
          <w:tcPr>
            <w:tcW w:type="dxa" w:w="9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6</w:t>
            </w:r>
          </w:p>
        </w:tc>
        <w:tc>
          <w:tcPr>
            <w:tcW w:type="dxa" w:w="81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AI Prompt Engineering 201: Advanced Topics</w:t>
            </w:r>
          </w:p>
        </w:tc>
      </w:tr>
      <w:tr>
        <w:tc>
          <w:tcPr>
            <w:tcW w:type="dxa" w:w="9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7</w:t>
            </w:r>
          </w:p>
        </w:tc>
        <w:tc>
          <w:tcPr>
            <w:tcW w:type="dxa" w:w="81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AI Prompt Engineering 301: Developer Topics</w:t>
            </w:r>
          </w:p>
        </w:tc>
      </w:tr>
      <w:tr>
        <w:tc>
          <w:tcPr>
            <w:tcW w:type="dxa" w:w="9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8</w:t>
            </w:r>
          </w:p>
        </w:tc>
        <w:tc>
          <w:tcPr>
            <w:tcW w:type="dxa" w:w="81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Mastering Image Generative AI</w:t>
            </w:r>
          </w:p>
        </w:tc>
      </w:tr>
      <w:tr>
        <w:tc>
          <w:tcPr>
            <w:tcW w:type="dxa" w:w="9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9</w:t>
            </w:r>
          </w:p>
        </w:tc>
        <w:tc>
          <w:tcPr>
            <w:tcW w:type="dxa" w:w="81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Mastering Music Generative AI</w:t>
            </w:r>
          </w:p>
        </w:tc>
      </w:tr>
      <w:tr>
        <w:tc>
          <w:tcPr>
            <w:tcW w:type="dxa" w:w="9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10</w:t>
            </w:r>
          </w:p>
        </w:tc>
        <w:tc>
          <w:tcPr>
            <w:tcW w:type="dxa" w:w="81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AI Prompt Engineer Capstone and Mastery Assessment</w:t>
            </w:r>
          </w:p>
        </w:tc>
      </w:tr>
    </w:tbl>
    <w:p>
      <w:pPr>
        <w:spacing w:after="140" w:line="300"/>
      </w:pPr>
      <w:r>
        <w:rPr>
          <w:rFonts w:ascii="Georgia" w:cs="Georgia" w:eastAsia="Georgia" w:hAnsi="Georgia"/>
          <w:i w:val="false"/>
          <w:iCs w:val="false"/>
          <w:color w:val="1C1C1C"/>
          <w:sz w:val="21"/>
          <w:szCs w:val="21"/>
        </w:rPr>
        <w:t xml:space="preserve"/>
      </w:r>
    </w:p>
    <w:p>
      <w:pPr>
        <w:pStyle w:val="Heading2"/>
        <w:spacing w:after="140" w:before="320"/>
      </w:pPr>
      <w:r>
        <w:rPr>
          <w:rFonts w:ascii="Calibri" w:cs="Calibri" w:eastAsia="Calibri" w:hAnsi="Calibri"/>
          <w:b/>
          <w:bCs/>
          <w:color w:val="1C1C1C"/>
          <w:sz w:val="24"/>
          <w:szCs w:val="24"/>
        </w:rPr>
        <w:t xml:space="preserve">5.3 — Enterprise, Operator, Risk, Security &amp; Compliance Pathway</w:t>
      </w:r>
    </w:p>
    <w:p>
      <w:pPr>
        <w:spacing w:after="140" w:line="300"/>
      </w:pPr>
      <w:r>
        <w:rPr>
          <w:rFonts w:ascii="Georgia" w:cs="Georgia" w:eastAsia="Georgia" w:hAnsi="Georgia"/>
          <w:i w:val="false"/>
          <w:iCs w:val="false"/>
          <w:color w:val="1C1C1C"/>
          <w:sz w:val="21"/>
          <w:szCs w:val="21"/>
        </w:rPr>
        <w:t xml:space="preserve">Purpose: cross-functional education for leaders, advisors, analysts, operators, risk teams, and professionals evaluating digital-asset technologies in organizational settings.</w:t>
      </w:r>
    </w:p>
    <w:tbl>
      <w:tblPr>
        <w:tblW w:type="dxa" w:w="9000"/>
        <w:tblBorders>
          <w:top w:val="single" w:color="D9D2C2" w:sz="4"/>
          <w:left w:val="single" w:color="D9D2C2" w:sz="4"/>
          <w:bottom w:val="single" w:color="D9D2C2" w:sz="4"/>
          <w:right w:val="single" w:color="D9D2C2" w:sz="4"/>
          <w:insideH w:val="single" w:color="D9D2C2" w:sz="4"/>
          <w:insideV w:val="single" w:color="D9D2C2" w:sz="4"/>
        </w:tblBorders>
      </w:tblPr>
      <w:tblGrid>
        <w:gridCol w:w="2200"/>
        <w:gridCol w:w="6800"/>
      </w:tblGrid>
      <w:tr>
        <w:trPr>
          <w:tblHeader/>
        </w:trPr>
        <w:tc>
          <w:tcPr>
            <w:tcW w:type="dxa" w:w="2200"/>
            <w:shd w:fill="1C1C1C" w:color="auto" w:val="clear"/>
            <w:tcMar>
              <w:top w:type="dxa" w:w="100"/>
              <w:left w:type="dxa" w:w="120"/>
              <w:bottom w:type="dxa" w:w="100"/>
              <w:right w:type="dxa" w:w="120"/>
            </w:tcMar>
            <w:vAlign w:val="center"/>
          </w:tcPr>
          <w:p>
            <w:r>
              <w:rPr>
                <w:rFonts w:ascii="Calibri" w:cs="Calibri" w:eastAsia="Calibri" w:hAnsi="Calibri"/>
                <w:b/>
                <w:bCs/>
                <w:color w:val="FFFFFF"/>
                <w:sz w:val="17"/>
                <w:szCs w:val="17"/>
              </w:rPr>
              <w:t xml:space="preserve">Domain</w:t>
            </w:r>
          </w:p>
        </w:tc>
        <w:tc>
          <w:tcPr>
            <w:tcW w:type="dxa" w:w="6800"/>
            <w:shd w:fill="1C1C1C" w:color="auto" w:val="clear"/>
            <w:tcMar>
              <w:top w:type="dxa" w:w="100"/>
              <w:left w:type="dxa" w:w="120"/>
              <w:bottom w:type="dxa" w:w="100"/>
              <w:right w:type="dxa" w:w="120"/>
            </w:tcMar>
            <w:vAlign w:val="center"/>
          </w:tcPr>
          <w:p>
            <w:r>
              <w:rPr>
                <w:rFonts w:ascii="Calibri" w:cs="Calibri" w:eastAsia="Calibri" w:hAnsi="Calibri"/>
                <w:b/>
                <w:bCs/>
                <w:color w:val="FFFFFF"/>
                <w:sz w:val="17"/>
                <w:szCs w:val="17"/>
              </w:rPr>
              <w:t xml:space="preserve">Courses and Content</w:t>
            </w:r>
          </w:p>
        </w:tc>
      </w:tr>
      <w:tr>
        <w:tc>
          <w:tcPr>
            <w:tcW w:type="dxa" w:w="2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Core literacy</w:t>
            </w:r>
          </w:p>
        </w:tc>
        <w:tc>
          <w:tcPr>
            <w:tcW w:type="dxa" w:w="68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AI Essentials; Web3 Foundations; Blockchain Foundations; Blockchain &amp; Bitcoin Intensive</w:t>
            </w:r>
          </w:p>
        </w:tc>
      </w:tr>
      <w:tr>
        <w:tc>
          <w:tcPr>
            <w:tcW w:type="dxa" w:w="22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Architecture and strategy</w:t>
            </w:r>
          </w:p>
        </w:tc>
        <w:tc>
          <w:tcPr>
            <w:tcW w:type="dxa" w:w="68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Blockchain Development Decision; Blockchain Enterprise Strategy; Architecture 101, 201, 301; Ethereum Enterprise Strategist</w:t>
            </w:r>
          </w:p>
        </w:tc>
      </w:tr>
      <w:tr>
        <w:tc>
          <w:tcPr>
            <w:tcW w:type="dxa" w:w="2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Finance and assets</w:t>
            </w:r>
          </w:p>
        </w:tc>
        <w:tc>
          <w:tcPr>
            <w:tcW w:type="dxa" w:w="68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Fundamentals of DeFi &amp; Primitives; NFT Essentials; Tokenomic Essentials; Understanding L1 and L2 Blockchains</w:t>
            </w:r>
          </w:p>
        </w:tc>
      </w:tr>
      <w:tr>
        <w:tc>
          <w:tcPr>
            <w:tcW w:type="dxa" w:w="22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Operations</w:t>
            </w:r>
          </w:p>
        </w:tc>
        <w:tc>
          <w:tcPr>
            <w:tcW w:type="dxa" w:w="68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Intro to DevOps; Intro to Blockchain Scrum Master; Scrum Methods for Blockchain; agile architecture and team-of-teams scaling</w:t>
            </w:r>
          </w:p>
        </w:tc>
      </w:tr>
      <w:tr>
        <w:tc>
          <w:tcPr>
            <w:tcW w:type="dxa" w:w="2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Security</w:t>
            </w:r>
          </w:p>
        </w:tc>
        <w:tc>
          <w:tcPr>
            <w:tcW w:type="dxa" w:w="68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Key Management; Information Security and Cyber Risk Awareness; Smart Contract Security; Blockchain Security</w:t>
            </w:r>
          </w:p>
        </w:tc>
      </w:tr>
      <w:tr>
        <w:tc>
          <w:tcPr>
            <w:tcW w:type="dxa" w:w="22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Risk</w:t>
            </w:r>
          </w:p>
        </w:tc>
        <w:tc>
          <w:tcPr>
            <w:tcW w:type="dxa" w:w="68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Risk Management for Blockchain-Based Technology Companies; architecture/implementation risk; protocol and user risk</w:t>
            </w:r>
          </w:p>
        </w:tc>
      </w:tr>
      <w:tr>
        <w:tc>
          <w:tcPr>
            <w:tcW w:type="dxa" w:w="2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Compliance</w:t>
            </w:r>
          </w:p>
        </w:tc>
        <w:tc>
          <w:tcPr>
            <w:tcW w:type="dxa" w:w="68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Data Protection Regulation (GDPR, CPRA/CCPA); OFAC Compliance Essentials; blockchain and crypto regulation; regulatory reporting</w:t>
            </w:r>
          </w:p>
        </w:tc>
      </w:tr>
    </w:tbl>
    <w:p>
      <w:r>
        <w:br w:type="page"/>
      </w:r>
    </w:p>
    <w:p>
      <w:pPr>
        <w:pStyle w:val="Heading2"/>
        <w:spacing w:after="140" w:before="320"/>
      </w:pPr>
      <w:r>
        <w:rPr>
          <w:rFonts w:ascii="Calibri" w:cs="Calibri" w:eastAsia="Calibri" w:hAnsi="Calibri"/>
          <w:b/>
          <w:bCs/>
          <w:color w:val="1C1C1C"/>
          <w:sz w:val="24"/>
          <w:szCs w:val="24"/>
        </w:rPr>
        <w:t xml:space="preserve">5.4 — Web3 Growth &amp; Community Elective</w:t>
      </w:r>
    </w:p>
    <w:p>
      <w:pPr>
        <w:spacing w:after="140" w:line="300"/>
      </w:pPr>
      <w:r>
        <w:rPr>
          <w:rFonts w:ascii="Georgia" w:cs="Georgia" w:eastAsia="Georgia" w:hAnsi="Georgia"/>
          <w:i w:val="false"/>
          <w:iCs w:val="false"/>
          <w:color w:val="1C1C1C"/>
          <w:sz w:val="21"/>
          <w:szCs w:val="21"/>
        </w:rPr>
        <w:t xml:space="preserve">Purpose: translate applied DeFi-marketing practice into a structured elective for founders, growth teams, and community operators.</w:t>
      </w:r>
    </w:p>
    <w:tbl>
      <w:tblPr>
        <w:tblW w:type="dxa" w:w="9000"/>
        <w:tblBorders>
          <w:top w:val="single" w:color="D9D2C2" w:sz="4"/>
          <w:left w:val="single" w:color="D9D2C2" w:sz="4"/>
          <w:bottom w:val="single" w:color="D9D2C2" w:sz="4"/>
          <w:right w:val="single" w:color="D9D2C2" w:sz="4"/>
          <w:insideH w:val="single" w:color="D9D2C2" w:sz="4"/>
          <w:insideV w:val="single" w:color="D9D2C2" w:sz="4"/>
        </w:tblBorders>
      </w:tblPr>
      <w:tblGrid>
        <w:gridCol w:w="2200"/>
        <w:gridCol w:w="6800"/>
      </w:tblGrid>
      <w:tr>
        <w:trPr>
          <w:tblHeader/>
        </w:trPr>
        <w:tc>
          <w:tcPr>
            <w:tcW w:type="dxa" w:w="2200"/>
            <w:shd w:fill="1C1C1C" w:color="auto" w:val="clear"/>
            <w:tcMar>
              <w:top w:type="dxa" w:w="100"/>
              <w:left w:type="dxa" w:w="120"/>
              <w:bottom w:type="dxa" w:w="100"/>
              <w:right w:type="dxa" w:w="120"/>
            </w:tcMar>
            <w:vAlign w:val="center"/>
          </w:tcPr>
          <w:p>
            <w:r>
              <w:rPr>
                <w:rFonts w:ascii="Calibri" w:cs="Calibri" w:eastAsia="Calibri" w:hAnsi="Calibri"/>
                <w:b/>
                <w:bCs/>
                <w:color w:val="FFFFFF"/>
                <w:sz w:val="17"/>
                <w:szCs w:val="17"/>
              </w:rPr>
              <w:t xml:space="preserve">Module</w:t>
            </w:r>
          </w:p>
        </w:tc>
        <w:tc>
          <w:tcPr>
            <w:tcW w:type="dxa" w:w="6800"/>
            <w:shd w:fill="1C1C1C" w:color="auto" w:val="clear"/>
            <w:tcMar>
              <w:top w:type="dxa" w:w="100"/>
              <w:left w:type="dxa" w:w="120"/>
              <w:bottom w:type="dxa" w:w="100"/>
              <w:right w:type="dxa" w:w="120"/>
            </w:tcMar>
            <w:vAlign w:val="center"/>
          </w:tcPr>
          <w:p>
            <w:r>
              <w:rPr>
                <w:rFonts w:ascii="Calibri" w:cs="Calibri" w:eastAsia="Calibri" w:hAnsi="Calibri"/>
                <w:b/>
                <w:bCs/>
                <w:color w:val="FFFFFF"/>
                <w:sz w:val="17"/>
                <w:szCs w:val="17"/>
              </w:rPr>
              <w:t xml:space="preserve">Core Lesson</w:t>
            </w:r>
          </w:p>
        </w:tc>
      </w:tr>
      <w:tr>
        <w:tc>
          <w:tcPr>
            <w:tcW w:type="dxa" w:w="2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1. Project Essence</w:t>
            </w:r>
          </w:p>
        </w:tc>
        <w:tc>
          <w:tcPr>
            <w:tcW w:type="dxa" w:w="68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Define what the project is, the problem it addresses, its tagline, keywords, differentiated value, and the audience that should care.</w:t>
            </w:r>
          </w:p>
        </w:tc>
      </w:tr>
      <w:tr>
        <w:tc>
          <w:tcPr>
            <w:tcW w:type="dxa" w:w="22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2. Target Audience</w:t>
            </w:r>
          </w:p>
        </w:tc>
        <w:tc>
          <w:tcPr>
            <w:tcW w:type="dxa" w:w="68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Separate newcomers, experienced users, builders, investors, operators, and institutional audiences rather than marketing to everyone.</w:t>
            </w:r>
          </w:p>
        </w:tc>
      </w:tr>
      <w:tr>
        <w:tc>
          <w:tcPr>
            <w:tcW w:type="dxa" w:w="2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3. Marketing Budget</w:t>
            </w:r>
          </w:p>
        </w:tc>
        <w:tc>
          <w:tcPr>
            <w:tcW w:type="dxa" w:w="68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Establish available budget before selecting tactics: paid acquisition, content, partnerships, events, creators, community ops, experimentation.</w:t>
            </w:r>
          </w:p>
        </w:tc>
      </w:tr>
      <w:tr>
        <w:tc>
          <w:tcPr>
            <w:tcW w:type="dxa" w:w="22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4. Channel Possibilities</w:t>
            </w:r>
          </w:p>
        </w:tc>
        <w:tc>
          <w:tcPr>
            <w:tcW w:type="dxa" w:w="68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Evaluate influencer marketing, blockchain SEO, email, educational content, partnerships, community programs, and airdrops where appropriate.</w:t>
            </w:r>
          </w:p>
        </w:tc>
      </w:tr>
      <w:tr>
        <w:tc>
          <w:tcPr>
            <w:tcW w:type="dxa" w:w="2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5. Community Continuity</w:t>
            </w:r>
          </w:p>
        </w:tc>
        <w:tc>
          <w:tcPr>
            <w:tcW w:type="dxa" w:w="68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Support early users, maintain communication, collect feedback, and convert community trust into long-term participation and advocacy.</w:t>
            </w:r>
          </w:p>
        </w:tc>
      </w:tr>
    </w:tbl>
    <w:p>
      <w:r>
        <w:br w:type="page"/>
      </w:r>
    </w:p>
    <w:p>
      <w:pPr>
        <w:pStyle w:val="Heading1"/>
        <w:pBdr>
          <w:bottom w:val="single" w:color="EE7200" w:sz="8" w:space="6"/>
        </w:pBdr>
        <w:spacing w:after="200" w:before="480"/>
      </w:pPr>
      <w:r>
        <w:rPr>
          <w:rFonts w:ascii="Calibri" w:cs="Calibri" w:eastAsia="Calibri" w:hAnsi="Calibri"/>
          <w:b/>
          <w:bCs/>
          <w:color w:val="EE7200"/>
          <w:sz w:val="30"/>
          <w:szCs w:val="30"/>
        </w:rPr>
        <w:t xml:space="preserve">6. Assessment, Simulation &amp; Progression System</w:t>
      </w:r>
    </w:p>
    <w:p>
      <w:pPr>
        <w:spacing w:after="140" w:line="300"/>
      </w:pPr>
      <w:r>
        <w:rPr>
          <w:rFonts w:ascii="Georgia" w:cs="Georgia" w:eastAsia="Georgia" w:hAnsi="Georgia"/>
          <w:i w:val="false"/>
          <w:iCs w:val="false"/>
          <w:color w:val="1C1C1C"/>
          <w:sz w:val="21"/>
          <w:szCs w:val="21"/>
        </w:rPr>
        <w:t xml:space="preserve">The curriculum is delivered through the three-part academy loop already established for Iron Vault: identity, training, and visible progress.</w:t>
      </w:r>
    </w:p>
    <w:tbl>
      <w:tblPr>
        <w:tblW w:type="dxa" w:w="9000"/>
        <w:tblBorders>
          <w:top w:val="single" w:color="D9D2C2" w:sz="4"/>
          <w:left w:val="single" w:color="D9D2C2" w:sz="4"/>
          <w:bottom w:val="single" w:color="D9D2C2" w:sz="4"/>
          <w:right w:val="single" w:color="D9D2C2" w:sz="4"/>
          <w:insideH w:val="single" w:color="D9D2C2" w:sz="4"/>
          <w:insideV w:val="single" w:color="D9D2C2" w:sz="4"/>
        </w:tblBorders>
      </w:tblPr>
      <w:tblGrid>
        <w:gridCol w:w="1900"/>
        <w:gridCol w:w="1900"/>
        <w:gridCol w:w="5200"/>
      </w:tblGrid>
      <w:tr>
        <w:trPr>
          <w:tblHeader/>
        </w:trPr>
        <w:tc>
          <w:tcPr>
            <w:tcW w:type="dxa" w:w="1900"/>
            <w:shd w:fill="1C1C1C" w:color="auto" w:val="clear"/>
            <w:tcMar>
              <w:top w:type="dxa" w:w="100"/>
              <w:left w:type="dxa" w:w="120"/>
              <w:bottom w:type="dxa" w:w="100"/>
              <w:right w:type="dxa" w:w="120"/>
            </w:tcMar>
            <w:vAlign w:val="center"/>
          </w:tcPr>
          <w:p>
            <w:r>
              <w:rPr>
                <w:rFonts w:ascii="Calibri" w:cs="Calibri" w:eastAsia="Calibri" w:hAnsi="Calibri"/>
                <w:b/>
                <w:bCs/>
                <w:color w:val="FFFFFF"/>
                <w:sz w:val="17"/>
                <w:szCs w:val="17"/>
              </w:rPr>
              <w:t xml:space="preserve">System</w:t>
            </w:r>
          </w:p>
        </w:tc>
        <w:tc>
          <w:tcPr>
            <w:tcW w:type="dxa" w:w="1900"/>
            <w:shd w:fill="1C1C1C" w:color="auto" w:val="clear"/>
            <w:tcMar>
              <w:top w:type="dxa" w:w="100"/>
              <w:left w:type="dxa" w:w="120"/>
              <w:bottom w:type="dxa" w:w="100"/>
              <w:right w:type="dxa" w:w="120"/>
            </w:tcMar>
            <w:vAlign w:val="center"/>
          </w:tcPr>
          <w:p>
            <w:r>
              <w:rPr>
                <w:rFonts w:ascii="Calibri" w:cs="Calibri" w:eastAsia="Calibri" w:hAnsi="Calibri"/>
                <w:b/>
                <w:bCs/>
                <w:color w:val="FFFFFF"/>
                <w:sz w:val="17"/>
                <w:szCs w:val="17"/>
              </w:rPr>
              <w:t xml:space="preserve">Function</w:t>
            </w:r>
          </w:p>
        </w:tc>
        <w:tc>
          <w:tcPr>
            <w:tcW w:type="dxa" w:w="5200"/>
            <w:shd w:fill="1C1C1C" w:color="auto" w:val="clear"/>
            <w:tcMar>
              <w:top w:type="dxa" w:w="100"/>
              <w:left w:type="dxa" w:w="120"/>
              <w:bottom w:type="dxa" w:w="100"/>
              <w:right w:type="dxa" w:w="120"/>
            </w:tcMar>
            <w:vAlign w:val="center"/>
          </w:tcPr>
          <w:p>
            <w:r>
              <w:rPr>
                <w:rFonts w:ascii="Calibri" w:cs="Calibri" w:eastAsia="Calibri" w:hAnsi="Calibri"/>
                <w:b/>
                <w:bCs/>
                <w:color w:val="FFFFFF"/>
                <w:sz w:val="17"/>
                <w:szCs w:val="17"/>
              </w:rPr>
              <w:t xml:space="preserve">Curriculum Application</w:t>
            </w:r>
          </w:p>
        </w:tc>
      </w:tr>
      <w:tr>
        <w:tc>
          <w:tcPr>
            <w:tcW w:type="dxa" w:w="19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Avatar Forge</w:t>
            </w:r>
          </w:p>
        </w:tc>
        <w:tc>
          <w:tcPr>
            <w:tcW w:type="dxa" w:w="19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Learner identity and personalization</w:t>
            </w:r>
          </w:p>
        </w:tc>
        <w:tc>
          <w:tcPr>
            <w:tcW w:type="dxa" w:w="5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A persistent Vault identity associated with rank, progress, and earned achievements.</w:t>
            </w:r>
          </w:p>
        </w:tc>
      </w:tr>
      <w:tr>
        <w:tc>
          <w:tcPr>
            <w:tcW w:type="dxa" w:w="19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Training Grounds</w:t>
            </w:r>
          </w:p>
        </w:tc>
        <w:tc>
          <w:tcPr>
            <w:tcW w:type="dxa" w:w="19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Interactive learning</w:t>
            </w:r>
          </w:p>
        </w:tc>
        <w:tc>
          <w:tcPr>
            <w:tcW w:type="dxa" w:w="52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Quizzes, labs, simulations, scenarios, chain building, terminology matching, contract flows, and security decisions.</w:t>
            </w:r>
          </w:p>
        </w:tc>
      </w:tr>
      <w:tr>
        <w:tc>
          <w:tcPr>
            <w:tcW w:type="dxa" w:w="19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Progress Vault</w:t>
            </w:r>
          </w:p>
        </w:tc>
        <w:tc>
          <w:tcPr>
            <w:tcW w:type="dxa" w:w="19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Progress and retention</w:t>
            </w:r>
          </w:p>
        </w:tc>
        <w:tc>
          <w:tcPr>
            <w:tcW w:type="dxa" w:w="5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XP, levels, streaks, badges, course completion, pathway progress, and mastery milestones.</w:t>
            </w:r>
          </w:p>
        </w:tc>
      </w:tr>
    </w:tbl>
    <w:p>
      <w:pPr>
        <w:spacing w:after="140" w:line="300"/>
      </w:pPr>
      <w:r>
        <w:rPr>
          <w:rFonts w:ascii="Georgia" w:cs="Georgia" w:eastAsia="Georgia" w:hAnsi="Georgia"/>
          <w:i w:val="false"/>
          <w:iCs w:val="false"/>
          <w:color w:val="1C1C1C"/>
          <w:sz w:val="21"/>
          <w:szCs w:val="21"/>
        </w:rPr>
        <w:t xml:space="preserve"/>
      </w:r>
    </w:p>
    <w:p>
      <w:pPr>
        <w:pStyle w:val="Heading2"/>
        <w:spacing w:after="140" w:before="320"/>
      </w:pPr>
      <w:r>
        <w:rPr>
          <w:rFonts w:ascii="Calibri" w:cs="Calibri" w:eastAsia="Calibri" w:hAnsi="Calibri"/>
          <w:b/>
          <w:bCs/>
          <w:color w:val="1C1C1C"/>
          <w:sz w:val="24"/>
          <w:szCs w:val="24"/>
        </w:rPr>
        <w:t xml:space="preserve">Recommended Interaction Mapping</w:t>
      </w:r>
    </w:p>
    <w:tbl>
      <w:tblPr>
        <w:tblW w:type="dxa" w:w="9000"/>
        <w:tblBorders>
          <w:top w:val="single" w:color="D9D2C2" w:sz="4"/>
          <w:left w:val="single" w:color="D9D2C2" w:sz="4"/>
          <w:bottom w:val="single" w:color="D9D2C2" w:sz="4"/>
          <w:right w:val="single" w:color="D9D2C2" w:sz="4"/>
          <w:insideH w:val="single" w:color="D9D2C2" w:sz="4"/>
          <w:insideV w:val="single" w:color="D9D2C2" w:sz="4"/>
        </w:tblBorders>
      </w:tblPr>
      <w:tblGrid>
        <w:gridCol w:w="2600"/>
        <w:gridCol w:w="6400"/>
      </w:tblGrid>
      <w:tr>
        <w:trPr>
          <w:tblHeader/>
        </w:trPr>
        <w:tc>
          <w:tcPr>
            <w:tcW w:type="dxa" w:w="2600"/>
            <w:shd w:fill="1C1C1C" w:color="auto" w:val="clear"/>
            <w:tcMar>
              <w:top w:type="dxa" w:w="100"/>
              <w:left w:type="dxa" w:w="120"/>
              <w:bottom w:type="dxa" w:w="100"/>
              <w:right w:type="dxa" w:w="120"/>
            </w:tcMar>
            <w:vAlign w:val="center"/>
          </w:tcPr>
          <w:p>
            <w:r>
              <w:rPr>
                <w:rFonts w:ascii="Calibri" w:cs="Calibri" w:eastAsia="Calibri" w:hAnsi="Calibri"/>
                <w:b/>
                <w:bCs/>
                <w:color w:val="FFFFFF"/>
                <w:sz w:val="17"/>
                <w:szCs w:val="17"/>
              </w:rPr>
              <w:t xml:space="preserve">Concept</w:t>
            </w:r>
          </w:p>
        </w:tc>
        <w:tc>
          <w:tcPr>
            <w:tcW w:type="dxa" w:w="6400"/>
            <w:shd w:fill="1C1C1C" w:color="auto" w:val="clear"/>
            <w:tcMar>
              <w:top w:type="dxa" w:w="100"/>
              <w:left w:type="dxa" w:w="120"/>
              <w:bottom w:type="dxa" w:w="100"/>
              <w:right w:type="dxa" w:w="120"/>
            </w:tcMar>
            <w:vAlign w:val="center"/>
          </w:tcPr>
          <w:p>
            <w:r>
              <w:rPr>
                <w:rFonts w:ascii="Calibri" w:cs="Calibri" w:eastAsia="Calibri" w:hAnsi="Calibri"/>
                <w:b/>
                <w:bCs/>
                <w:color w:val="FFFFFF"/>
                <w:sz w:val="17"/>
                <w:szCs w:val="17"/>
              </w:rPr>
              <w:t xml:space="preserve">Interaction</w:t>
            </w:r>
          </w:p>
        </w:tc>
      </w:tr>
      <w:tr>
        <w:tc>
          <w:tcPr>
            <w:tcW w:type="dxa" w:w="2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Blockchain lifecycle</w:t>
            </w:r>
          </w:p>
        </w:tc>
        <w:tc>
          <w:tcPr>
            <w:tcW w:type="dxa" w:w="64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Sequenced lifecycle simulation</w:t>
            </w:r>
          </w:p>
        </w:tc>
      </w:tr>
      <w:tr>
        <w:tc>
          <w:tcPr>
            <w:tcW w:type="dxa" w:w="2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Consensus</w:t>
            </w:r>
          </w:p>
        </w:tc>
        <w:tc>
          <w:tcPr>
            <w:tcW w:type="dxa" w:w="64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Consensus-mechanism comparison simulator</w:t>
            </w:r>
          </w:p>
        </w:tc>
      </w:tr>
      <w:tr>
        <w:tc>
          <w:tcPr>
            <w:tcW w:type="dxa" w:w="2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Hashing</w:t>
            </w:r>
          </w:p>
        </w:tc>
        <w:tc>
          <w:tcPr>
            <w:tcW w:type="dxa" w:w="64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Editable-input avalanche-effect lab</w:t>
            </w:r>
          </w:p>
        </w:tc>
      </w:tr>
      <w:tr>
        <w:tc>
          <w:tcPr>
            <w:tcW w:type="dxa" w:w="2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Wallet security</w:t>
            </w:r>
          </w:p>
        </w:tc>
        <w:tc>
          <w:tcPr>
            <w:tcW w:type="dxa" w:w="64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Select-the-safe-practices scenario</w:t>
            </w:r>
          </w:p>
        </w:tc>
      </w:tr>
      <w:tr>
        <w:tc>
          <w:tcPr>
            <w:tcW w:type="dxa" w:w="2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Smart contracts</w:t>
            </w:r>
          </w:p>
        </w:tc>
        <w:tc>
          <w:tcPr>
            <w:tcW w:type="dxa" w:w="64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Escrow-condition and release-flow simulation</w:t>
            </w:r>
          </w:p>
        </w:tc>
      </w:tr>
      <w:tr>
        <w:tc>
          <w:tcPr>
            <w:tcW w:type="dxa" w:w="2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Blockchain structure</w:t>
            </w:r>
          </w:p>
        </w:tc>
        <w:tc>
          <w:tcPr>
            <w:tcW w:type="dxa" w:w="64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Hash-linked chain builder</w:t>
            </w:r>
          </w:p>
        </w:tc>
      </w:tr>
      <w:tr>
        <w:tc>
          <w:tcPr>
            <w:tcW w:type="dxa" w:w="2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Terminology</w:t>
            </w:r>
          </w:p>
        </w:tc>
        <w:tc>
          <w:tcPr>
            <w:tcW w:type="dxa" w:w="64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Concept-definition matching game</w:t>
            </w:r>
          </w:p>
        </w:tc>
      </w:tr>
      <w:tr>
        <w:tc>
          <w:tcPr>
            <w:tcW w:type="dxa" w:w="2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DeFi lending</w:t>
            </w:r>
          </w:p>
        </w:tc>
        <w:tc>
          <w:tcPr>
            <w:tcW w:type="dxa" w:w="64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Collateral, interest, health-factor, and liquidation sandbox</w:t>
            </w:r>
          </w:p>
        </w:tc>
      </w:tr>
      <w:tr>
        <w:tc>
          <w:tcPr>
            <w:tcW w:type="dxa" w:w="2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DAO governance</w:t>
            </w:r>
          </w:p>
        </w:tc>
        <w:tc>
          <w:tcPr>
            <w:tcW w:type="dxa" w:w="64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Proposal review and simulated vote</w:t>
            </w:r>
          </w:p>
        </w:tc>
      </w:tr>
      <w:tr>
        <w:tc>
          <w:tcPr>
            <w:tcW w:type="dxa" w:w="2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Tokenization</w:t>
            </w:r>
          </w:p>
        </w:tc>
        <w:tc>
          <w:tcPr>
            <w:tcW w:type="dxa" w:w="64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Practice NFT mint and metadata exercise</w:t>
            </w:r>
          </w:p>
        </w:tc>
      </w:tr>
      <w:tr>
        <w:tc>
          <w:tcPr>
            <w:tcW w:type="dxa" w:w="2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Solidity</w:t>
            </w:r>
          </w:p>
        </w:tc>
        <w:tc>
          <w:tcPr>
            <w:tcW w:type="dxa" w:w="64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Progressive code-completion and contract-debugging labs</w:t>
            </w:r>
          </w:p>
        </w:tc>
      </w:tr>
      <w:tr>
        <w:tc>
          <w:tcPr>
            <w:tcW w:type="dxa" w:w="2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Security</w:t>
            </w:r>
          </w:p>
        </w:tc>
        <w:tc>
          <w:tcPr>
            <w:tcW w:type="dxa" w:w="64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Vulnerability recognition, exploit-path analysis, and remediation scenarios</w:t>
            </w:r>
          </w:p>
        </w:tc>
      </w:tr>
    </w:tbl>
    <w:p>
      <w:pPr>
        <w:spacing w:after="140" w:line="300"/>
      </w:pPr>
      <w:r>
        <w:rPr>
          <w:rFonts w:ascii="Georgia" w:cs="Georgia" w:eastAsia="Georgia" w:hAnsi="Georgia"/>
          <w:i w:val="false"/>
          <w:iCs w:val="false"/>
          <w:color w:val="1C1C1C"/>
          <w:sz w:val="21"/>
          <w:szCs w:val="21"/>
        </w:rPr>
        <w:t xml:space="preserve"/>
      </w:r>
    </w:p>
    <w:p>
      <w:pPr>
        <w:pStyle w:val="Heading2"/>
        <w:spacing w:after="140" w:before="320"/>
      </w:pPr>
      <w:r>
        <w:rPr>
          <w:rFonts w:ascii="Calibri" w:cs="Calibri" w:eastAsia="Calibri" w:hAnsi="Calibri"/>
          <w:b/>
          <w:bCs/>
          <w:color w:val="1C1C1C"/>
          <w:sz w:val="24"/>
          <w:szCs w:val="24"/>
        </w:rPr>
        <w:t xml:space="preserve">Mastery &amp; Progression Rules</w:t>
      </w:r>
    </w:p>
    <w:p>
      <w:pPr>
        <w:pStyle w:val="ListParagraph"/>
        <w:numPr>
          <w:ilvl w:val="0"/>
          <w:numId w:val="1"/>
        </w:numPr>
        <w:spacing w:after="80" w:line="280"/>
      </w:pPr>
      <w:r>
        <w:rPr>
          <w:rFonts w:ascii="Georgia" w:cs="Georgia" w:eastAsia="Georgia" w:hAnsi="Georgia"/>
          <w:color w:val="1C1C1C"/>
          <w:sz w:val="20"/>
          <w:szCs w:val="20"/>
        </w:rPr>
        <w:t xml:space="preserve">Use XP as the internal learning-progress unit.</w:t>
      </w:r>
    </w:p>
    <w:p>
      <w:pPr>
        <w:pStyle w:val="ListParagraph"/>
        <w:numPr>
          <w:ilvl w:val="0"/>
          <w:numId w:val="1"/>
        </w:numPr>
        <w:spacing w:after="80" w:line="280"/>
      </w:pPr>
      <w:r>
        <w:rPr>
          <w:rFonts w:ascii="Georgia" w:cs="Georgia" w:eastAsia="Georgia" w:hAnsi="Georgia"/>
          <w:color w:val="1C1C1C"/>
          <w:sz w:val="20"/>
          <w:szCs w:val="20"/>
        </w:rPr>
        <w:t xml:space="preserve">Award XP for first completion, improved assessment performance, verified labs, pathway milestones, and streaks per documented rules.</w:t>
      </w:r>
    </w:p>
    <w:p>
      <w:pPr>
        <w:pStyle w:val="ListParagraph"/>
        <w:numPr>
          <w:ilvl w:val="0"/>
          <w:numId w:val="1"/>
        </w:numPr>
        <w:spacing w:after="80" w:line="280"/>
      </w:pPr>
      <w:r>
        <w:rPr>
          <w:rFonts w:ascii="Georgia" w:cs="Georgia" w:eastAsia="Georgia" w:hAnsi="Georgia"/>
          <w:color w:val="1C1C1C"/>
          <w:sz w:val="20"/>
          <w:szCs w:val="20"/>
        </w:rPr>
        <w:t xml:space="preserve">Separate XP from any token, financial, or payout mechanism.</w:t>
      </w:r>
    </w:p>
    <w:p>
      <w:pPr>
        <w:pStyle w:val="ListParagraph"/>
        <w:numPr>
          <w:ilvl w:val="0"/>
          <w:numId w:val="1"/>
        </w:numPr>
        <w:spacing w:after="80" w:line="280"/>
      </w:pPr>
      <w:r>
        <w:rPr>
          <w:rFonts w:ascii="Georgia" w:cs="Georgia" w:eastAsia="Georgia" w:hAnsi="Georgia"/>
          <w:color w:val="1C1C1C"/>
          <w:sz w:val="20"/>
          <w:szCs w:val="20"/>
        </w:rPr>
        <w:t xml:space="preserve">Use course-level pass requirements, retry policies, and prerequisite gates where the curriculum requires sequential mastery.</w:t>
      </w:r>
    </w:p>
    <w:p>
      <w:pPr>
        <w:pStyle w:val="ListParagraph"/>
        <w:numPr>
          <w:ilvl w:val="0"/>
          <w:numId w:val="1"/>
        </w:numPr>
        <w:spacing w:after="80" w:line="280"/>
      </w:pPr>
      <w:r>
        <w:rPr>
          <w:rFonts w:ascii="Georgia" w:cs="Georgia" w:eastAsia="Georgia" w:hAnsi="Georgia"/>
          <w:color w:val="1C1C1C"/>
          <w:sz w:val="20"/>
          <w:szCs w:val="20"/>
        </w:rPr>
        <w:t xml:space="preserve">Award badges for demonstrated outcomes — not merely for opening content.</w:t>
      </w:r>
    </w:p>
    <w:p>
      <w:pPr>
        <w:pStyle w:val="ListParagraph"/>
        <w:numPr>
          <w:ilvl w:val="0"/>
          <w:numId w:val="1"/>
        </w:numPr>
        <w:spacing w:after="80" w:line="280"/>
      </w:pPr>
      <w:r>
        <w:rPr>
          <w:rFonts w:ascii="Georgia" w:cs="Georgia" w:eastAsia="Georgia" w:hAnsi="Georgia"/>
          <w:color w:val="1C1C1C"/>
          <w:sz w:val="20"/>
          <w:szCs w:val="20"/>
        </w:rPr>
        <w:t xml:space="preserve">Record completion against a canonical course, module, lesson, interaction, and assessment identifier.</w:t>
      </w:r>
    </w:p>
    <w:p>
      <w:r>
        <w:br w:type="page"/>
      </w:r>
    </w:p>
    <w:p>
      <w:pPr>
        <w:pStyle w:val="Heading1"/>
        <w:pBdr>
          <w:bottom w:val="single" w:color="EE7200" w:sz="8" w:space="6"/>
        </w:pBdr>
        <w:spacing w:after="200" w:before="480"/>
      </w:pPr>
      <w:r>
        <w:rPr>
          <w:rFonts w:ascii="Calibri" w:cs="Calibri" w:eastAsia="Calibri" w:hAnsi="Calibri"/>
          <w:b/>
          <w:bCs/>
          <w:color w:val="EE7200"/>
          <w:sz w:val="30"/>
          <w:szCs w:val="30"/>
        </w:rPr>
        <w:t xml:space="preserve">7. Academic Policies &amp; Content Standards</w:t>
      </w:r>
    </w:p>
    <w:p>
      <w:pPr>
        <w:pStyle w:val="Heading2"/>
        <w:spacing w:after="140" w:before="320"/>
      </w:pPr>
      <w:r>
        <w:rPr>
          <w:rFonts w:ascii="Calibri" w:cs="Calibri" w:eastAsia="Calibri" w:hAnsi="Calibri"/>
          <w:b/>
          <w:bCs/>
          <w:color w:val="1C1C1C"/>
          <w:sz w:val="24"/>
          <w:szCs w:val="24"/>
        </w:rPr>
        <w:t xml:space="preserve">Grading &amp; Completion Standard</w:t>
      </w:r>
    </w:p>
    <w:p>
      <w:pPr>
        <w:spacing w:after="140" w:line="300"/>
      </w:pPr>
      <w:r>
        <w:rPr>
          <w:rFonts w:ascii="Georgia" w:cs="Georgia" w:eastAsia="Georgia" w:hAnsi="Georgia"/>
          <w:i w:val="false"/>
          <w:iCs w:val="false"/>
          <w:color w:val="1C1C1C"/>
          <w:sz w:val="21"/>
          <w:szCs w:val="21"/>
        </w:rPr>
        <w:t xml:space="preserve">Unless a course-specific table states otherwise, the academy-wide default is: checkpoint quizzes throughout the course, a final exam requiring 70% to pass, and up to three final-exam attempts. Completion is recorded as an Iron Vault Academy completion certificate or digital completion credential once evidence is verified.</w:t>
      </w:r>
    </w:p>
    <w:p>
      <w:pPr>
        <w:pStyle w:val="Heading2"/>
        <w:spacing w:after="140" w:before="320"/>
      </w:pPr>
      <w:r>
        <w:rPr>
          <w:rFonts w:ascii="Calibri" w:cs="Calibri" w:eastAsia="Calibri" w:hAnsi="Calibri"/>
          <w:b/>
          <w:bCs/>
          <w:color w:val="1C1C1C"/>
          <w:sz w:val="24"/>
          <w:szCs w:val="24"/>
        </w:rPr>
        <w:t xml:space="preserve">Content Exclusions</w:t>
      </w:r>
    </w:p>
    <w:p>
      <w:pPr>
        <w:spacing w:after="140" w:line="300"/>
      </w:pPr>
      <w:r>
        <w:rPr>
          <w:rFonts w:ascii="Georgia" w:cs="Georgia" w:eastAsia="Georgia" w:hAnsi="Georgia"/>
          <w:i w:val="false"/>
          <w:iCs w:val="false"/>
          <w:color w:val="1C1C1C"/>
          <w:sz w:val="21"/>
          <w:szCs w:val="21"/>
        </w:rPr>
        <w:t xml:space="preserve">The following claims and framings are intentionally excluded from all Iron Vault Academy product materials:</w:t>
      </w:r>
    </w:p>
    <w:p>
      <w:pPr>
        <w:pStyle w:val="ListParagraph"/>
        <w:numPr>
          <w:ilvl w:val="0"/>
          <w:numId w:val="1"/>
        </w:numPr>
        <w:spacing w:after="80" w:line="280"/>
      </w:pPr>
      <w:r>
        <w:rPr>
          <w:rFonts w:ascii="Georgia" w:cs="Georgia" w:eastAsia="Georgia" w:hAnsi="Georgia"/>
          <w:color w:val="1C1C1C"/>
          <w:sz w:val="20"/>
          <w:szCs w:val="20"/>
        </w:rPr>
        <w:t xml:space="preserve">Unverified third-party exam vouchers, certification-board exam claims, certification-badge coverage percentages, and tuition-credit promises.</w:t>
      </w:r>
    </w:p>
    <w:p>
      <w:pPr>
        <w:pStyle w:val="ListParagraph"/>
        <w:numPr>
          <w:ilvl w:val="0"/>
          <w:numId w:val="1"/>
        </w:numPr>
        <w:spacing w:after="80" w:line="280"/>
      </w:pPr>
      <w:r>
        <w:rPr>
          <w:rFonts w:ascii="Georgia" w:cs="Georgia" w:eastAsia="Georgia" w:hAnsi="Georgia"/>
          <w:color w:val="1C1C1C"/>
          <w:sz w:val="20"/>
          <w:szCs w:val="20"/>
        </w:rPr>
        <w:t xml:space="preserve">Africa-specific positioning, including savings-group, SACCO, and chama framing, from the general-market curriculum.</w:t>
      </w:r>
    </w:p>
    <w:p>
      <w:pPr>
        <w:pStyle w:val="ListParagraph"/>
        <w:numPr>
          <w:ilvl w:val="0"/>
          <w:numId w:val="1"/>
        </w:numPr>
        <w:spacing w:after="80" w:line="280"/>
      </w:pPr>
      <w:r>
        <w:rPr>
          <w:rFonts w:ascii="Georgia" w:cs="Georgia" w:eastAsia="Georgia" w:hAnsi="Georgia"/>
          <w:color w:val="1C1C1C"/>
          <w:sz w:val="20"/>
          <w:szCs w:val="20"/>
        </w:rPr>
        <w:t xml:space="preserve">Claims that DeFi yield will outperform bank interest or otherwise produce a particular financial result.</w:t>
      </w:r>
    </w:p>
    <w:p>
      <w:pPr>
        <w:pStyle w:val="ListParagraph"/>
        <w:numPr>
          <w:ilvl w:val="0"/>
          <w:numId w:val="1"/>
        </w:numPr>
        <w:spacing w:after="80" w:line="280"/>
      </w:pPr>
      <w:r>
        <w:rPr>
          <w:rFonts w:ascii="Georgia" w:cs="Georgia" w:eastAsia="Georgia" w:hAnsi="Georgia"/>
          <w:color w:val="1C1C1C"/>
          <w:sz w:val="20"/>
          <w:szCs w:val="20"/>
        </w:rPr>
        <w:t xml:space="preserve">Any implication that course completion constitutes financial, legal, tax, or investment advice.</w:t>
      </w:r>
    </w:p>
    <w:p>
      <w:r>
        <w:br w:type="page"/>
      </w:r>
    </w:p>
    <w:p>
      <w:pPr>
        <w:pStyle w:val="Heading1"/>
        <w:pBdr>
          <w:bottom w:val="single" w:color="EE7200" w:sz="8" w:space="6"/>
        </w:pBdr>
        <w:spacing w:after="200" w:before="480"/>
      </w:pPr>
      <w:r>
        <w:rPr>
          <w:rFonts w:ascii="Calibri" w:cs="Calibri" w:eastAsia="Calibri" w:hAnsi="Calibri"/>
          <w:b/>
          <w:bCs/>
          <w:color w:val="EE7200"/>
          <w:sz w:val="30"/>
          <w:szCs w:val="30"/>
        </w:rPr>
        <w:t xml:space="preserve">Appendix A — Complete Source-Course Register</w:t>
      </w:r>
    </w:p>
    <w:p>
      <w:pPr>
        <w:spacing w:after="140" w:line="300"/>
      </w:pPr>
      <w:r>
        <w:rPr>
          <w:rFonts w:ascii="Georgia" w:cs="Georgia" w:eastAsia="Georgia" w:hAnsi="Georgia"/>
          <w:i w:val="false"/>
          <w:iCs w:val="false"/>
          <w:color w:val="1C1C1C"/>
          <w:sz w:val="21"/>
          <w:szCs w:val="21"/>
        </w:rPr>
        <w:t xml:space="preserve">This register preserves every supplied catalog entry and shows where it sits after normalization. Identical titles appearing in multiple supplied programs are cross-listed rather than duplicated as separate canonical courses.</w:t>
      </w:r>
    </w:p>
    <w:tbl>
      <w:tblPr>
        <w:tblW w:type="dxa" w:w="8800"/>
        <w:tblBorders>
          <w:top w:val="single" w:color="D9D2C2" w:sz="4"/>
          <w:left w:val="single" w:color="D9D2C2" w:sz="4"/>
          <w:bottom w:val="single" w:color="D9D2C2" w:sz="4"/>
          <w:right w:val="single" w:color="D9D2C2" w:sz="4"/>
          <w:insideH w:val="single" w:color="D9D2C2" w:sz="4"/>
          <w:insideV w:val="single" w:color="D9D2C2" w:sz="4"/>
        </w:tblBorders>
      </w:tblPr>
      <w:tblGrid>
        <w:gridCol w:w="4200"/>
        <w:gridCol w:w="4600"/>
      </w:tblGrid>
      <w:tr>
        <w:trPr>
          <w:tblHeader/>
        </w:trPr>
        <w:tc>
          <w:tcPr>
            <w:tcW w:type="dxa" w:w="4200"/>
            <w:shd w:fill="1C1C1C" w:color="auto" w:val="clear"/>
            <w:tcMar>
              <w:top w:type="dxa" w:w="100"/>
              <w:left w:type="dxa" w:w="120"/>
              <w:bottom w:type="dxa" w:w="100"/>
              <w:right w:type="dxa" w:w="120"/>
            </w:tcMar>
            <w:vAlign w:val="center"/>
          </w:tcPr>
          <w:p>
            <w:r>
              <w:rPr>
                <w:rFonts w:ascii="Calibri" w:cs="Calibri" w:eastAsia="Calibri" w:hAnsi="Calibri"/>
                <w:b/>
                <w:bCs/>
                <w:color w:val="FFFFFF"/>
                <w:sz w:val="17"/>
                <w:szCs w:val="17"/>
              </w:rPr>
              <w:t xml:space="preserve">Canonical Course / Program</w:t>
            </w:r>
          </w:p>
        </w:tc>
        <w:tc>
          <w:tcPr>
            <w:tcW w:type="dxa" w:w="4600"/>
            <w:shd w:fill="1C1C1C" w:color="auto" w:val="clear"/>
            <w:tcMar>
              <w:top w:type="dxa" w:w="100"/>
              <w:left w:type="dxa" w:w="120"/>
              <w:bottom w:type="dxa" w:w="100"/>
              <w:right w:type="dxa" w:w="120"/>
            </w:tcMar>
            <w:vAlign w:val="center"/>
          </w:tcPr>
          <w:p>
            <w:r>
              <w:rPr>
                <w:rFonts w:ascii="Calibri" w:cs="Calibri" w:eastAsia="Calibri" w:hAnsi="Calibri"/>
                <w:b/>
                <w:bCs/>
                <w:color w:val="FFFFFF"/>
                <w:sz w:val="17"/>
                <w:szCs w:val="17"/>
              </w:rPr>
              <w:t xml:space="preserve">Pathway Placement</w:t>
            </w:r>
          </w:p>
        </w:tc>
      </w:tr>
      <w:tr>
        <w:tc>
          <w:tcPr>
            <w:tcW w:type="dxa" w:w="4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AI Essentials</w:t>
            </w:r>
          </w:p>
        </w:tc>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AI Prompt Engineer; Enterprise/Operator</w:t>
            </w:r>
          </w:p>
        </w:tc>
      </w:tr>
      <w:tr>
        <w:tc>
          <w:tcPr>
            <w:tcW w:type="dxa" w:w="42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Web3 Foundations</w:t>
            </w:r>
          </w:p>
        </w:tc>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Core Literacy; Developer; AI Prompt Engineer</w:t>
            </w:r>
          </w:p>
        </w:tc>
      </w:tr>
      <w:tr>
        <w:tc>
          <w:tcPr>
            <w:tcW w:type="dxa" w:w="4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Blockchain Foundations</w:t>
            </w:r>
          </w:p>
        </w:tc>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Core Literacy; Developer; AI Prompt Engineer; Enterprise</w:t>
            </w:r>
          </w:p>
        </w:tc>
      </w:tr>
      <w:tr>
        <w:tc>
          <w:tcPr>
            <w:tcW w:type="dxa" w:w="42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Blockchain &amp; Bitcoin Intensive</w:t>
            </w:r>
          </w:p>
        </w:tc>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Core Literacy; Developer; AI Prompt Engineer</w:t>
            </w:r>
          </w:p>
        </w:tc>
      </w:tr>
      <w:tr>
        <w:tc>
          <w:tcPr>
            <w:tcW w:type="dxa" w:w="4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Blockchain Development Decision</w:t>
            </w:r>
          </w:p>
        </w:tc>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Developer; Architecture &amp; Enterprise</w:t>
            </w:r>
          </w:p>
        </w:tc>
      </w:tr>
      <w:tr>
        <w:tc>
          <w:tcPr>
            <w:tcW w:type="dxa" w:w="42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Key Management</w:t>
            </w:r>
          </w:p>
        </w:tc>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Developer; Security, Risk &amp; Compliance</w:t>
            </w:r>
          </w:p>
        </w:tc>
      </w:tr>
      <w:tr>
        <w:tc>
          <w:tcPr>
            <w:tcW w:type="dxa" w:w="4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Blockchain Enterprise Strategy</w:t>
            </w:r>
          </w:p>
        </w:tc>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Architecture &amp; Enterprise</w:t>
            </w:r>
          </w:p>
        </w:tc>
      </w:tr>
      <w:tr>
        <w:tc>
          <w:tcPr>
            <w:tcW w:type="dxa" w:w="42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Fundamentals of DeFi &amp; Primitives</w:t>
            </w:r>
          </w:p>
        </w:tc>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DeFi Practitioner; Enterprise/Operator</w:t>
            </w:r>
          </w:p>
        </w:tc>
      </w:tr>
      <w:tr>
        <w:tc>
          <w:tcPr>
            <w:tcW w:type="dxa" w:w="4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Non-Fungible Token Essentials</w:t>
            </w:r>
          </w:p>
        </w:tc>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DeFi Practitioner; Enterprise/Operator</w:t>
            </w:r>
          </w:p>
        </w:tc>
      </w:tr>
      <w:tr>
        <w:tc>
          <w:tcPr>
            <w:tcW w:type="dxa" w:w="42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Tokenomic Essentials</w:t>
            </w:r>
          </w:p>
        </w:tc>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DeFi Practitioner; Enterprise/Operator</w:t>
            </w:r>
          </w:p>
        </w:tc>
      </w:tr>
      <w:tr>
        <w:tc>
          <w:tcPr>
            <w:tcW w:type="dxa" w:w="4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Understanding L1 and L2 Blockchains</w:t>
            </w:r>
          </w:p>
        </w:tc>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Developer; Architecture &amp; Enterprise</w:t>
            </w:r>
          </w:p>
        </w:tc>
      </w:tr>
      <w:tr>
        <w:tc>
          <w:tcPr>
            <w:tcW w:type="dxa" w:w="42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Introduction to DevOps</w:t>
            </w:r>
          </w:p>
        </w:tc>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Developer; Operations</w:t>
            </w:r>
          </w:p>
        </w:tc>
      </w:tr>
      <w:tr>
        <w:tc>
          <w:tcPr>
            <w:tcW w:type="dxa" w:w="4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Information Security and Cyber Risk Awareness</w:t>
            </w:r>
          </w:p>
        </w:tc>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Security, Risk &amp; Compliance</w:t>
            </w:r>
          </w:p>
        </w:tc>
      </w:tr>
      <w:tr>
        <w:tc>
          <w:tcPr>
            <w:tcW w:type="dxa" w:w="42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Risk Management for Blockchain-Based Technology Companies</w:t>
            </w:r>
          </w:p>
        </w:tc>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Security, Risk &amp; Compliance</w:t>
            </w:r>
          </w:p>
        </w:tc>
      </w:tr>
      <w:tr>
        <w:tc>
          <w:tcPr>
            <w:tcW w:type="dxa" w:w="4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Data Protection Regulation: GDPR and CPRA/CCPA</w:t>
            </w:r>
          </w:p>
        </w:tc>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Security, Risk &amp; Compliance</w:t>
            </w:r>
          </w:p>
        </w:tc>
      </w:tr>
      <w:tr>
        <w:tc>
          <w:tcPr>
            <w:tcW w:type="dxa" w:w="42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OFAC Compliance Essentials</w:t>
            </w:r>
          </w:p>
        </w:tc>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Security, Risk &amp; Compliance</w:t>
            </w:r>
          </w:p>
        </w:tc>
      </w:tr>
      <w:tr>
        <w:tc>
          <w:tcPr>
            <w:tcW w:type="dxa" w:w="4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Introduction to Blockchain Scrum Master</w:t>
            </w:r>
          </w:p>
        </w:tc>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Developer; Operations</w:t>
            </w:r>
          </w:p>
        </w:tc>
      </w:tr>
      <w:tr>
        <w:tc>
          <w:tcPr>
            <w:tcW w:type="dxa" w:w="42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Blockchain Architecture 101</w:t>
            </w:r>
          </w:p>
        </w:tc>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Developer; Architecture &amp; Enterprise</w:t>
            </w:r>
          </w:p>
        </w:tc>
      </w:tr>
      <w:tr>
        <w:tc>
          <w:tcPr>
            <w:tcW w:type="dxa" w:w="4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Blockchain Architecture 201</w:t>
            </w:r>
          </w:p>
        </w:tc>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Developer; Architecture &amp; Enterprise</w:t>
            </w:r>
          </w:p>
        </w:tc>
      </w:tr>
      <w:tr>
        <w:tc>
          <w:tcPr>
            <w:tcW w:type="dxa" w:w="42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Prompt Engineering 101: AI Chatbot (ChatGPT)</w:t>
            </w:r>
          </w:p>
        </w:tc>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AI Prompt Engineer</w:t>
            </w:r>
          </w:p>
        </w:tc>
      </w:tr>
      <w:tr>
        <w:tc>
          <w:tcPr>
            <w:tcW w:type="dxa" w:w="4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AI Prompt Engineering 201: Advanced Topics</w:t>
            </w:r>
          </w:p>
        </w:tc>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AI Prompt Engineer</w:t>
            </w:r>
          </w:p>
        </w:tc>
      </w:tr>
      <w:tr>
        <w:tc>
          <w:tcPr>
            <w:tcW w:type="dxa" w:w="42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AI Prompt Engineering 301: Developer Topics</w:t>
            </w:r>
          </w:p>
        </w:tc>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AI Prompt Engineer</w:t>
            </w:r>
          </w:p>
        </w:tc>
      </w:tr>
      <w:tr>
        <w:tc>
          <w:tcPr>
            <w:tcW w:type="dxa" w:w="4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Mastering Image Generative AI</w:t>
            </w:r>
          </w:p>
        </w:tc>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AI Prompt Engineer</w:t>
            </w:r>
          </w:p>
        </w:tc>
      </w:tr>
      <w:tr>
        <w:tc>
          <w:tcPr>
            <w:tcW w:type="dxa" w:w="42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Mastering Music Generative AI</w:t>
            </w:r>
          </w:p>
        </w:tc>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AI Prompt Engineer</w:t>
            </w:r>
          </w:p>
        </w:tc>
      </w:tr>
      <w:tr>
        <w:tc>
          <w:tcPr>
            <w:tcW w:type="dxa" w:w="4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zk-SNARKs Essentials</w:t>
            </w:r>
          </w:p>
        </w:tc>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Web3 Developer</w:t>
            </w:r>
          </w:p>
        </w:tc>
      </w:tr>
      <w:tr>
        <w:tc>
          <w:tcPr>
            <w:tcW w:type="dxa" w:w="42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Solidity Smart Contract Developer (EVM)</w:t>
            </w:r>
          </w:p>
        </w:tc>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Web3 Developer</w:t>
            </w:r>
          </w:p>
        </w:tc>
      </w:tr>
      <w:tr>
        <w:tc>
          <w:tcPr>
            <w:tcW w:type="dxa" w:w="4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Smart Contract Developer Live Workshop</w:t>
            </w:r>
          </w:p>
        </w:tc>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Web3 Developer</w:t>
            </w:r>
          </w:p>
        </w:tc>
      </w:tr>
      <w:tr>
        <w:tc>
          <w:tcPr>
            <w:tcW w:type="dxa" w:w="42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Smart Contract Security</w:t>
            </w:r>
          </w:p>
        </w:tc>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Web3 Developer; Security</w:t>
            </w:r>
          </w:p>
        </w:tc>
      </w:tr>
      <w:tr>
        <w:tc>
          <w:tcPr>
            <w:tcW w:type="dxa" w:w="4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Ethereum Enterprise Strategist</w:t>
            </w:r>
          </w:p>
        </w:tc>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Web3 Developer; Architecture &amp; Enterprise</w:t>
            </w:r>
          </w:p>
        </w:tc>
      </w:tr>
      <w:tr>
        <w:tc>
          <w:tcPr>
            <w:tcW w:type="dxa" w:w="42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Ethereum DApp Developer</w:t>
            </w:r>
          </w:p>
        </w:tc>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Web3 Developer</w:t>
            </w:r>
          </w:p>
        </w:tc>
      </w:tr>
      <w:tr>
        <w:tc>
          <w:tcPr>
            <w:tcW w:type="dxa" w:w="4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Ethereum DApp Live Workshop</w:t>
            </w:r>
          </w:p>
        </w:tc>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Web3 Developer</w:t>
            </w:r>
          </w:p>
        </w:tc>
      </w:tr>
      <w:tr>
        <w:tc>
          <w:tcPr>
            <w:tcW w:type="dxa" w:w="42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Blockchain Security</w:t>
            </w:r>
          </w:p>
        </w:tc>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Web3 Developer; Security</w:t>
            </w:r>
          </w:p>
        </w:tc>
      </w:tr>
      <w:tr>
        <w:tc>
          <w:tcPr>
            <w:tcW w:type="dxa" w:w="4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Blockchain Security Live Workshop</w:t>
            </w:r>
          </w:p>
        </w:tc>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Web3 Developer; Security</w:t>
            </w:r>
          </w:p>
        </w:tc>
      </w:tr>
      <w:tr>
        <w:tc>
          <w:tcPr>
            <w:tcW w:type="dxa" w:w="42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Blockchain Architecture 301</w:t>
            </w:r>
          </w:p>
        </w:tc>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Web3 Developer; Architecture &amp; Enterprise</w:t>
            </w:r>
          </w:p>
        </w:tc>
      </w:tr>
      <w:tr>
        <w:tc>
          <w:tcPr>
            <w:tcW w:type="dxa" w:w="4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Blockchain Architecture Workshop</w:t>
            </w:r>
          </w:p>
        </w:tc>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Web3 Developer; Architecture &amp; Enterprise</w:t>
            </w:r>
          </w:p>
        </w:tc>
      </w:tr>
      <w:tr>
        <w:tc>
          <w:tcPr>
            <w:tcW w:type="dxa" w:w="42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Scrum Methods for Blockchain</w:t>
            </w:r>
          </w:p>
        </w:tc>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Web3 Developer; Operations</w:t>
            </w:r>
          </w:p>
        </w:tc>
      </w:tr>
      <w:tr>
        <w:tc>
          <w:tcPr>
            <w:tcW w:type="dxa" w:w="4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Architecting Solutions by Combining Agile Methodologies</w:t>
            </w:r>
          </w:p>
        </w:tc>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Web3 Developer; Operations</w:t>
            </w:r>
          </w:p>
        </w:tc>
      </w:tr>
      <w:tr>
        <w:tc>
          <w:tcPr>
            <w:tcW w:type="dxa" w:w="42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Scaling Agile Solutions for Blockchain to a Team-of-Teams</w:t>
            </w:r>
          </w:p>
        </w:tc>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Web3 Developer; Operations</w:t>
            </w:r>
          </w:p>
        </w:tc>
      </w:tr>
      <w:tr>
        <w:tc>
          <w:tcPr>
            <w:tcW w:type="dxa" w:w="42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Eight-Week Practical DeFi &amp; Web3 Finance Bootcamp</w:t>
            </w:r>
          </w:p>
        </w:tc>
        <w:tc>
          <w:tcPr>
            <w:tcW w:type="dxa" w:w="4600"/>
            <w:shd w:fill="FFFFFF"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DeFi Practitioner</w:t>
            </w:r>
          </w:p>
        </w:tc>
      </w:tr>
      <w:tr>
        <w:tc>
          <w:tcPr>
            <w:tcW w:type="dxa" w:w="42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Web3 Growth &amp; Community</w:t>
            </w:r>
          </w:p>
        </w:tc>
        <w:tc>
          <w:tcPr>
            <w:tcW w:type="dxa" w:w="4600"/>
            <w:shd w:fill="F5F0E8" w:color="auto" w:val="clear"/>
            <w:tcMar>
              <w:top w:type="dxa" w:w="90"/>
              <w:left w:type="dxa" w:w="120"/>
              <w:bottom w:type="dxa" w:w="90"/>
              <w:right w:type="dxa" w:w="120"/>
            </w:tcMar>
            <w:vAlign w:val="center"/>
          </w:tcPr>
          <w:p>
            <w:r>
              <w:rPr>
                <w:rFonts w:ascii="Georgia" w:cs="Georgia" w:eastAsia="Georgia" w:hAnsi="Georgia"/>
                <w:color w:val="1C1C1C"/>
                <w:sz w:val="18"/>
                <w:szCs w:val="18"/>
              </w:rPr>
              <w:t xml:space="preserve">Growth elective</w:t>
            </w:r>
          </w:p>
        </w:tc>
      </w:tr>
    </w:tbl>
    <w:p>
      <w:r>
        <w:br w:type="page"/>
      </w:r>
    </w:p>
    <w:p>
      <w:pPr>
        <w:pStyle w:val="Heading1"/>
        <w:pBdr>
          <w:bottom w:val="single" w:color="EE7200" w:sz="8" w:space="6"/>
        </w:pBdr>
        <w:spacing w:after="200" w:before="480"/>
      </w:pPr>
      <w:r>
        <w:rPr>
          <w:rFonts w:ascii="Calibri" w:cs="Calibri" w:eastAsia="Calibri" w:hAnsi="Calibri"/>
          <w:b/>
          <w:bCs/>
          <w:color w:val="EE7200"/>
          <w:sz w:val="30"/>
          <w:szCs w:val="30"/>
        </w:rPr>
        <w:t xml:space="preserve">Implementation Handoff</w:t>
      </w:r>
    </w:p>
    <w:p>
      <w:pPr>
        <w:pStyle w:val="ListParagraph"/>
        <w:numPr>
          <w:ilvl w:val="0"/>
          <w:numId w:val="1"/>
        </w:numPr>
        <w:spacing w:after="80" w:line="280"/>
      </w:pPr>
      <w:r>
        <w:rPr>
          <w:rFonts w:ascii="Georgia" w:cs="Georgia" w:eastAsia="Georgia" w:hAnsi="Georgia"/>
          <w:color w:val="1C1C1C"/>
          <w:sz w:val="20"/>
          <w:szCs w:val="20"/>
        </w:rPr>
        <w:t xml:space="preserve">Import the existing 320-lesson inventory as the base catalog without renaming or deleting records.</w:t>
      </w:r>
    </w:p>
    <w:p>
      <w:pPr>
        <w:pStyle w:val="ListParagraph"/>
        <w:numPr>
          <w:ilvl w:val="0"/>
          <w:numId w:val="1"/>
        </w:numPr>
        <w:spacing w:after="80" w:line="280"/>
      </w:pPr>
      <w:r>
        <w:rPr>
          <w:rFonts w:ascii="Georgia" w:cs="Georgia" w:eastAsia="Georgia" w:hAnsi="Georgia"/>
          <w:color w:val="1C1C1C"/>
          <w:sz w:val="20"/>
          <w:szCs w:val="20"/>
        </w:rPr>
        <w:t xml:space="preserve">Normalize every new item in this syllabus into pathway, course, module, lesson, interaction, and assessment records.</w:t>
      </w:r>
    </w:p>
    <w:p>
      <w:pPr>
        <w:pStyle w:val="ListParagraph"/>
        <w:numPr>
          <w:ilvl w:val="0"/>
          <w:numId w:val="1"/>
        </w:numPr>
        <w:spacing w:after="80" w:line="280"/>
      </w:pPr>
      <w:r>
        <w:rPr>
          <w:rFonts w:ascii="Georgia" w:cs="Georgia" w:eastAsia="Georgia" w:hAnsi="Georgia"/>
          <w:color w:val="1C1C1C"/>
          <w:sz w:val="20"/>
          <w:szCs w:val="20"/>
        </w:rPr>
        <w:t xml:space="preserve">Deduplicate shared courses through cross-listing rather than copying course content.</w:t>
      </w:r>
    </w:p>
    <w:p>
      <w:pPr>
        <w:pStyle w:val="ListParagraph"/>
        <w:numPr>
          <w:ilvl w:val="0"/>
          <w:numId w:val="1"/>
        </w:numPr>
        <w:spacing w:after="80" w:line="280"/>
      </w:pPr>
      <w:r>
        <w:rPr>
          <w:rFonts w:ascii="Georgia" w:cs="Georgia" w:eastAsia="Georgia" w:hAnsi="Georgia"/>
          <w:color w:val="1C1C1C"/>
          <w:sz w:val="20"/>
          <w:szCs w:val="20"/>
        </w:rPr>
        <w:t xml:space="preserve">Assign stable identifiers and prerequisite relationships before UI implementation.</w:t>
      </w:r>
    </w:p>
    <w:p>
      <w:pPr>
        <w:pStyle w:val="ListParagraph"/>
        <w:numPr>
          <w:ilvl w:val="0"/>
          <w:numId w:val="1"/>
        </w:numPr>
        <w:spacing w:after="80" w:line="280"/>
      </w:pPr>
      <w:r>
        <w:rPr>
          <w:rFonts w:ascii="Georgia" w:cs="Georgia" w:eastAsia="Georgia" w:hAnsi="Georgia"/>
          <w:color w:val="1C1C1C"/>
          <w:sz w:val="20"/>
          <w:szCs w:val="20"/>
        </w:rPr>
        <w:t xml:space="preserve">Map each interaction to Training Grounds and each verified completion event to Progress Vault.</w:t>
      </w:r>
    </w:p>
    <w:p>
      <w:pPr>
        <w:pStyle w:val="ListParagraph"/>
        <w:numPr>
          <w:ilvl w:val="0"/>
          <w:numId w:val="1"/>
        </w:numPr>
        <w:spacing w:after="80" w:line="280"/>
      </w:pPr>
      <w:r>
        <w:rPr>
          <w:rFonts w:ascii="Georgia" w:cs="Georgia" w:eastAsia="Georgia" w:hAnsi="Georgia"/>
          <w:color w:val="1C1C1C"/>
          <w:sz w:val="20"/>
          <w:szCs w:val="20"/>
        </w:rPr>
        <w:t xml:space="preserve">Release the Eight-Week DeFi &amp; Web3 Bootcamp as the first marketable guided journey while deeper technical pathways are completed.</w:t>
      </w:r>
    </w:p>
    <w:p>
      <w:pPr>
        <w:spacing w:after="140" w:line="300"/>
      </w:pPr>
      <w:r>
        <w:rPr>
          <w:rFonts w:ascii="Georgia" w:cs="Georgia" w:eastAsia="Georgia" w:hAnsi="Georgia"/>
          <w:i w:val="false"/>
          <w:iCs w:val="false"/>
          <w:color w:val="1C1C1C"/>
          <w:sz w:val="21"/>
          <w:szCs w:val="21"/>
        </w:rPr>
        <w:t xml:space="preserve"/>
      </w:r>
    </w:p>
    <w:tbl>
      <w:tblPr>
        <w:tblW w:type="pct" w:w="100%"/>
        <w:tblBorders>
          <w:top w:val="single" w:color="EE7200" w:sz="6"/>
          <w:left w:val="single" w:color="EE7200" w:sz="6"/>
          <w:bottom w:val="single" w:color="EE7200" w:sz="6"/>
          <w:right w:val="single" w:color="EE7200" w:sz="6"/>
          <w:insideH w:val="none" w:color="FFFFFF" w:sz="0"/>
          <w:insideV w:val="none" w:color="FFFFFF" w:sz="0"/>
        </w:tblBorders>
      </w:tblPr>
      <w:tblGrid>
        <w:gridCol w:w="100"/>
      </w:tblGrid>
      <w:tr>
        <w:tc>
          <w:tcPr>
            <w:shd w:fill="F5F0E8" w:color="auto" w:val="clear"/>
            <w:tcMar>
              <w:top w:type="dxa" w:w="200"/>
              <w:left w:type="dxa" w:w="260"/>
              <w:bottom w:type="dxa" w:w="200"/>
              <w:right w:type="dxa" w:w="260"/>
            </w:tcMar>
          </w:tcPr>
          <w:p>
            <w:pPr>
              <w:spacing w:after="60"/>
            </w:pPr>
            <w:r>
              <w:rPr>
                <w:rFonts w:ascii="Calibri" w:cs="Calibri" w:eastAsia="Calibri" w:hAnsi="Calibri"/>
                <w:b/>
                <w:bCs/>
                <w:color w:val="EE7200"/>
                <w:spacing w:val="10"/>
                <w:sz w:val="17"/>
                <w:szCs w:val="17"/>
              </w:rPr>
              <w:t xml:space="preserve">END STATE</w:t>
            </w:r>
          </w:p>
          <w:p>
            <w:pPr>
              <w:spacing w:line="280"/>
            </w:pPr>
            <w:r>
              <w:rPr>
                <w:rFonts w:ascii="Georgia" w:cs="Georgia" w:eastAsia="Georgia" w:hAnsi="Georgia"/>
                <w:color w:val="1C1C1C"/>
                <w:sz w:val="20"/>
                <w:szCs w:val="20"/>
              </w:rPr>
              <w:t xml:space="preserve">A trust-first public academy with a structured beginner entry point, practical DeFi journey, professional blockchain foundation, advanced Web3 developer pathway, AI career track, enterprise and security depth, and a single gamified learning system underneath it all.</w:t>
            </w:r>
          </w:p>
        </w:tc>
      </w:tr>
    </w:tbl>
    <w:sectPr>
      <w:headerReference w:type="default" r:id="rId7"/>
      <w:footerReference w:type="default" r:id="rId8"/>
      <w:pgSz w:w="12240" w:h="15840" w:orient="portrait"/>
      <w:pgMar w:top="1350" w:right="1170" w:bottom="1350" w:left="11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B5B"/>
        <w:sz w:val="14"/>
        <w:szCs w:val="14"/>
      </w:rPr>
      <w:t xml:space="preserve">Iron Vault Academy · </w:t>
    </w:r>
    <w:r>
      <w:rPr>
        <w:rFonts w:ascii="Calibri" w:cs="Calibri" w:eastAsia="Calibri" w:hAnsi="Calibri"/>
        <w:color w:val="5B5B5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C2" w:sz="4" w:space="4"/>
      </w:pBdr>
      <w:jc w:val="right"/>
    </w:pPr>
    <w:r>
      <w:rPr>
        <w:rFonts w:ascii="Calibri" w:cs="Calibri" w:eastAsia="Calibri" w:hAnsi="Calibri"/>
        <w:color w:val="5B5B5B"/>
        <w:spacing w:val="10"/>
        <w:sz w:val="14"/>
        <w:szCs w:val="14"/>
      </w:rPr>
      <w:t xml:space="preserve">IRON VAULT ACADEMY — MASTER CURRICULUM SYLLABUS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rFonts w:ascii="Calibri" w:cs="Calibri" w:eastAsia="Calibri" w:hAnsi="Calibri"/>
        <w:color w:val="EE7200"/>
      </w:rPr>
    </w:lvl>
    <w:lvl w:ilvl="1" w15:tentative="1">
      <w:start w:val="1"/>
      <w:numFmt w:val="bullet"/>
      <w:lvlText w:val="•"/>
      <w:lvlJc w:val="left"/>
      <w:pPr>
        <w:ind w:left="720" w:hanging="260"/>
      </w:pPr>
      <w:rPr>
        <w:rFonts w:ascii="Calibri" w:cs="Calibri" w:eastAsia="Calibri" w:hAnsi="Calibri"/>
        <w:color w:val="C9A96E"/>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C1C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2026-07-29T00:14:05.876Z</dcterms:created>
  <dcterms:modified xsi:type="dcterms:W3CDTF">2026-07-29T00:14:05.918Z</dcterms:modified>
</cp:coreProperties>
</file>

<file path=docProps/custom.xml><?xml version="1.0" encoding="utf-8"?>
<Properties xmlns="http://schemas.openxmlformats.org/officeDocument/2006/custom-properties" xmlns:vt="http://schemas.openxmlformats.org/officeDocument/2006/docPropsVTypes"/>
</file>