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Definición Node,diapositivas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Programación No reactiva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Programación Reactiva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polyfills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Azúcar sintáctico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Stylus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Myths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Ionic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Combinaciones(Descendientes)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ECMASCRIPT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ANGULARJS  1 (ES5)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ANGULAR 2 (ES6)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TYPE SCRIPT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IONIC 3 -&gt;ANGULAR-&gt;TYPE SCRIPT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VAR(ES5) ALCANCE DEFINIDO POR LA FUNCION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LET(ES6) ALCANCE DEFINIDO POR EL BLOQUE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Retos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Chapinero (Violencia contra la mujer)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2.   Engativá (Contacto con la naturaleza,calles sin delincuencia)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3.  Candelaria (Colegios libres de drogas)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Reciclar para respirar, buscar aplicaciones similares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