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941294"/>
            <wp:docPr id="1" name="Picture 1" descr="Logotipo SYSB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4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/>
        <w:jc w:val="center"/>
      </w:pPr>
      <w:r>
        <w:rPr>
          <w:b/>
          <w:color w:val="1F4E78"/>
          <w:sz w:val="28"/>
        </w:rPr>
        <w:t>MANUAL DO LABORATÓRIO — VERSÃO REVISADA</w:t>
      </w:r>
    </w:p>
    <w:p>
      <w:pPr>
        <w:jc w:val="center"/>
      </w:pPr>
      <w:r>
        <w:rPr>
          <w:b/>
          <w:color w:val="1F4E78"/>
          <w:sz w:val="50"/>
        </w:rPr>
        <w:t>SQL Server Always On Availability Groups</w:t>
      </w:r>
    </w:p>
    <w:p>
      <w:pPr>
        <w:jc w:val="center"/>
      </w:pPr>
      <w:r>
        <w:rPr>
          <w:color w:val="666666"/>
          <w:sz w:val="26"/>
        </w:rPr>
        <w:t>Implantação, listener, failover, leitura, backup e operação</w:t>
      </w:r>
    </w:p>
    <w:tbl>
      <w:tblPr>
        <w:tblStyle w:val="TabelacomGrelha"/>
        <w:tblW w:type="dxa" w:w="8928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2376"/>
        <w:gridCol w:w="6552"/>
      </w:tblGrid>
      <w:tr>
        <w:trPr>
          <w:tblHeader w:val="true"/>
          <w:cantSplit/>
        </w:trPr>
        <w:tc>
          <w:tcPr>
            <w:tcW w:type="dxa" w:w="237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55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Configuração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Domínio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ALWAYSON.LOCAL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Cluster WSFC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SQLCLUSTER — 192.168.1.123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Réplicas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LAB-SQL01 — 192.168.1.121 | LAB-SQL02 — 192.168.1.122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Availability Group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AG-SQLLAB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Banco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BancoTeste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Listener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SQL-LISTENER — 192.168.1.124:1433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2.1 — setembro de 2026</w:t>
            </w:r>
          </w:p>
        </w:tc>
      </w:tr>
    </w:tbl>
    <w:p>
      <w:pPr>
        <w:spacing w:after="0"/>
      </w:pPr>
    </w:p>
    <w:p>
      <w:pPr>
        <w:shd w:fill="D9EAF7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  <w:color w:val="1F4E78"/>
        </w:rPr>
        <w:t xml:space="preserve">ESCOPO: </w:t>
      </w:r>
      <w:r>
        <w:t>Procedimento criado para laboratório. Em produção, valide licenciamento, segurança, contas gerenciadas, capacidade, backup, restauração, monitoramento, patches e recuperação de desastre.</w:t>
      </w:r>
    </w:p>
    <w:p>
      <w:r>
        <w:br w:type="page"/>
      </w:r>
    </w:p>
    <w:p>
      <w:bookmarkStart w:id="1" w:name="toc"/>
      <w:pPr>
        <w:pStyle w:val="Ttulo1"/>
      </w:pPr>
      <w:r>
        <w:t>Índice</w:t>
      </w:r>
      <w:bookmarkEnd w:id="1"/>
    </w:p>
    <w:p>
      <w:pPr>
        <w:pStyle w:val="Listanumerada"/>
      </w:pPr>
      <w:hyperlink w:anchor="sec_1">
        <w:r>
          <w:rPr>
            <w:rStyle w:val="Hyperlink"/>
          </w:rPr>
          <w:t>1. Finalidade, conceitos e critérios de sucesso</w:t>
        </w:r>
      </w:hyperlink>
    </w:p>
    <w:p>
      <w:pPr>
        <w:pStyle w:val="Listanumerada"/>
      </w:pPr>
      <w:hyperlink w:anchor="sec_2">
        <w:r>
          <w:rPr>
            <w:rStyle w:val="Hyperlink"/>
          </w:rPr>
          <w:t>2. Arquitetura e endereçamento</w:t>
        </w:r>
      </w:hyperlink>
    </w:p>
    <w:p>
      <w:pPr>
        <w:pStyle w:val="Listanumerada"/>
      </w:pPr>
      <w:hyperlink w:anchor="sec_3">
        <w:r>
          <w:rPr>
            <w:rStyle w:val="Hyperlink"/>
          </w:rPr>
          <w:t>3. Preparar as máquinas virtuais</w:t>
        </w:r>
      </w:hyperlink>
    </w:p>
    <w:p>
      <w:pPr>
        <w:pStyle w:val="Listanumerada"/>
      </w:pPr>
      <w:hyperlink w:anchor="sec_4">
        <w:r>
          <w:rPr>
            <w:rStyle w:val="Hyperlink"/>
          </w:rPr>
          <w:t>4. Configurar rede, DNS e domínio</w:t>
        </w:r>
      </w:hyperlink>
    </w:p>
    <w:p>
      <w:pPr>
        <w:pStyle w:val="Listanumerada"/>
      </w:pPr>
      <w:hyperlink w:anchor="sec_5">
        <w:r>
          <w:rPr>
            <w:rStyle w:val="Hyperlink"/>
          </w:rPr>
          <w:t>5. Criar e validar o Windows Failover Cluster</w:t>
        </w:r>
      </w:hyperlink>
    </w:p>
    <w:p>
      <w:pPr>
        <w:pStyle w:val="Listanumerada"/>
      </w:pPr>
      <w:hyperlink w:anchor="sec_6">
        <w:r>
          <w:rPr>
            <w:rStyle w:val="Hyperlink"/>
          </w:rPr>
          <w:t>6. Configurar quorum e File Share Witness</w:t>
        </w:r>
      </w:hyperlink>
    </w:p>
    <w:p>
      <w:pPr>
        <w:pStyle w:val="Listanumerada"/>
      </w:pPr>
      <w:hyperlink w:anchor="sec_7">
        <w:r>
          <w:rPr>
            <w:rStyle w:val="Hyperlink"/>
          </w:rPr>
          <w:t>7. Instalar e padronizar o SQL Server</w:t>
        </w:r>
      </w:hyperlink>
    </w:p>
    <w:p>
      <w:pPr>
        <w:pStyle w:val="Listanumerada"/>
      </w:pPr>
      <w:hyperlink w:anchor="sec_8">
        <w:r>
          <w:rPr>
            <w:rStyle w:val="Hyperlink"/>
          </w:rPr>
          <w:t>8. Habilitar Always On e validar o endpoint</w:t>
        </w:r>
      </w:hyperlink>
    </w:p>
    <w:p>
      <w:pPr>
        <w:pStyle w:val="Listanumerada"/>
      </w:pPr>
      <w:hyperlink w:anchor="sec_9">
        <w:r>
          <w:rPr>
            <w:rStyle w:val="Hyperlink"/>
          </w:rPr>
          <w:t>9. Preparar o BancoTeste</w:t>
        </w:r>
      </w:hyperlink>
    </w:p>
    <w:p>
      <w:pPr>
        <w:pStyle w:val="Listanumerada"/>
      </w:pPr>
      <w:hyperlink w:anchor="sec_10">
        <w:r>
          <w:rPr>
            <w:rStyle w:val="Hyperlink"/>
          </w:rPr>
          <w:t>10. Criar o Availability Group no SSMS</w:t>
        </w:r>
      </w:hyperlink>
    </w:p>
    <w:p>
      <w:pPr>
        <w:pStyle w:val="Listanumerada"/>
      </w:pPr>
      <w:hyperlink w:anchor="sec_11">
        <w:r>
          <w:rPr>
            <w:rStyle w:val="Hyperlink"/>
          </w:rPr>
          <w:t>11. Configurar e compreender o listener</w:t>
        </w:r>
      </w:hyperlink>
    </w:p>
    <w:p>
      <w:pPr>
        <w:pStyle w:val="Listanumerada"/>
      </w:pPr>
      <w:hyperlink w:anchor="sec_12">
        <w:r>
          <w:rPr>
            <w:rStyle w:val="Hyperlink"/>
          </w:rPr>
          <w:t>12. Validar o ambiente</w:t>
        </w:r>
      </w:hyperlink>
    </w:p>
    <w:p>
      <w:pPr>
        <w:pStyle w:val="Listanumerada"/>
      </w:pPr>
      <w:hyperlink w:anchor="sec_13">
        <w:r>
          <w:rPr>
            <w:rStyle w:val="Hyperlink"/>
          </w:rPr>
          <w:t>13. Testar failover e failback</w:t>
        </w:r>
      </w:hyperlink>
    </w:p>
    <w:p>
      <w:pPr>
        <w:pStyle w:val="Listanumerada"/>
      </w:pPr>
      <w:hyperlink w:anchor="sec_14">
        <w:r>
          <w:rPr>
            <w:rStyle w:val="Hyperlink"/>
          </w:rPr>
          <w:t>14. Controlar o limite de failovers</w:t>
        </w:r>
      </w:hyperlink>
    </w:p>
    <w:p>
      <w:pPr>
        <w:pStyle w:val="Listanumerada"/>
      </w:pPr>
      <w:hyperlink w:anchor="sec_15">
        <w:r>
          <w:rPr>
            <w:rStyle w:val="Hyperlink"/>
          </w:rPr>
          <w:t>15. Usar a réplica secundária para leitura</w:t>
        </w:r>
      </w:hyperlink>
    </w:p>
    <w:p>
      <w:pPr>
        <w:pStyle w:val="Listanumerada"/>
      </w:pPr>
      <w:hyperlink w:anchor="sec_16">
        <w:r>
          <w:rPr>
            <w:rStyle w:val="Hyperlink"/>
          </w:rPr>
          <w:t>16. Executar backups na réplica secundária</w:t>
        </w:r>
      </w:hyperlink>
    </w:p>
    <w:p>
      <w:pPr>
        <w:pStyle w:val="Listanumerada"/>
      </w:pPr>
      <w:hyperlink w:anchor="sec_17">
        <w:r>
          <w:rPr>
            <w:rStyle w:val="Hyperlink"/>
          </w:rPr>
          <w:t>17. Testes operacionais e solução de problemas</w:t>
        </w:r>
      </w:hyperlink>
    </w:p>
    <w:p>
      <w:pPr>
        <w:pStyle w:val="Listanumerada"/>
      </w:pPr>
      <w:hyperlink w:anchor="sec_18">
        <w:r>
          <w:rPr>
            <w:rStyle w:val="Hyperlink"/>
          </w:rPr>
          <w:t>18. Checklist e encerramento</w:t>
        </w:r>
      </w:hyperlink>
    </w:p>
    <w:p>
      <w:pPr>
        <w:pStyle w:val="Listacommarcas"/>
      </w:pPr>
      <w:hyperlink w:anchor="appendix_a">
        <w:r>
          <w:rPr>
            <w:rStyle w:val="Hyperlink"/>
          </w:rPr>
          <w:t>Apêndice A — Catálogo dos scripts T-SQL</w:t>
        </w:r>
      </w:hyperlink>
    </w:p>
    <w:p>
      <w:pPr>
        <w:pStyle w:val="Listacommarcas"/>
      </w:pPr>
      <w:hyperlink w:anchor="appendix_b">
        <w:r>
          <w:rPr>
            <w:rStyle w:val="Hyperlink"/>
          </w:rPr>
          <w:t>Apêndice B — Referências oficiais</w:t>
        </w:r>
      </w:hyperlink>
    </w:p>
    <w:p>
      <w:bookmarkStart w:id="2" w:name="fig_index"/>
      <w:pPr>
        <w:pStyle w:val="Ttulo2"/>
      </w:pPr>
      <w:r>
        <w:t>Índice de figuras</w:t>
      </w:r>
      <w:bookmarkEnd w:id="2"/>
    </w:p>
    <w:p>
      <w:pPr>
        <w:pStyle w:val="Listacommarcas"/>
      </w:pPr>
      <w:hyperlink w:anchor="fig_1">
        <w:r>
          <w:rPr>
            <w:rStyle w:val="Hyperlink"/>
          </w:rPr>
          <w:t>Figura 1 — Arquitetura lógica do laboratório</w:t>
        </w:r>
      </w:hyperlink>
    </w:p>
    <w:p>
      <w:pPr>
        <w:pStyle w:val="Listacommarcas"/>
      </w:pPr>
      <w:hyperlink w:anchor="fig_2">
        <w:r>
          <w:rPr>
            <w:rStyle w:val="Hyperlink"/>
          </w:rPr>
          <w:t>Figura 2 — Configuração IPv4 de um nó SQL</w:t>
        </w:r>
      </w:hyperlink>
    </w:p>
    <w:p>
      <w:pPr>
        <w:pStyle w:val="Listacommarcas"/>
      </w:pPr>
      <w:hyperlink w:anchor="fig_3">
        <w:r>
          <w:rPr>
            <w:rStyle w:val="Hyperlink"/>
          </w:rPr>
          <w:t>Figura 3 — Ingresso do servidor no domínio ALWAYSON.LOCAL</w:t>
        </w:r>
      </w:hyperlink>
    </w:p>
    <w:p>
      <w:pPr>
        <w:pStyle w:val="Listacommarcas"/>
      </w:pPr>
      <w:hyperlink w:anchor="fig_4">
        <w:r>
          <w:rPr>
            <w:rStyle w:val="Hyperlink"/>
          </w:rPr>
          <w:t>Figura 4 — Validação do cluster concluída</w:t>
        </w:r>
      </w:hyperlink>
    </w:p>
    <w:p>
      <w:pPr>
        <w:pStyle w:val="Listacommarcas"/>
      </w:pPr>
      <w:hyperlink w:anchor="fig_5">
        <w:r>
          <w:rPr>
            <w:rStyle w:val="Hyperlink"/>
          </w:rPr>
          <w:t>Figura 5 — Criação e validação do SQLCLUSTER</w:t>
        </w:r>
      </w:hyperlink>
    </w:p>
    <w:p>
      <w:pPr>
        <w:pStyle w:val="Listacommarcas"/>
      </w:pPr>
      <w:hyperlink w:anchor="fig_6">
        <w:r>
          <w:rPr>
            <w:rStyle w:val="Hyperlink"/>
          </w:rPr>
          <w:t>Figura 6 — Criação da pasta e do compartilhamento ClusterWitness</w:t>
        </w:r>
      </w:hyperlink>
    </w:p>
    <w:p>
      <w:pPr>
        <w:pStyle w:val="Listacommarcas"/>
      </w:pPr>
      <w:hyperlink w:anchor="fig_7">
        <w:r>
          <w:rPr>
            <w:rStyle w:val="Hyperlink"/>
          </w:rPr>
          <w:t>Figura 7 — Permissões NTFS do witness</w:t>
        </w:r>
      </w:hyperlink>
    </w:p>
    <w:p>
      <w:pPr>
        <w:pStyle w:val="Listacommarcas"/>
      </w:pPr>
      <w:hyperlink w:anchor="fig_8">
        <w:r>
          <w:rPr>
            <w:rStyle w:val="Hyperlink"/>
          </w:rPr>
          <w:t>Figura 8 — Quorum e recurso File Share Witness</w:t>
        </w:r>
      </w:hyperlink>
    </w:p>
    <w:p>
      <w:pPr>
        <w:pStyle w:val="Listacommarcas"/>
      </w:pPr>
      <w:hyperlink w:anchor="fig_9">
        <w:r>
          <w:rPr>
            <w:rStyle w:val="Hyperlink"/>
          </w:rPr>
          <w:t>Figura 9 — Witness no Failover Cluster Manager</w:t>
        </w:r>
      </w:hyperlink>
    </w:p>
    <w:p>
      <w:pPr>
        <w:pStyle w:val="Listacommarcas"/>
      </w:pPr>
      <w:hyperlink w:anchor="fig_10">
        <w:r>
          <w:rPr>
            <w:rStyle w:val="Hyperlink"/>
          </w:rPr>
          <w:t>Figura 10 — Conta de domínio configurada no serviço do SQL Server</w:t>
        </w:r>
      </w:hyperlink>
    </w:p>
    <w:p>
      <w:pPr>
        <w:pStyle w:val="Listacommarcas"/>
      </w:pPr>
      <w:hyperlink w:anchor="fig_11">
        <w:r>
          <w:rPr>
            <w:rStyle w:val="Hyperlink"/>
          </w:rPr>
          <w:t>Figura 11 — Endpoint Hadr_endpoint iniciado na porta 5022</w:t>
        </w:r>
      </w:hyperlink>
    </w:p>
    <w:p>
      <w:pPr>
        <w:pStyle w:val="Listacommarcas"/>
      </w:pPr>
      <w:hyperlink w:anchor="fig_12">
        <w:r>
          <w:rPr>
            <w:rStyle w:val="Hyperlink"/>
          </w:rPr>
          <w:t>Figura 12 — Início do New Availability Group Wizard</w:t>
        </w:r>
      </w:hyperlink>
    </w:p>
    <w:p>
      <w:pPr>
        <w:pStyle w:val="Listacommarcas"/>
      </w:pPr>
      <w:hyperlink w:anchor="fig_13">
        <w:r>
          <w:rPr>
            <w:rStyle w:val="Hyperlink"/>
          </w:rPr>
          <w:t>Figura 13 — Nome e opções do Availability Group</w:t>
        </w:r>
      </w:hyperlink>
    </w:p>
    <w:p>
      <w:pPr>
        <w:pStyle w:val="Listacommarcas"/>
      </w:pPr>
      <w:hyperlink w:anchor="fig_14">
        <w:r>
          <w:rPr>
            <w:rStyle w:val="Hyperlink"/>
          </w:rPr>
          <w:t>Figura 14 — BancoTeste elegível para o Availability Group</w:t>
        </w:r>
      </w:hyperlink>
    </w:p>
    <w:p>
      <w:pPr>
        <w:pStyle w:val="Listacommarcas"/>
      </w:pPr>
      <w:hyperlink w:anchor="fig_15">
        <w:r>
          <w:rPr>
            <w:rStyle w:val="Hyperlink"/>
          </w:rPr>
          <w:t>Figura 15 — Réplicas em commit síncrono e failover automático</w:t>
        </w:r>
      </w:hyperlink>
    </w:p>
    <w:p>
      <w:pPr>
        <w:pStyle w:val="Listacommarcas"/>
      </w:pPr>
      <w:hyperlink w:anchor="fig_16">
        <w:r>
          <w:rPr>
            <w:rStyle w:val="Hyperlink"/>
          </w:rPr>
          <w:t>Figura 16 — URLs dos endpoints das réplicas</w:t>
        </w:r>
      </w:hyperlink>
    </w:p>
    <w:p>
      <w:pPr>
        <w:pStyle w:val="Listacommarcas"/>
      </w:pPr>
      <w:hyperlink w:anchor="fig_17">
        <w:r>
          <w:rPr>
            <w:rStyle w:val="Hyperlink"/>
          </w:rPr>
          <w:t>Figura 17 — Preferência de backup do Availability Group</w:t>
        </w:r>
      </w:hyperlink>
    </w:p>
    <w:p>
      <w:pPr>
        <w:pStyle w:val="Listacommarcas"/>
      </w:pPr>
      <w:hyperlink w:anchor="fig_18">
        <w:r>
          <w:rPr>
            <w:rStyle w:val="Hyperlink"/>
          </w:rPr>
          <w:t>Figura 18 — Configuração do SQL-LISTENER</w:t>
        </w:r>
      </w:hyperlink>
    </w:p>
    <w:p>
      <w:pPr>
        <w:pStyle w:val="Listacommarcas"/>
      </w:pPr>
      <w:hyperlink w:anchor="fig_19">
        <w:r>
          <w:rPr>
            <w:rStyle w:val="Hyperlink"/>
          </w:rPr>
          <w:t>Figura 19 — Fluxo de conexão pelo listener</w:t>
        </w:r>
      </w:hyperlink>
    </w:p>
    <w:p>
      <w:pPr>
        <w:pStyle w:val="Listacommarcas"/>
      </w:pPr>
      <w:hyperlink w:anchor="fig_20">
        <w:r>
          <w:rPr>
            <w:rStyle w:val="Hyperlink"/>
          </w:rPr>
          <w:t>Figura 20 — Read-Only Routing não configurado na implantação inicial</w:t>
        </w:r>
      </w:hyperlink>
    </w:p>
    <w:p>
      <w:pPr>
        <w:pStyle w:val="Listacommarcas"/>
      </w:pPr>
      <w:hyperlink w:anchor="fig_21">
        <w:r>
          <w:rPr>
            <w:rStyle w:val="Hyperlink"/>
          </w:rPr>
          <w:t>Figura 21 — Opções de conexão criptografada</w:t>
        </w:r>
      </w:hyperlink>
    </w:p>
    <w:p>
      <w:pPr>
        <w:pStyle w:val="Listacommarcas"/>
      </w:pPr>
      <w:hyperlink w:anchor="fig_22">
        <w:r>
          <w:rPr>
            <w:rStyle w:val="Hyperlink"/>
          </w:rPr>
          <w:t>Figura 22 — Seleção do método Join only</w:t>
        </w:r>
      </w:hyperlink>
    </w:p>
    <w:p>
      <w:pPr>
        <w:pStyle w:val="Listacommarcas"/>
      </w:pPr>
      <w:hyperlink w:anchor="fig_23">
        <w:r>
          <w:rPr>
            <w:rStyle w:val="Hyperlink"/>
          </w:rPr>
          <w:t>Figura 23 — Validação do assistente</w:t>
        </w:r>
      </w:hyperlink>
    </w:p>
    <w:p>
      <w:pPr>
        <w:pStyle w:val="Listacommarcas"/>
      </w:pPr>
      <w:hyperlink w:anchor="fig_24">
        <w:r>
          <w:rPr>
            <w:rStyle w:val="Hyperlink"/>
          </w:rPr>
          <w:t>Figura 24 — Resumo antes da criação</w:t>
        </w:r>
      </w:hyperlink>
    </w:p>
    <w:p>
      <w:pPr>
        <w:pStyle w:val="Listacommarcas"/>
      </w:pPr>
      <w:hyperlink w:anchor="fig_25">
        <w:r>
          <w:rPr>
            <w:rStyle w:val="Hyperlink"/>
          </w:rPr>
          <w:t>Figura 25 — Execução das etapas do assistente</w:t>
        </w:r>
      </w:hyperlink>
    </w:p>
    <w:p>
      <w:pPr>
        <w:pStyle w:val="Listacommarcas"/>
      </w:pPr>
      <w:hyperlink w:anchor="fig_26">
        <w:r>
          <w:rPr>
            <w:rStyle w:val="Hyperlink"/>
          </w:rPr>
          <w:t>Figura 26 — Falha no Join only por banco secundário desatualizado</w:t>
        </w:r>
      </w:hyperlink>
    </w:p>
    <w:p>
      <w:pPr>
        <w:pStyle w:val="Listacommarcas"/>
      </w:pPr>
      <w:hyperlink w:anchor="fig_27">
        <w:r>
          <w:rPr>
            <w:rStyle w:val="Hyperlink"/>
          </w:rPr>
          <w:t>Figura 27 — Registros inseridos durante o teste de disponibilidade</w:t>
        </w:r>
      </w:hyperlink>
    </w:p>
    <w:p>
      <w:pPr>
        <w:pStyle w:val="Listacommarcas"/>
      </w:pPr>
      <w:hyperlink w:anchor="fig_28">
        <w:r>
          <w:rPr>
            <w:rStyle w:val="Hyperlink"/>
          </w:rPr>
          <w:t>Figura 28 — Configuração do IDENTITY_CACHE no banco</w:t>
        </w:r>
      </w:hyperlink>
    </w:p>
    <w:p>
      <w:bookmarkStart w:id="3" w:name="sec_1"/>
      <w:pPr>
        <w:pStyle w:val="Ttulo1"/>
      </w:pPr>
      <w:r>
        <w:t>1. Finalidade, conceitos e critérios de sucesso</w:t>
      </w:r>
      <w:bookmarkEnd w:id="3"/>
    </w:p>
    <w:p>
      <w:r>
        <w:t>Este manual consolida os três documentos fornecidos em um único roteiro técnico, elimina repetições e organiza a implantação na ordem em que as dependências devem ser criadas. Cada etapa informa onde executar, por que executar, como validar e qual resultado esperar.</w:t>
      </w:r>
    </w:p>
    <w:p>
      <w:bookmarkStart w:id="4" w:name="sec_1_1"/>
      <w:pPr>
        <w:pStyle w:val="Ttulo2"/>
      </w:pPr>
      <w:r>
        <w:t>1.1 O que é cada elemento</w:t>
      </w:r>
      <w:bookmarkEnd w:id="4"/>
    </w:p>
    <w:tbl>
      <w:tblPr>
        <w:tblStyle w:val="TabelacomGrelha"/>
        <w:tblW w:type="dxa" w:w="900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1800"/>
        <w:gridCol w:w="4104"/>
        <w:gridCol w:w="3096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10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309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O que não faz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WSFC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Mantém quorum, monitora nós e coordena recursos e failover.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 replica páginas ou logs do banco.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Availability Group (AG)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Replica bancos e controla os papéis PRIMARY e SECONDARY.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 substitui backup nem recuperação de desastre.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Listener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Fornece nome DNS, IP virtual e porta estáveis para as aplicações.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 mantém conexões antigas abertas durante a falha.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Endpoint HADR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Transporta dados de replicação entre as instâncias pela porta 5022.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 é a porta usada pelos clientes.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Witness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Fornece voto adicional para manter o quorum em cluster com dois nós.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 armazena banco e não é terceira réplica.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Heartbeat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Permite ao cluster detectar comunicação e saúde dos nós.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Não garante sozinho que o banco esteja sincronizado.</w:t>
            </w:r>
          </w:p>
        </w:tc>
      </w:tr>
    </w:tbl>
    <w:p>
      <w:pPr>
        <w:spacing w:after="0"/>
      </w:pPr>
    </w:p>
    <w:p>
      <w:bookmarkStart w:id="5" w:name="sec_1_2"/>
      <w:pPr>
        <w:pStyle w:val="Ttulo2"/>
      </w:pPr>
      <w:r>
        <w:t>1.2 Critérios de sucesso</w:t>
      </w:r>
      <w:bookmarkEnd w:id="5"/>
    </w:p>
    <w:p>
      <w:pPr>
        <w:pStyle w:val="Listacommarcas"/>
      </w:pPr>
      <w:r>
        <w:t>LAB-SQL01 e LAB-SQL02 aparecem como Up no cluster.</w:t>
      </w:r>
    </w:p>
    <w:p>
      <w:pPr>
        <w:pStyle w:val="Listacommarcas"/>
      </w:pPr>
      <w:r>
        <w:t>File Share Witness permanece Online e o cluster mantém quorum.</w:t>
      </w:r>
    </w:p>
    <w:p>
      <w:pPr>
        <w:pStyle w:val="Listacommarcas"/>
      </w:pPr>
      <w:r>
        <w:t>As duas réplicas aparecem CONNECTED e HEALTHY.</w:t>
      </w:r>
    </w:p>
    <w:p>
      <w:pPr>
        <w:pStyle w:val="Listacommarcas"/>
      </w:pPr>
      <w:r>
        <w:t>BancoTeste aparece SYNCHRONIZED e is_suspended = 0.</w:t>
      </w:r>
    </w:p>
    <w:p>
      <w:pPr>
        <w:pStyle w:val="Listacommarcas"/>
      </w:pPr>
      <w:r>
        <w:t>As réplicas usam SYNCHRONOUS_COMMIT e AUTOMATIC.</w:t>
      </w:r>
    </w:p>
    <w:p>
      <w:pPr>
        <w:pStyle w:val="Listacommarcas"/>
      </w:pPr>
      <w:r>
        <w:t>O listener resolve para 192.168.1.124 e responde em TCP 1433.</w:t>
      </w:r>
    </w:p>
    <w:p>
      <w:pPr>
        <w:pStyle w:val="Listacommarcas"/>
      </w:pPr>
      <w:r>
        <w:t>Failover planejado e automático são concluídos e o script reconecta pelo listener.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277087"/>
            <wp:docPr id="2" name="Picture 2" descr="Arquitetura lógica do labor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7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6" w:name="fig_1"/>
      <w:pPr>
        <w:pStyle w:val="Legenda"/>
        <w:keepNext w:val="0"/>
        <w:jc w:val="center"/>
      </w:pPr>
      <w:r>
        <w:t>Figura 1 — Arquitetura lógica do laboratório</w:t>
      </w:r>
      <w:bookmarkEnd w:id="6"/>
    </w:p>
    <w:p>
      <w:bookmarkStart w:id="7" w:name="sec_2"/>
      <w:pPr>
        <w:pStyle w:val="Ttulo1"/>
      </w:pPr>
      <w:r>
        <w:t>2. Arquitetura e endereçamento</w:t>
      </w:r>
      <w:bookmarkEnd w:id="7"/>
    </w:p>
    <w:tbl>
      <w:tblPr>
        <w:tblStyle w:val="TabelacomGrelha"/>
        <w:tblW w:type="dxa" w:w="900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3744"/>
        <w:gridCol w:w="3096"/>
        <w:gridCol w:w="2160"/>
      </w:tblGrid>
      <w:tr>
        <w:trPr>
          <w:tblHeader w:val="true"/>
          <w:cantSplit/>
        </w:trPr>
        <w:tc>
          <w:tcPr>
            <w:tcW w:type="dxa" w:w="374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309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16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IP/porta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Controlador de domínio, DNS e witness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LAB-SQLSEVER-DOMAIN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192.168.1.120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Réplica 1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LAB-SQL01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192.168.1.121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Réplica 2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LAB-SQL02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192.168.1.122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Cluster WSFC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SQLCLUSTER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192.168.1.123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Listener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SQL-LISTENER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192.168.1.124:1433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Endpoint HADR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Hadr_endpoint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TCP 5022</w:t>
            </w:r>
          </w:p>
        </w:tc>
      </w:tr>
    </w:tbl>
    <w:p>
      <w:pPr>
        <w:spacing w:after="0"/>
      </w:pPr>
    </w:p>
    <w:p>
      <w:r>
        <w:t>A aplicação deve apontar para SQL-LISTENER.ALWAYSON.LOCAL, e não para o nome físico de um nó. Quando o papel PRIMARY muda, o WSFC transfere os recursos de nome e IP do listener para acompanhar o AG; novas conexões passam a alcançar o novo primário.</w:t>
      </w:r>
    </w:p>
    <w:p>
      <w:pPr>
        <w:shd w:fill="FFF2CC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  <w:color w:val="A61B1B"/>
        </w:rPr>
        <w:t xml:space="preserve">DNS: </w:t>
      </w:r>
      <w:r>
        <w:t>Os nós SQL devem usar 192.168.1.120 como DNS. O gateway 192.168.1.254 não deve ser DNS alternativo dos membros do domínio.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467639"/>
            <wp:docPr id="3" name="Picture 3" descr="Configuração IPv4 de um nó SQ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6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" w:name="fig_2"/>
      <w:pPr>
        <w:pStyle w:val="Legenda"/>
        <w:keepNext w:val="0"/>
        <w:jc w:val="center"/>
      </w:pPr>
      <w:r>
        <w:t>Figura 2 — Configuração IPv4 de um nó SQL</w:t>
      </w:r>
      <w:bookmarkEnd w:id="8"/>
    </w:p>
    <w:p>
      <w:bookmarkStart w:id="9" w:name="sec_3"/>
      <w:pPr>
        <w:pStyle w:val="Ttulo1"/>
      </w:pPr>
      <w:r>
        <w:t>3. Preparar as máquinas virtuais</w:t>
      </w:r>
      <w:bookmarkEnd w:id="9"/>
    </w:p>
    <w:p>
      <w:bookmarkStart w:id="10" w:name="sec_3_1"/>
      <w:pPr>
        <w:pStyle w:val="Ttulo2"/>
      </w:pPr>
      <w:r>
        <w:t>3.1 Pré-requisitos</w:t>
      </w:r>
      <w:bookmarkEnd w:id="10"/>
    </w:p>
    <w:p>
      <w:pPr>
        <w:pStyle w:val="Listacommarcas"/>
      </w:pPr>
      <w:r>
        <w:t>Três VMs: controlador de domínio e dois nós SQL independentes.</w:t>
      </w:r>
    </w:p>
    <w:p>
      <w:pPr>
        <w:pStyle w:val="Listacommarcas"/>
      </w:pPr>
      <w:r>
        <w:t>Mesmo virtual switch do Hyper-V, IPs fixos e endereços MAC exclusivos.</w:t>
      </w:r>
    </w:p>
    <w:p>
      <w:pPr>
        <w:pStyle w:val="Listacommarcas"/>
      </w:pPr>
      <w:r>
        <w:t>Windows Server e SQL Server com versões/patches compatíveis nos dois nós.</w:t>
      </w:r>
    </w:p>
    <w:p>
      <w:pPr>
        <w:pStyle w:val="Listacommarcas"/>
      </w:pPr>
      <w:r>
        <w:t>Horário sincronizado e nomes definitivos antes do ingresso no domínio.</w:t>
      </w:r>
    </w:p>
    <w:p>
      <w:bookmarkStart w:id="11" w:name="sec_3_2"/>
      <w:pPr>
        <w:pStyle w:val="Ttulo2"/>
      </w:pPr>
      <w:r>
        <w:t>3.2 Generalizar clones</w:t>
      </w:r>
      <w:bookmarkEnd w:id="11"/>
    </w:p>
    <w:p>
      <w:r>
        <w:t>Se as VMs SQL vieram da mesma imagem, execute o Sysprep antes de ingressá-las no domínio. A opção /generalize remove identificadores específicos; /oobe prepara a inicialização; /shutdown desliga ao concluir.</w:t>
      </w:r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C:\Windows\System32\Sysprep\Sysprep.exe /generalize /oobe /shutdown</w:t>
      </w:r>
    </w:p>
    <w:p>
      <w:pPr>
        <w:shd w:fill="FFF2CC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  <w:color w:val="A61B1B"/>
        </w:rPr>
        <w:t xml:space="preserve">ATENÇÃO: </w:t>
      </w:r>
      <w:r>
        <w:t>Nunca execute Sysprep no controlador de domínio já promovido. Depois da generalização, configure novamente nome, IP, gateway e DNS.</w:t>
      </w:r>
    </w:p>
    <w:p>
      <w:bookmarkStart w:id="12" w:name="sec_4"/>
      <w:pPr>
        <w:pStyle w:val="Ttulo1"/>
      </w:pPr>
      <w:r>
        <w:t>4. Configurar rede, DNS e domínio</w:t>
      </w:r>
      <w:bookmarkEnd w:id="12"/>
    </w:p>
    <w:p>
      <w:bookmarkStart w:id="13" w:name="sec_4_1"/>
      <w:pPr>
        <w:pStyle w:val="Ttulo2"/>
      </w:pPr>
      <w:r>
        <w:t>4.1 Configurar e validar a rede</w:t>
      </w:r>
      <w:bookmarkEnd w:id="13"/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ipconfig /all</w:t>
      </w:r>
      <w:r>
        <w:br/>
      </w:r>
      <w:r>
        <w:rPr>
          <w:rFonts w:ascii="Consolas" w:hAnsi="Consolas"/>
          <w:sz w:val="17"/>
        </w:rPr>
        <w:t>nslookup ALWAYSON.LOCAL</w:t>
      </w:r>
      <w:r>
        <w:br/>
      </w:r>
      <w:r>
        <w:rPr>
          <w:rFonts w:ascii="Consolas" w:hAnsi="Consolas"/>
          <w:sz w:val="17"/>
        </w:rPr>
        <w:t>nslookup -type=SRV _ldap._tcp.dc._msdcs.ALWAYSON.LOCAL</w:t>
      </w:r>
      <w:r>
        <w:br/>
      </w:r>
      <w:r>
        <w:rPr>
          <w:rFonts w:ascii="Consolas" w:hAnsi="Consolas"/>
          <w:sz w:val="17"/>
        </w:rPr>
        <w:t>nltest /dsgetdc:ALWAYSON.LOCAL</w:t>
      </w:r>
    </w:p>
    <w:p>
      <w:r>
        <w:t>O primeiro comando confirma IP, gateway e DNS; os dois comandos nslookup validam a zona e os registros de serviço do Active Directory; nltest confirma que o nó encontra um controlador de domínio.</w:t>
      </w:r>
    </w:p>
    <w:p>
      <w:bookmarkStart w:id="14" w:name="sec_4_2"/>
      <w:pPr>
        <w:pStyle w:val="Ttulo2"/>
      </w:pPr>
      <w:r>
        <w:t>4.2 Ingressar os nós</w:t>
      </w:r>
      <w:bookmarkEnd w:id="14"/>
    </w:p>
    <w:p>
      <w:pPr>
        <w:pStyle w:val="Listanumerada"/>
        <w:numPr>
          <w:ilvl w:val="0"/>
          <w:numId w:val="13"/>
        </w:numPr>
      </w:pPr>
      <w:r>
        <w:t>Abra System &gt; About &gt; Domain or workgroup.</w:t>
      </w:r>
    </w:p>
    <w:p>
      <w:pPr>
        <w:pStyle w:val="Listanumerada"/>
        <w:numPr>
          <w:ilvl w:val="0"/>
          <w:numId w:val="13"/>
        </w:numPr>
      </w:pPr>
      <w:r>
        <w:t>Selecione Domain e informe ALWAYSON.LOCAL.</w:t>
      </w:r>
    </w:p>
    <w:p>
      <w:pPr>
        <w:pStyle w:val="Listanumerada"/>
        <w:numPr>
          <w:ilvl w:val="0"/>
          <w:numId w:val="13"/>
        </w:numPr>
      </w:pPr>
      <w:r>
        <w:t>Autentique com uma conta autorizada no domínio.</w:t>
      </w:r>
    </w:p>
    <w:p>
      <w:pPr>
        <w:pStyle w:val="Listanumerada"/>
        <w:numPr>
          <w:ilvl w:val="0"/>
          <w:numId w:val="13"/>
        </w:numPr>
      </w:pPr>
      <w:r>
        <w:t>Reinicie e valide com whoami, systeminfo e nltest /sc_verify:ALWAYSON.LOCAL.</w:t>
      </w:r>
    </w:p>
    <w:p>
      <w:pPr>
        <w:pStyle w:val="Listanumerada"/>
        <w:numPr>
          <w:ilvl w:val="0"/>
          <w:numId w:val="13"/>
        </w:numPr>
      </w:pPr>
      <w:r>
        <w:t>Repita no segundo nó.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534794"/>
            <wp:docPr id="4" name="Picture 4" descr="Ingresso do servidor no domínio ALWAYSON.LOC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3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5" w:name="fig_3"/>
      <w:pPr>
        <w:pStyle w:val="Legenda"/>
        <w:keepNext w:val="0"/>
        <w:jc w:val="center"/>
      </w:pPr>
      <w:r>
        <w:t>Figura 3 — Ingresso do servidor no domínio ALWAYSON.LOCAL</w:t>
      </w:r>
      <w:bookmarkEnd w:id="15"/>
    </w:p>
    <w:p>
      <w:bookmarkStart w:id="16" w:name="sec_5"/>
      <w:pPr>
        <w:pStyle w:val="Ttulo1"/>
      </w:pPr>
      <w:r>
        <w:t>5. Criar e validar o Windows Failover Cluster</w:t>
      </w:r>
      <w:bookmarkEnd w:id="16"/>
    </w:p>
    <w:p>
      <w:bookmarkStart w:id="17" w:name="sec_5_1"/>
      <w:pPr>
        <w:pStyle w:val="Ttulo2"/>
      </w:pPr>
      <w:r>
        <w:t>5.1 Instalar a função</w:t>
      </w:r>
      <w:bookmarkEnd w:id="17"/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Install-WindowsFeature Failover-Clustering -IncludeManagementTools</w:t>
      </w:r>
      <w:r>
        <w:br/>
      </w:r>
      <w:r>
        <w:rPr>
          <w:rFonts w:ascii="Consolas" w:hAnsi="Consolas"/>
          <w:sz w:val="17"/>
        </w:rPr>
        <w:t>Restart-Computer</w:t>
      </w:r>
    </w:p>
    <w:p>
      <w:r>
        <w:t>Execute nos dois nós. O primeiro comando instala o serviço e as ferramentas administrativas; o reinício conclui o registro dos componentes.</w:t>
      </w:r>
    </w:p>
    <w:p>
      <w:bookmarkStart w:id="18" w:name="sec_5_2"/>
      <w:pPr>
        <w:pStyle w:val="Ttulo2"/>
      </w:pPr>
      <w:r>
        <w:t>5.2 Validar antes de criar</w:t>
      </w:r>
      <w:bookmarkEnd w:id="18"/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Test-Cluster -Node LAB-SQL01,LAB-SQL02</w:t>
      </w:r>
    </w:p>
    <w:p>
      <w:r>
        <w:t>A validação testa rede, sistema, inventário e comunicação. Corrija erros relevantes antes de avançar; avisos devem ser analisados e documentados.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708951"/>
            <wp:docPr id="5" name="Picture 5" descr="Validação do cluster concluí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08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9" w:name="fig_4"/>
      <w:pPr>
        <w:pStyle w:val="Legenda"/>
        <w:keepNext w:val="0"/>
        <w:jc w:val="center"/>
      </w:pPr>
      <w:r>
        <w:t>Figura 4 — Validação do cluster concluída</w:t>
      </w:r>
      <w:bookmarkEnd w:id="19"/>
    </w:p>
    <w:p>
      <w:bookmarkStart w:id="20" w:name="sec_5_3"/>
      <w:pPr>
        <w:pStyle w:val="Ttulo2"/>
      </w:pPr>
      <w:r>
        <w:t>5.3 Criar o cluster</w:t>
      </w:r>
      <w:bookmarkEnd w:id="20"/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New-Cluster -Name SQLCLUSTER -Node LAB-SQL01,LAB-SQL02 -StaticAddress 192.168.1.123 -NoStorage</w:t>
      </w:r>
    </w:p>
    <w:p>
      <w:r>
        <w:t>-Name define o objeto de cluster; -Node informa os membros; -StaticAddress atribui o IP administrativo; -NoStorage evita adicionar discos, pois o AG usa armazenamento local em cada réplica.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342526"/>
            <wp:docPr id="6" name="Picture 6" descr="Criação e validação do SQLCLUS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1" w:name="fig_5"/>
      <w:pPr>
        <w:pStyle w:val="Legenda"/>
        <w:keepNext w:val="0"/>
        <w:jc w:val="center"/>
      </w:pPr>
      <w:r>
        <w:t>Figura 5 — Criação e validação do SQLCLUSTER</w:t>
      </w:r>
      <w:bookmarkEnd w:id="21"/>
    </w:p>
    <w:p>
      <w:bookmarkStart w:id="22" w:name="sec_6"/>
      <w:pPr>
        <w:pStyle w:val="Ttulo1"/>
      </w:pPr>
      <w:r>
        <w:t>6. Configurar quorum e File Share Witness</w:t>
      </w:r>
      <w:bookmarkEnd w:id="22"/>
    </w:p>
    <w:p>
      <w:r>
        <w:t>Em um cluster com dois nós, cada nó possui um voto. O File Share Witness acrescenta um voto para reduzir empates e permitir que o lado com maioria continue operando. A pasta do witness guarda apenas metadados mínimos de arbitragem.</w:t>
      </w:r>
    </w:p>
    <w:p>
      <w:bookmarkStart w:id="23" w:name="sec_6_1"/>
      <w:pPr>
        <w:pStyle w:val="Ttulo2"/>
      </w:pPr>
      <w:r>
        <w:t>6.1 Criar compartilhamento e permissões</w:t>
      </w:r>
      <w:bookmarkEnd w:id="23"/>
    </w:p>
    <w:p>
      <w:pPr>
        <w:pStyle w:val="Listanumerada"/>
        <w:numPr>
          <w:ilvl w:val="0"/>
          <w:numId w:val="14"/>
        </w:numPr>
      </w:pPr>
      <w:r>
        <w:t>No controlador de domínio, crie C:\ClusterWitness.</w:t>
      </w:r>
    </w:p>
    <w:p>
      <w:pPr>
        <w:pStyle w:val="Listanumerada"/>
        <w:numPr>
          <w:ilvl w:val="0"/>
          <w:numId w:val="14"/>
        </w:numPr>
      </w:pPr>
      <w:r>
        <w:t>Compartilhe como ClusterWitness, sem armazenar documentos ou backups nessa pasta.</w:t>
      </w:r>
    </w:p>
    <w:p>
      <w:pPr>
        <w:pStyle w:val="Listanumerada"/>
        <w:numPr>
          <w:ilvl w:val="0"/>
          <w:numId w:val="14"/>
        </w:numPr>
      </w:pPr>
      <w:r>
        <w:t>No Active Directory, confirme o objeto de computador SQLCLUSTER$.</w:t>
      </w:r>
    </w:p>
    <w:p>
      <w:pPr>
        <w:pStyle w:val="Listanumerada"/>
        <w:numPr>
          <w:ilvl w:val="0"/>
          <w:numId w:val="14"/>
        </w:numPr>
      </w:pPr>
      <w:r>
        <w:t>Conceda ao SQLCLUSTER$ controle total no compartilhamento e na pasta NTFS.</w:t>
      </w:r>
    </w:p>
    <w:p>
      <w:pPr>
        <w:pStyle w:val="Listanumerada"/>
        <w:numPr>
          <w:ilvl w:val="0"/>
          <w:numId w:val="14"/>
        </w:numPr>
      </w:pPr>
      <w:r>
        <w:t>A partir de um nó, valide Test-Path \\LAB-SQLSEVER-DOMAIN\ClusterWitness.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178013"/>
            <wp:docPr id="7" name="Picture 7" descr="Criação da pasta e do compartilhamento ClusterWit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78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4" w:name="fig_6"/>
      <w:pPr>
        <w:pStyle w:val="Legenda"/>
        <w:keepNext w:val="0"/>
        <w:jc w:val="center"/>
      </w:pPr>
      <w:r>
        <w:t>Figura 6 — Criação da pasta e do compartilhamento ClusterWitness</w:t>
      </w:r>
      <w:bookmarkEnd w:id="24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153126"/>
            <wp:docPr id="8" name="Picture 8" descr="Permissões NTFS do wit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5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5" w:name="fig_7"/>
      <w:pPr>
        <w:pStyle w:val="Legenda"/>
        <w:keepNext w:val="0"/>
        <w:jc w:val="center"/>
      </w:pPr>
      <w:r>
        <w:t>Figura 7 — Permissões NTFS do witness</w:t>
      </w:r>
      <w:bookmarkEnd w:id="25"/>
    </w:p>
    <w:p>
      <w:bookmarkStart w:id="26" w:name="sec_6_2"/>
      <w:pPr>
        <w:pStyle w:val="Ttulo2"/>
      </w:pPr>
      <w:r>
        <w:t>6.2 Configurar e validar</w:t>
      </w:r>
      <w:bookmarkEnd w:id="26"/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Set-ClusterQuorum -Cluster "SQLCLUSTER" -FileShareWitness "\\LAB-SQLSEVER-DOMAIN\ClusterWitness"</w:t>
      </w:r>
      <w:r>
        <w:br/>
      </w:r>
      <w:r>
        <w:rPr>
          <w:rFonts w:ascii="Consolas" w:hAnsi="Consolas"/>
          <w:sz w:val="17"/>
        </w:rPr>
        <w:t>Get-ClusterQuorum -Cluster "SQLCLUSTER"</w:t>
      </w:r>
    </w:p>
    <w:p>
      <w:r>
        <w:t>Set-ClusterQuorum registra o compartilhamento como voto; Get-ClusterQuorum deve retornar File Share Witness. O witness precisa estar acessível sempre que apenas um nó permanecer disponível.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385506"/>
            <wp:docPr id="9" name="Picture 9" descr="Quorum e recurso File Share Wit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8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7" w:name="fig_8"/>
      <w:pPr>
        <w:pStyle w:val="Legenda"/>
        <w:keepNext w:val="0"/>
        <w:jc w:val="center"/>
      </w:pPr>
      <w:r>
        <w:t>Figura 8 — Quorum e recurso File Share Witness</w:t>
      </w:r>
      <w:bookmarkEnd w:id="2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399420"/>
            <wp:docPr id="10" name="Picture 10" descr="Witness no Failover Cluster Manag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9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28" w:name="fig_9"/>
      <w:pPr>
        <w:pStyle w:val="Legenda"/>
        <w:keepNext w:val="0"/>
        <w:jc w:val="center"/>
      </w:pPr>
      <w:r>
        <w:t>Figura 9 — Witness no Failover Cluster Manager</w:t>
      </w:r>
      <w:bookmarkEnd w:id="28"/>
    </w:p>
    <w:p>
      <w:bookmarkStart w:id="29" w:name="sec_7"/>
      <w:pPr>
        <w:pStyle w:val="Ttulo1"/>
      </w:pPr>
      <w:r>
        <w:t>7. Instalar e padronizar o SQL Server</w:t>
      </w:r>
      <w:bookmarkEnd w:id="29"/>
    </w:p>
    <w:p>
      <w:pPr>
        <w:pStyle w:val="Listacommarcas"/>
      </w:pPr>
      <w:r>
        <w:t>Instale a mesma edição, versão, cumulative update e collation nos dois nós.</w:t>
      </w:r>
    </w:p>
    <w:p>
      <w:pPr>
        <w:pStyle w:val="Listacommarcas"/>
      </w:pPr>
      <w:r>
        <w:t>Use instância padrão MSSQLSERVER e TCP 1433 neste laboratório.</w:t>
      </w:r>
    </w:p>
    <w:p>
      <w:pPr>
        <w:pStyle w:val="Listacommarcas"/>
      </w:pPr>
      <w:r>
        <w:t>Mantenha caminhos equivalentes para dados, logs e backups.</w:t>
      </w:r>
    </w:p>
    <w:p>
      <w:pPr>
        <w:pStyle w:val="Listacommarcas"/>
      </w:pPr>
      <w:r>
        <w:t>Configure o serviço com ALWAYSON\sqlservice e conceda Log on as a service.</w:t>
      </w:r>
    </w:p>
    <w:p>
      <w:pPr>
        <w:pStyle w:val="Listacommarcas"/>
      </w:pPr>
      <w:r>
        <w:t>Use SQL Server Configuration Manager para alterar a conta; ele aplica permissões e SPNs de forma apropriada.</w:t>
      </w:r>
    </w:p>
    <w:p>
      <w:pPr>
        <w:shd w:fill="EDF4F8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</w:rPr>
        <w:t xml:space="preserve">Script T-SQL: </w:t>
      </w:r>
      <w:hyperlink r:id="rId46">
        <w:r>
          <w:rPr>
            <w:color w:val="1F4E78"/>
            <w:u w:val="single"/>
          </w:rPr>
          <w:t>01_validar_instancias_endpoints.sql</w:t>
        </w:r>
      </w:hyperlink>
      <w:r>
        <w:br/>
      </w:r>
      <w:r>
        <w:rPr>
          <w:b/>
        </w:rPr>
        <w:t xml:space="preserve">Executar em: </w:t>
      </w:r>
      <w:r>
        <w:t>LAB-SQL01 e LAB-SQL02, banco master</w:t>
      </w:r>
      <w:r>
        <w:br/>
      </w:r>
      <w:r>
        <w:rPr>
          <w:b/>
        </w:rPr>
        <w:t xml:space="preserve">Finalidade: </w:t>
      </w:r>
      <w:r>
        <w:t>Confirmar nomes, edição, versão, IsHadrEnabled e endpoint.</w:t>
      </w:r>
      <w:r>
        <w:br/>
      </w:r>
      <w:r>
        <w:rPr>
          <w:b/>
        </w:rPr>
        <w:t xml:space="preserve">Resultado esperado: </w:t>
      </w:r>
      <w:r>
        <w:t>Nomes coerentes, mesma versão/edição e Always On habilitado após a etapa 8.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107837"/>
            <wp:docPr id="11" name="Picture 11" descr="Conta de domínio configurada no serviço do SQL Serv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07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0" w:name="fig_10"/>
      <w:pPr>
        <w:pStyle w:val="Legenda"/>
        <w:keepNext w:val="0"/>
        <w:jc w:val="center"/>
      </w:pPr>
      <w:r>
        <w:t>Figura 10 — Conta de domínio configurada no serviço do SQL Server</w:t>
      </w:r>
      <w:bookmarkEnd w:id="30"/>
    </w:p>
    <w:p>
      <w:bookmarkStart w:id="31" w:name="sec_7_1"/>
      <w:pPr>
        <w:pStyle w:val="Ttulo2"/>
      </w:pPr>
      <w:r>
        <w:t>7.1 Portas e firewall</w:t>
      </w:r>
      <w:bookmarkEnd w:id="31"/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New-NetFirewallRule -DisplayName "SQL Server 1433" -Direction Inbound -Protocol TCP -LocalPort 1433 -Action Allow</w:t>
      </w:r>
      <w:r>
        <w:br/>
      </w:r>
      <w:r>
        <w:rPr>
          <w:rFonts w:ascii="Consolas" w:hAnsi="Consolas"/>
          <w:sz w:val="17"/>
        </w:rPr>
        <w:t>New-NetFirewallRule -DisplayName "Always On Endpoint 5022" -Direction Inbound -Protocol TCP -LocalPort 5022 -Action Allow</w:t>
      </w:r>
    </w:p>
    <w:p>
      <w:r>
        <w:t>A porta 1433 recebe conexões de clientes e listener; a 5022 transporta replicação entre réplicas. Teste cada porta no sentido oposto com Test-NetConnection.</w:t>
      </w:r>
    </w:p>
    <w:p>
      <w:bookmarkStart w:id="32" w:name="sec_8"/>
      <w:pPr>
        <w:pStyle w:val="Ttulo1"/>
      </w:pPr>
      <w:r>
        <w:t>8. Habilitar Always On e validar o endpoint</w:t>
      </w:r>
      <w:bookmarkEnd w:id="32"/>
    </w:p>
    <w:p>
      <w:pPr>
        <w:pStyle w:val="Listanumerada"/>
        <w:numPr>
          <w:ilvl w:val="0"/>
          <w:numId w:val="15"/>
        </w:numPr>
      </w:pPr>
      <w:r>
        <w:t>Abra SQL Server Configuration Manager em cada nó.</w:t>
      </w:r>
    </w:p>
    <w:p>
      <w:pPr>
        <w:pStyle w:val="Listanumerada"/>
        <w:numPr>
          <w:ilvl w:val="0"/>
          <w:numId w:val="15"/>
        </w:numPr>
      </w:pPr>
      <w:r>
        <w:t>Nas propriedades do serviço SQL Server, abra Always On High Availability.</w:t>
      </w:r>
    </w:p>
    <w:p>
      <w:pPr>
        <w:pStyle w:val="Listanumerada"/>
        <w:numPr>
          <w:ilvl w:val="0"/>
          <w:numId w:val="15"/>
        </w:numPr>
      </w:pPr>
      <w:r>
        <w:t>Marque Enable Always On Availability Groups.</w:t>
      </w:r>
    </w:p>
    <w:p>
      <w:pPr>
        <w:pStyle w:val="Listanumerada"/>
        <w:numPr>
          <w:ilvl w:val="0"/>
          <w:numId w:val="15"/>
        </w:numPr>
      </w:pPr>
      <w:r>
        <w:t>Reinicie o serviço SQL Server de um nó por vez.</w:t>
      </w:r>
    </w:p>
    <w:p>
      <w:pPr>
        <w:pStyle w:val="Listanumerada"/>
        <w:numPr>
          <w:ilvl w:val="0"/>
          <w:numId w:val="15"/>
        </w:numPr>
      </w:pPr>
      <w:r>
        <w:t>Valide IsHadrEnabled e o endpoint.</w:t>
      </w:r>
    </w:p>
    <w:p>
      <w:pPr>
        <w:shd w:fill="EDF4F8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</w:rPr>
        <w:t xml:space="preserve">Script T-SQL: </w:t>
      </w:r>
      <w:hyperlink r:id="rId47">
        <w:r>
          <w:rPr>
            <w:color w:val="1F4E78"/>
            <w:u w:val="single"/>
          </w:rPr>
          <w:t>02_criar_ou_validar_endpoint_hadr.sql</w:t>
        </w:r>
      </w:hyperlink>
      <w:r>
        <w:br/>
      </w:r>
      <w:r>
        <w:rPr>
          <w:b/>
        </w:rPr>
        <w:t xml:space="preserve">Executar em: </w:t>
      </w:r>
      <w:r>
        <w:t>Executar separadamente em cada nó, banco master</w:t>
      </w:r>
      <w:r>
        <w:br/>
      </w:r>
      <w:r>
        <w:rPr>
          <w:b/>
        </w:rPr>
        <w:t xml:space="preserve">Finalidade: </w:t>
      </w:r>
      <w:r>
        <w:t>Criar o Hadr_endpoint se necessário, iniciá-lo e conceder CONNECT à conta de serviço.</w:t>
      </w:r>
      <w:r>
        <w:br/>
      </w:r>
      <w:r>
        <w:rPr>
          <w:b/>
        </w:rPr>
        <w:t xml:space="preserve">Resultado esperado: </w:t>
      </w:r>
      <w:r>
        <w:t>Endpoint STARTED, ROLE ALL, Windows authentication e porta 5022.</w:t>
      </w:r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Get-NetTCPConnection -LocalPort 5022 -State Listen</w:t>
      </w:r>
      <w:r>
        <w:br/>
      </w:r>
      <w:r>
        <w:rPr>
          <w:rFonts w:ascii="Consolas" w:hAnsi="Consolas"/>
          <w:sz w:val="17"/>
        </w:rPr>
        <w:t>Test-NetConnection LAB-SQL02.ALWAYSON.LOCAL -Port 5022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987326"/>
            <wp:docPr id="12" name="Picture 12" descr="Endpoint Hadr_endpoint iniciado na porta 5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7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3" w:name="fig_11"/>
      <w:pPr>
        <w:pStyle w:val="Legenda"/>
        <w:keepNext w:val="0"/>
        <w:jc w:val="center"/>
      </w:pPr>
      <w:r>
        <w:t>Figura 11 — Endpoint Hadr_endpoint iniciado na porta 5022</w:t>
      </w:r>
      <w:bookmarkEnd w:id="33"/>
    </w:p>
    <w:p>
      <w:bookmarkStart w:id="34" w:name="sec_9"/>
      <w:pPr>
        <w:pStyle w:val="Ttulo1"/>
      </w:pPr>
      <w:r>
        <w:t>9. Preparar o BancoTeste</w:t>
      </w:r>
      <w:bookmarkEnd w:id="34"/>
    </w:p>
    <w:p>
      <w:r>
        <w:t>Crie o banco apenas no primário inicial. Depois configure recovery FULL, gere backup completo e de log, copie os arquivos e restaure no secundário com NORECOVERY. Não crie outro BancoTeste independente no SQL02.</w:t>
      </w:r>
    </w:p>
    <w:p>
      <w:pPr>
        <w:shd w:fill="EDF4F8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</w:rPr>
        <w:t xml:space="preserve">Script T-SQL: </w:t>
      </w:r>
      <w:hyperlink r:id="rId48">
        <w:r>
          <w:rPr>
            <w:color w:val="1F4E78"/>
            <w:u w:val="single"/>
          </w:rPr>
          <w:t>03_preparar_banco_primario.sql</w:t>
        </w:r>
      </w:hyperlink>
      <w:r>
        <w:br/>
      </w:r>
      <w:r>
        <w:rPr>
          <w:b/>
        </w:rPr>
        <w:t xml:space="preserve">Executar em: </w:t>
      </w:r>
      <w:r>
        <w:t>LAB-SQL01, antes da criação do AG</w:t>
      </w:r>
      <w:r>
        <w:br/>
      </w:r>
      <w:r>
        <w:rPr>
          <w:b/>
        </w:rPr>
        <w:t xml:space="preserve">Finalidade: </w:t>
      </w:r>
      <w:r>
        <w:t>Criar o banco e a tabela de teste, ativar recovery FULL e iniciar uma cadeia válida de backups.</w:t>
      </w:r>
      <w:r>
        <w:br/>
      </w:r>
      <w:r>
        <w:rPr>
          <w:b/>
        </w:rPr>
        <w:t xml:space="preserve">Resultado esperado: </w:t>
      </w:r>
      <w:r>
        <w:t>Banco ONLINE no primário, tabela criada e arquivos FULL/LOG validados.</w:t>
      </w:r>
    </w:p>
    <w:p>
      <w:pPr>
        <w:shd w:fill="EDF4F8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</w:rPr>
        <w:t xml:space="preserve">Script T-SQL: </w:t>
      </w:r>
      <w:hyperlink r:id="rId49">
        <w:r>
          <w:rPr>
            <w:color w:val="1F4E78"/>
            <w:u w:val="single"/>
          </w:rPr>
          <w:t>04_restaurar_banco_secundario.sql</w:t>
        </w:r>
      </w:hyperlink>
      <w:r>
        <w:br/>
      </w:r>
      <w:r>
        <w:rPr>
          <w:b/>
        </w:rPr>
        <w:t xml:space="preserve">Executar em: </w:t>
      </w:r>
      <w:r>
        <w:t>LAB-SQL02, depois de copiar os backups</w:t>
      </w:r>
      <w:r>
        <w:br/>
      </w:r>
      <w:r>
        <w:rPr>
          <w:b/>
        </w:rPr>
        <w:t xml:space="preserve">Finalidade: </w:t>
      </w:r>
      <w:r>
        <w:t>Restaurar FULL e LOG com NORECOVERY para preparar o método Join only.</w:t>
      </w:r>
      <w:r>
        <w:br/>
      </w:r>
      <w:r>
        <w:rPr>
          <w:b/>
        </w:rPr>
        <w:t xml:space="preserve">Resultado esperado: </w:t>
      </w:r>
      <w:r>
        <w:t>BancoTeste em estado RESTORING no secundário.</w:t>
      </w:r>
    </w:p>
    <w:p>
      <w:pPr>
        <w:shd w:fill="FFF2CC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  <w:color w:val="A61B1B"/>
        </w:rPr>
        <w:t xml:space="preserve">ERRO 4305: </w:t>
      </w:r>
      <w:r>
        <w:t>Indica que o backup de log restaurado não é o próximo da cadeia. Produza um novo backup de log no primário e restaure os arquivos na ordem correta.</w:t>
      </w:r>
    </w:p>
    <w:p>
      <w:bookmarkStart w:id="35" w:name="sec_10"/>
      <w:pPr>
        <w:pStyle w:val="Ttulo1"/>
      </w:pPr>
      <w:r>
        <w:t>10. Criar o Availability Group no SSMS</w:t>
      </w:r>
      <w:bookmarkEnd w:id="35"/>
    </w:p>
    <w:p>
      <w:r>
        <w:t>No primário, abra Always On High Availability &gt; Availability Groups &gt; New Availability Group Wizard.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50371"/>
            <wp:docPr id="13" name="Picture 13" descr="Início do New Availability Group Wiz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0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6" w:name="fig_12"/>
      <w:pPr>
        <w:pStyle w:val="Legenda"/>
        <w:keepNext w:val="0"/>
        <w:jc w:val="center"/>
      </w:pPr>
      <w:r>
        <w:t>Figura 12 — Início do New Availability Group Wizard</w:t>
      </w:r>
      <w:bookmarkEnd w:id="36"/>
    </w:p>
    <w:p>
      <w:r>
        <w:t>Nomeie AG-SQLLAB e mantenha o tipo de cluster WSFC.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38452"/>
            <wp:docPr id="14" name="Picture 14" descr="Nome e opções do Availability Gro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7" w:name="fig_13"/>
      <w:pPr>
        <w:pStyle w:val="Legenda"/>
        <w:keepNext w:val="0"/>
        <w:jc w:val="center"/>
      </w:pPr>
      <w:r>
        <w:t>Figura 13 — Nome e opções do Availability Group</w:t>
      </w:r>
      <w:bookmarkEnd w:id="37"/>
    </w:p>
    <w:p>
      <w:r>
        <w:t>Selecione BancoTeste somente quando ele estiver em FULL e possuir backup válido.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67624"/>
            <wp:docPr id="15" name="Picture 15" descr="BancoTeste elegível para o Availability Gro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6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8" w:name="fig_14"/>
      <w:pPr>
        <w:pStyle w:val="Legenda"/>
        <w:keepNext w:val="0"/>
        <w:jc w:val="center"/>
      </w:pPr>
      <w:r>
        <w:t>Figura 14 — BancoTeste elegível para o Availability Group</w:t>
      </w:r>
      <w:bookmarkEnd w:id="38"/>
    </w:p>
    <w:p>
      <w:r>
        <w:t>Adicione LAB-SQL01 e LAB-SQL02; marque Synchronous Commit e Automatic Failover em ambas.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71631"/>
            <wp:docPr id="16" name="Picture 16" descr="Réplicas em commit síncrono e failover automát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71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9" w:name="fig_15"/>
      <w:pPr>
        <w:pStyle w:val="Legenda"/>
        <w:keepNext w:val="0"/>
        <w:jc w:val="center"/>
      </w:pPr>
      <w:r>
        <w:t>Figura 15 — Réplicas em commit síncrono e failover automático</w:t>
      </w:r>
      <w:bookmarkEnd w:id="39"/>
    </w:p>
    <w:p>
      <w:r>
        <w:t>Confirme endpoints TCP://LAB-SQL01.ALWAYSON.LOCAL:5022 e TCP://LAB-SQL02.ALWAYSON.LOCAL:5022.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73741"/>
            <wp:docPr id="17" name="Picture 17" descr="URLs dos endpoints das réplic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73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0" w:name="fig_16"/>
      <w:pPr>
        <w:pStyle w:val="Legenda"/>
        <w:keepNext w:val="0"/>
        <w:jc w:val="center"/>
      </w:pPr>
      <w:r>
        <w:t>Figura 16 — URLs dos endpoints das réplicas</w:t>
      </w:r>
      <w:bookmarkEnd w:id="40"/>
    </w:p>
    <w:p>
      <w:r>
        <w:t>Escolha a preferência inicial de backup; ela orienta jobs, mas não cria backups automaticamente.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75841"/>
            <wp:docPr id="18" name="Picture 18" descr="Preferência de backup do Availability Gro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7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1" w:name="fig_17"/>
      <w:pPr>
        <w:pStyle w:val="Legenda"/>
        <w:keepNext w:val="0"/>
        <w:jc w:val="center"/>
      </w:pPr>
      <w:r>
        <w:t>Figura 17 — Preferência de backup do Availability Group</w:t>
      </w:r>
      <w:bookmarkEnd w:id="41"/>
    </w:p>
    <w:p>
      <w:r>
        <w:t>Crie SQL-LISTENER, porta 1433, IP estático 192.168.1.124 e máscara 255.255.255.0.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87750"/>
            <wp:docPr id="19" name="Picture 19" descr="Configuração do SQL-LISTE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2" w:name="fig_18"/>
      <w:pPr>
        <w:pStyle w:val="Legenda"/>
        <w:keepNext w:val="0"/>
        <w:jc w:val="center"/>
      </w:pPr>
      <w:r>
        <w:t>Figura 18 — Configuração do SQL-LISTENER</w:t>
      </w:r>
      <w:bookmarkEnd w:id="42"/>
    </w:p>
    <w:p>
      <w:r>
        <w:t>Entenda que o nome permanece estável enquanto IP e papel primário acompanham o AG.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09160" cy="6375885"/>
            <wp:docPr id="20" name="Picture 20" descr="Fluxo de conexão pelo liste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375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3" w:name="fig_19"/>
      <w:pPr>
        <w:pStyle w:val="Legenda"/>
        <w:keepNext w:val="0"/>
        <w:jc w:val="center"/>
      </w:pPr>
      <w:r>
        <w:t>Figura 19 — Fluxo de conexão pelo listener</w:t>
      </w:r>
      <w:bookmarkEnd w:id="43"/>
    </w:p>
    <w:p>
      <w:r>
        <w:t>Deixe Read-Only Routing vazio na instalação inicial; configure depois da validação básica.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80729"/>
            <wp:docPr id="21" name="Picture 21" descr="Read-Only Routing não configurado na implantação inic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4" w:name="fig_20"/>
      <w:pPr>
        <w:pStyle w:val="Legenda"/>
        <w:keepNext w:val="0"/>
        <w:jc w:val="center"/>
      </w:pPr>
      <w:r>
        <w:t>Figura 20 — Read-Only Routing não configurado na implantação inicial</w:t>
      </w:r>
      <w:bookmarkEnd w:id="44"/>
    </w:p>
    <w:p>
      <w:r>
        <w:t>Aceite a criptografia e valide a conta usada pelos endpoints.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60643"/>
            <wp:docPr id="22" name="Picture 22" descr="Opções de conexão criptograf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0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5" w:name="fig_21"/>
      <w:pPr>
        <w:pStyle w:val="Legenda"/>
        <w:keepNext w:val="0"/>
        <w:jc w:val="center"/>
      </w:pPr>
      <w:r>
        <w:t>Figura 21 — Opções de conexão criptografada</w:t>
      </w:r>
      <w:bookmarkEnd w:id="45"/>
    </w:p>
    <w:p>
      <w:r>
        <w:t>Escolha Join only porque o banco secundário já foi restaurado com NORECOVERY.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46072"/>
            <wp:docPr id="23" name="Picture 23" descr="Seleção do método Join on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4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6" w:name="fig_22"/>
      <w:pPr>
        <w:pStyle w:val="Legenda"/>
        <w:keepNext w:val="0"/>
        <w:jc w:val="center"/>
      </w:pPr>
      <w:r>
        <w:t>Figura 22 — Seleção do método Join only</w:t>
      </w:r>
      <w:bookmarkEnd w:id="46"/>
    </w:p>
    <w:p>
      <w:r>
        <w:t>Execute Validation e corrija qualquer erro antes de avançar.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52380"/>
            <wp:docPr id="24" name="Picture 24" descr="Validação do assist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7" w:name="fig_23"/>
      <w:pPr>
        <w:pStyle w:val="Legenda"/>
        <w:keepNext w:val="0"/>
        <w:jc w:val="center"/>
      </w:pPr>
      <w:r>
        <w:t>Figura 23 — Validação do assistente</w:t>
      </w:r>
      <w:bookmarkEnd w:id="47"/>
    </w:p>
    <w:p>
      <w:r>
        <w:t>Revise nomes, endpoints, modos, listener e método de sincronização.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207382"/>
            <wp:docPr id="25" name="Picture 25" descr="Resumo antes da cri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07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8" w:name="fig_24"/>
      <w:pPr>
        <w:pStyle w:val="Legenda"/>
        <w:keepNext w:val="0"/>
        <w:jc w:val="center"/>
      </w:pPr>
      <w:r>
        <w:t>Figura 24 — Resumo antes da criação</w:t>
      </w:r>
      <w:bookmarkEnd w:id="48"/>
    </w:p>
    <w:p>
      <w:r>
        <w:t>Conclua e verifique se todas as ações retornaram Success.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198640"/>
            <wp:docPr id="26" name="Picture 26" descr="Execução das etapas do assist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9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49" w:name="fig_25"/>
      <w:pPr>
        <w:pStyle w:val="Legenda"/>
        <w:keepNext w:val="0"/>
        <w:jc w:val="center"/>
      </w:pPr>
      <w:r>
        <w:t>Figura 25 — Execução das etapas do assistente</w:t>
      </w:r>
      <w:bookmarkEnd w:id="49"/>
    </w:p>
    <w:p>
      <w:bookmarkStart w:id="50" w:name="sec_11"/>
      <w:pPr>
        <w:pStyle w:val="Ttulo1"/>
      </w:pPr>
      <w:r>
        <w:t>11. Configurar e compreender o listener</w:t>
      </w:r>
      <w:bookmarkEnd w:id="50"/>
    </w:p>
    <w:p>
      <w:r>
        <w:t>O listener é um recurso do WSFC associado ao AG. Ele possui um nome de rede e um IP virtual. Não pertence permanentemente ao SQL01 ou ao SQL02. Durante o failover, conexões existentes são interrompidas; clientes devem abrir uma nova conexão usando o mesmo nome.</w:t>
      </w:r>
    </w:p>
    <w:tbl>
      <w:tblPr>
        <w:tblStyle w:val="TabelacomGrelha"/>
        <w:tblW w:type="dxa" w:w="900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2088"/>
        <w:gridCol w:w="4824"/>
        <w:gridCol w:w="2088"/>
      </w:tblGrid>
      <w:tr>
        <w:trPr>
          <w:tblHeader w:val="true"/>
          <w:cantSplit/>
        </w:trPr>
        <w:tc>
          <w:tcPr>
            <w:tcW w:type="dxa" w:w="208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Tipo de conexão</w:t>
            </w:r>
          </w:p>
        </w:tc>
        <w:tc>
          <w:tcPr>
            <w:tcW w:type="dxa" w:w="482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String/Parâmetro</w:t>
            </w:r>
          </w:p>
        </w:tc>
        <w:tc>
          <w:tcPr>
            <w:tcW w:type="dxa" w:w="208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Leitura e gravação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Server=SQL-LISTENER.ALWAYSON.LOCAL;Database=BancoTeste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PRIMARY atual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Somente leitura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ApplicationIntent=ReadOnly;Initial Catalog=BancoTeste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SECONDARY roteável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Diagnóstico direto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Server=LAB-SQL01 ou LAB-SQL02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Nó informado; não há redirecionamento</w:t>
            </w:r>
          </w:p>
        </w:tc>
      </w:tr>
    </w:tbl>
    <w:p>
      <w:pPr>
        <w:spacing w:after="0"/>
      </w:pPr>
    </w:p>
    <w:p>
      <w:pPr>
        <w:shd w:fill="D9EAF7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  <w:color w:val="1F4E78"/>
        </w:rPr>
        <w:t xml:space="preserve">RECONEXÃO: </w:t>
      </w:r>
      <w:r>
        <w:t>O listener direciona novas conexões. A aplicação precisa possuir retry/reconnect; ele não preserva a sessão que caiu.</w:t>
      </w:r>
    </w:p>
    <w:p>
      <w:bookmarkStart w:id="51" w:name="sec_12"/>
      <w:pPr>
        <w:pStyle w:val="Ttulo1"/>
      </w:pPr>
      <w:r>
        <w:t>12. Validar o ambiente</w:t>
      </w:r>
      <w:bookmarkEnd w:id="51"/>
    </w:p>
    <w:p>
      <w:pPr>
        <w:shd w:fill="EDF4F8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</w:rPr>
        <w:t xml:space="preserve">Script T-SQL: </w:t>
      </w:r>
      <w:hyperlink r:id="rId50">
        <w:r>
          <w:rPr>
            <w:color w:val="1F4E78"/>
            <w:u w:val="single"/>
          </w:rPr>
          <w:t>05_validar_availability_group.sql</w:t>
        </w:r>
      </w:hyperlink>
      <w:r>
        <w:br/>
      </w:r>
      <w:r>
        <w:rPr>
          <w:b/>
        </w:rPr>
        <w:t xml:space="preserve">Executar em: </w:t>
      </w:r>
      <w:r>
        <w:t>Primário atual, banco master</w:t>
      </w:r>
      <w:r>
        <w:br/>
      </w:r>
      <w:r>
        <w:rPr>
          <w:b/>
        </w:rPr>
        <w:t xml:space="preserve">Finalidade: </w:t>
      </w:r>
      <w:r>
        <w:t>Listar PRIMARY/SECONDARY, modos, saúde do BancoTeste e configuração do listener.</w:t>
      </w:r>
      <w:r>
        <w:br/>
      </w:r>
      <w:r>
        <w:rPr>
          <w:b/>
        </w:rPr>
        <w:t xml:space="preserve">Resultado esperado: </w:t>
      </w:r>
      <w:r>
        <w:t>Uma réplica PRIMARY, uma SECONDARY, ambas HEALTHY; banco SYNCHRONIZED e listener ONLINE.</w:t>
      </w:r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Get-ClusterNode</w:t>
      </w:r>
      <w:r>
        <w:br/>
      </w:r>
      <w:r>
        <w:rPr>
          <w:rFonts w:ascii="Consolas" w:hAnsi="Consolas"/>
          <w:sz w:val="17"/>
        </w:rPr>
        <w:t>Get-ClusterQuorum</w:t>
      </w:r>
      <w:r>
        <w:br/>
      </w:r>
      <w:r>
        <w:rPr>
          <w:rFonts w:ascii="Consolas" w:hAnsi="Consolas"/>
          <w:sz w:val="17"/>
        </w:rPr>
        <w:t>Get-ClusterGroup -Name "AG-SQLLAB"</w:t>
      </w:r>
      <w:r>
        <w:br/>
      </w:r>
      <w:r>
        <w:rPr>
          <w:rFonts w:ascii="Consolas" w:hAnsi="Consolas"/>
          <w:sz w:val="17"/>
        </w:rPr>
        <w:t>Resolve-DnsName SQL-LISTENER.ALWAYSON.LOCAL</w:t>
      </w:r>
      <w:r>
        <w:br/>
      </w:r>
      <w:r>
        <w:rPr>
          <w:rFonts w:ascii="Consolas" w:hAnsi="Consolas"/>
          <w:sz w:val="17"/>
        </w:rPr>
        <w:t>Test-NetConnection SQL-LISTENER.ALWAYSON.LOCAL -Port 1433</w:t>
      </w:r>
    </w:p>
    <w:p>
      <w:r>
        <w:t>Get-ClusterNode confirma participação; Get-ClusterQuorum mostra o witness; Get-ClusterGroup verifica o recurso do AG; Resolve-DnsName valida o IP 192.168.1.124; Test-NetConnection confirma que existe um SQL Server atendendo pela porta do listener.</w:t>
      </w:r>
    </w:p>
    <w:p>
      <w:bookmarkStart w:id="52" w:name="sec_13"/>
      <w:pPr>
        <w:pStyle w:val="Ttulo1"/>
      </w:pPr>
      <w:r>
        <w:t>13. Testar failover e failback</w:t>
      </w:r>
      <w:bookmarkEnd w:id="52"/>
    </w:p>
    <w:p>
      <w:bookmarkStart w:id="53" w:name="sec_13_1"/>
      <w:pPr>
        <w:pStyle w:val="Ttulo2"/>
      </w:pPr>
      <w:r>
        <w:t>13.1 Failover planejado</w:t>
      </w:r>
      <w:bookmarkEnd w:id="53"/>
    </w:p>
    <w:p>
      <w:pPr>
        <w:pStyle w:val="Listanumerada"/>
        <w:numPr>
          <w:ilvl w:val="0"/>
          <w:numId w:val="16"/>
        </w:numPr>
      </w:pPr>
      <w:r>
        <w:t>Confirme que as duas réplicas estão SYNCHRONIZED e HEALTHY.</w:t>
      </w:r>
    </w:p>
    <w:p>
      <w:pPr>
        <w:pStyle w:val="Listanumerada"/>
        <w:numPr>
          <w:ilvl w:val="0"/>
          <w:numId w:val="16"/>
        </w:numPr>
      </w:pPr>
      <w:r>
        <w:t>Conecte diretamente à réplica SECONDARY que deverá assumir.</w:t>
      </w:r>
    </w:p>
    <w:p>
      <w:pPr>
        <w:pStyle w:val="Listanumerada"/>
        <w:numPr>
          <w:ilvl w:val="0"/>
          <w:numId w:val="16"/>
        </w:numPr>
      </w:pPr>
      <w:r>
        <w:t>Execute a parte comentada de failover no script 06.</w:t>
      </w:r>
    </w:p>
    <w:p>
      <w:pPr>
        <w:pStyle w:val="Listanumerada"/>
        <w:numPr>
          <w:ilvl w:val="0"/>
          <w:numId w:val="16"/>
        </w:numPr>
      </w:pPr>
      <w:r>
        <w:t>Reconecte pelo listener e confirme @@SERVERNAME.</w:t>
      </w:r>
    </w:p>
    <w:p>
      <w:pPr>
        <w:pStyle w:val="Listanumerada"/>
        <w:numPr>
          <w:ilvl w:val="0"/>
          <w:numId w:val="16"/>
        </w:numPr>
      </w:pPr>
      <w:r>
        <w:t>Insira um registro e valide a tabela.</w:t>
      </w:r>
    </w:p>
    <w:p>
      <w:pPr>
        <w:shd w:fill="EDF4F8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</w:rPr>
        <w:t xml:space="preserve">Script T-SQL: </w:t>
      </w:r>
      <w:hyperlink r:id="rId51">
        <w:r>
          <w:rPr>
            <w:color w:val="1F4E78"/>
            <w:u w:val="single"/>
          </w:rPr>
          <w:t>06_teste_dados_e_failover_manual.sql</w:t>
        </w:r>
      </w:hyperlink>
      <w:r>
        <w:br/>
      </w:r>
      <w:r>
        <w:rPr>
          <w:b/>
        </w:rPr>
        <w:t xml:space="preserve">Executar em: </w:t>
      </w:r>
      <w:r>
        <w:t>Pelo listener para dados; diretamente no SECONDARY para o comando FAILOVER</w:t>
      </w:r>
      <w:r>
        <w:br/>
      </w:r>
      <w:r>
        <w:rPr>
          <w:b/>
        </w:rPr>
        <w:t xml:space="preserve">Finalidade: </w:t>
      </w:r>
      <w:r>
        <w:t>Inserir evidência, identificar o primário e executar failover manual sem perda de dados.</w:t>
      </w:r>
      <w:r>
        <w:br/>
      </w:r>
      <w:r>
        <w:rPr>
          <w:b/>
        </w:rPr>
        <w:t xml:space="preserve">Resultado esperado: </w:t>
      </w:r>
      <w:r>
        <w:t>O secundário assume PRIMARY e o listener encaminha novas conexões.</w:t>
      </w:r>
    </w:p>
    <w:p>
      <w:bookmarkStart w:id="54" w:name="sec_13_2"/>
      <w:pPr>
        <w:pStyle w:val="Ttulo2"/>
      </w:pPr>
      <w:r>
        <w:t>13.2 Failover automático</w:t>
      </w:r>
      <w:bookmarkEnd w:id="54"/>
    </w:p>
    <w:p>
      <w:r>
        <w:t>Antes do teste, confirme nós Up, witness Online, AG Online e banco SYNCHRONIZED. Pare o serviço SQL Server do primário apenas após essas validações. Em até alguns segundos, o grupo deve ficar Online no outro nó.</w:t>
      </w:r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Stop-Service MSSQLSERVER -Force</w:t>
      </w:r>
      <w:r>
        <w:br/>
      </w:r>
      <w:r>
        <w:rPr>
          <w:rFonts w:ascii="Consolas" w:hAnsi="Consolas"/>
          <w:sz w:val="17"/>
        </w:rPr>
        <w:t># No outro nó, após aguardar:</w:t>
      </w:r>
      <w:r>
        <w:br/>
      </w:r>
      <w:r>
        <w:rPr>
          <w:rFonts w:ascii="Consolas" w:hAnsi="Consolas"/>
          <w:sz w:val="17"/>
        </w:rPr>
        <w:t>Get-ClusterGroup -Name "AG-SQLLAB"</w:t>
      </w:r>
    </w:p>
    <w:p>
      <w:pPr>
        <w:shd w:fill="FFF2CC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  <w:color w:val="A61B1B"/>
        </w:rPr>
        <w:t xml:space="preserve">NÃO FORCE: </w:t>
      </w:r>
      <w:r>
        <w:t>Não use FORCE_FAILOVER_ALLOW_DATA_LOSS quando existe possibilidade de recuperar o primário. Esse comando pertence a cenários de desastre e pode perder transações.</w:t>
      </w:r>
    </w:p>
    <w:p>
      <w:bookmarkStart w:id="55" w:name="sec_14"/>
      <w:pPr>
        <w:pStyle w:val="Ttulo1"/>
      </w:pPr>
      <w:r>
        <w:t>14. Controlar o limite de failovers</w:t>
      </w:r>
      <w:bookmarkEnd w:id="55"/>
    </w:p>
    <w:p>
      <w:r>
        <w:t>FailoverThreshold limita quantas falhas/tentativas automáticas do grupo podem ocorrer dentro de FailoverPeriod. O mecanismo evita que um recurso instável fique alternando indefinidamente entre os nós.</w:t>
      </w:r>
    </w:p>
    <w:tbl>
      <w:tblPr>
        <w:tblStyle w:val="TabelacomGrelha"/>
        <w:tblW w:type="dxa" w:w="900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2376"/>
        <w:gridCol w:w="1440"/>
        <w:gridCol w:w="1512"/>
        <w:gridCol w:w="3672"/>
      </w:tblGrid>
      <w:tr>
        <w:trPr>
          <w:tblHeader w:val="true"/>
          <w:cantSplit/>
        </w:trPr>
        <w:tc>
          <w:tcPr>
            <w:tcW w:type="dxa" w:w="2376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Ambiente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151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3672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Objetivo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Produção conservadora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 ou 2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6 horas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Interromper rapidamente comportamento instável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Produção controlada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 ou 3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6 horas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Aceitar uma tentativa adicional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Homologação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 horas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Permitir ciclos de validação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Laboratório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10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6 horas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Permitir testes sucessivos</w:t>
            </w:r>
          </w:p>
        </w:tc>
      </w:tr>
    </w:tbl>
    <w:p>
      <w:pPr>
        <w:spacing w:after="0"/>
      </w:pPr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(Get-ClusterGroup -Name "AG-SQLLAB").FailoverThreshold = 10</w:t>
      </w:r>
      <w:r>
        <w:br/>
      </w:r>
      <w:r>
        <w:rPr>
          <w:rFonts w:ascii="Consolas" w:hAnsi="Consolas"/>
          <w:sz w:val="17"/>
        </w:rPr>
        <w:t>Get-ClusterGroup -Name "AG-SQLLAB" | Format-List Name,FailoverThreshold,FailoverPeriod</w:t>
      </w:r>
    </w:p>
    <w:p>
      <w:r>
        <w:t>O comando pode ser executado em qualquer nó ativo porque altera a configuração compartilhada do WSFC. Ele não precisa ser repetido no outro servidor. Em produção, aumentar o limite não corrige a causa das falhas; apenas permite mais tentativas.</w:t>
      </w:r>
    </w:p>
    <w:p>
      <w:bookmarkStart w:id="56" w:name="sec_15"/>
      <w:pPr>
        <w:pStyle w:val="Ttulo1"/>
      </w:pPr>
      <w:r>
        <w:t>15. Usar a réplica secundária para leitura</w:t>
      </w:r>
      <w:bookmarkEnd w:id="56"/>
    </w:p>
    <w:p>
      <w:r>
        <w:t>Readable Secondary permite deslocar relatórios e SELECTs para a réplica secundária. Isso reduz parte da carga do primário, porém consultas pesadas continuam consumindo CPU, memória e disco e podem competir com o processo de redo.</w:t>
      </w:r>
    </w:p>
    <w:p>
      <w:pPr>
        <w:shd w:fill="EDF4F8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</w:rPr>
        <w:t xml:space="preserve">Script T-SQL: </w:t>
      </w:r>
      <w:hyperlink r:id="rId52">
        <w:r>
          <w:rPr>
            <w:color w:val="1F4E78"/>
            <w:u w:val="single"/>
          </w:rPr>
          <w:t>07_configurar_read_only_routing.sql</w:t>
        </w:r>
      </w:hyperlink>
      <w:r>
        <w:br/>
      </w:r>
      <w:r>
        <w:rPr>
          <w:b/>
        </w:rPr>
        <w:t xml:space="preserve">Executar em: </w:t>
      </w:r>
      <w:r>
        <w:t>Primário atual, banco master</w:t>
      </w:r>
      <w:r>
        <w:br/>
      </w:r>
      <w:r>
        <w:rPr>
          <w:b/>
        </w:rPr>
        <w:t xml:space="preserve">Finalidade: </w:t>
      </w:r>
      <w:r>
        <w:t>Habilitar READ_ONLY nas duas réplicas, definir URLs e listas de roteamento.</w:t>
      </w:r>
      <w:r>
        <w:br/>
      </w:r>
      <w:r>
        <w:rPr>
          <w:b/>
        </w:rPr>
        <w:t xml:space="preserve">Resultado esperado: </w:t>
      </w:r>
      <w:r>
        <w:t>Conexões pelo listener com ApplicationIntent=ReadOnly são enviadas ao secundário disponível.</w:t>
      </w:r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sqlcmd -S "tcp:SQL-LISTENER.ALWAYSON.LOCAL,1433" -d "BancoTeste" -E -C -K ReadOnly -Q "SELECT @@SERVERNAME AS servidor, DATABASEPROPERTYEX(DB_NAME(),'Updateability') AS modo;"</w:t>
      </w:r>
    </w:p>
    <w:p>
      <w:r>
        <w:t>-K ReadOnly declara a intenção de leitura; -d informa o banco, requisito para a decisão de roteamento; -E usa autenticação integrada; -C confia no certificado no laboratório. Sem -K, a conexão segue para o PRIMARY.</w:t>
      </w:r>
    </w:p>
    <w:p>
      <w:pPr>
        <w:shd w:fill="FFF2CC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  <w:color w:val="A61B1B"/>
        </w:rPr>
        <w:t xml:space="preserve">ERRO 978: </w:t>
      </w:r>
      <w:r>
        <w:t>A conexão alcançou uma réplica secundária configurada como READ_ONLY, mas não declarou ApplicationIntent=ReadOnly. Abra uma nova conexão com esse parâmetro ou use o listener sem intenção de leitura para alcançar o primário.</w:t>
      </w:r>
    </w:p>
    <w:p>
      <w:bookmarkStart w:id="57" w:name="sec_16"/>
      <w:pPr>
        <w:pStyle w:val="Ttulo1"/>
      </w:pPr>
      <w:r>
        <w:t>16. Executar backups na réplica secundária</w:t>
      </w:r>
      <w:bookmarkEnd w:id="57"/>
    </w:p>
    <w:p>
      <w:r>
        <w:t>A preferência de backup acompanha o papel, não o nome do servidor. A opção Prefer Secondary permite descarregar trabalho quando existe secundária saudável e usar o primário como alternativa. O SQL Server não transfere jobs: mantenha o mesmo job nos dois Agents e use fn_hadr_backup_is_preferred_replica como condição.</w:t>
      </w:r>
    </w:p>
    <w:p>
      <w:pPr>
        <w:shd w:fill="EDF4F8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</w:rPr>
        <w:t xml:space="preserve">Script T-SQL: </w:t>
      </w:r>
      <w:hyperlink r:id="rId53">
        <w:r>
          <w:rPr>
            <w:color w:val="1F4E78"/>
            <w:u w:val="single"/>
          </w:rPr>
          <w:t>08_configurar_backup_preferencial.sql</w:t>
        </w:r>
      </w:hyperlink>
      <w:r>
        <w:br/>
      </w:r>
      <w:r>
        <w:rPr>
          <w:b/>
        </w:rPr>
        <w:t xml:space="preserve">Executar em: </w:t>
      </w:r>
      <w:r>
        <w:t>Configuração no primário; bloco de backup em job idêntico nos dois nós</w:t>
      </w:r>
      <w:r>
        <w:br/>
      </w:r>
      <w:r>
        <w:rPr>
          <w:b/>
        </w:rPr>
        <w:t xml:space="preserve">Finalidade: </w:t>
      </w:r>
      <w:r>
        <w:t>Definir Prefer Secondary, identificar a réplica preferida e executar FULL COPY_ONLY e LOG somente nela.</w:t>
      </w:r>
      <w:r>
        <w:br/>
      </w:r>
      <w:r>
        <w:rPr>
          <w:b/>
        </w:rPr>
        <w:t xml:space="preserve">Resultado esperado: </w:t>
      </w:r>
      <w:r>
        <w:t>Apenas a réplica indicada pela função produz o arquivo de backup.</w:t>
      </w:r>
    </w:p>
    <w:p>
      <w:pPr>
        <w:shd w:fill="D9EAF7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  <w:color w:val="1F4E78"/>
        </w:rPr>
        <w:t xml:space="preserve">DESTINO: </w:t>
      </w:r>
      <w:r>
        <w:t>C:\Backup grava localmente no nó executor. Para centralizar, use compartilhamento protegido e conceda permissões de compartilhamento e NTFS à conta ALWAYSON\sqlservice.</w:t>
      </w:r>
    </w:p>
    <w:p>
      <w:pPr>
        <w:shd w:fill="EDF4F8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</w:rPr>
        <w:t xml:space="preserve">Script T-SQL: </w:t>
      </w:r>
      <w:hyperlink r:id="rId54">
        <w:r>
          <w:rPr>
            <w:color w:val="1F4E78"/>
            <w:u w:val="single"/>
          </w:rPr>
          <w:t>09_monitorar_saude_e_backups.sql</w:t>
        </w:r>
      </w:hyperlink>
      <w:r>
        <w:br/>
      </w:r>
      <w:r>
        <w:rPr>
          <w:b/>
        </w:rPr>
        <w:t xml:space="preserve">Executar em: </w:t>
      </w:r>
      <w:r>
        <w:t>Primário atual</w:t>
      </w:r>
      <w:r>
        <w:br/>
      </w:r>
      <w:r>
        <w:rPr>
          <w:b/>
        </w:rPr>
        <w:t xml:space="preserve">Finalidade: </w:t>
      </w:r>
      <w:r>
        <w:t>Monitorar filas de log/redo, sincronização e datas dos últimos backups.</w:t>
      </w:r>
      <w:r>
        <w:br/>
      </w:r>
      <w:r>
        <w:rPr>
          <w:b/>
        </w:rPr>
        <w:t xml:space="preserve">Resultado esperado: </w:t>
      </w:r>
      <w:r>
        <w:t>Filas compatíveis com a carga, HEALTHY e backups dentro da política definida.</w:t>
      </w:r>
    </w:p>
    <w:p>
      <w:bookmarkStart w:id="58" w:name="sec_17"/>
      <w:pPr>
        <w:pStyle w:val="Ttulo1"/>
      </w:pPr>
      <w:r>
        <w:t>17. Testes operacionais e solução de problemas</w:t>
      </w:r>
      <w:bookmarkEnd w:id="58"/>
    </w:p>
    <w:p>
      <w:bookmarkStart w:id="59" w:name="sec_17_1"/>
      <w:pPr>
        <w:pStyle w:val="Ttulo2"/>
      </w:pPr>
      <w:r>
        <w:t>17.1 Erros frequentes</w:t>
      </w:r>
      <w:bookmarkEnd w:id="59"/>
    </w:p>
    <w:tbl>
      <w:tblPr>
        <w:tblStyle w:val="TabelacomGrelha"/>
        <w:tblW w:type="dxa" w:w="9000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1944"/>
        <w:gridCol w:w="3528"/>
        <w:gridCol w:w="3528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35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Causa provável</w:t>
            </w:r>
          </w:p>
        </w:tc>
        <w:tc>
          <w:tcPr>
            <w:tcW w:type="dxa" w:w="352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978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Conexão direta ao secundário sem ApplicationIntent=ReadOnly.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Abrir nova conexão ReadOnly ou usar listener para escrita.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1412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Banco secundário não está no ponto da cadeia exigido.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Novo FULL/LOG ou logs adicionais; restaurar com NORECOVERY.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4305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Log restaurado fora de sequência.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Aplicar os backups de log na ordem correta.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35208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DDL do AG executado fora de master ou no nó incorreto.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Conectar ao primário/master e repetir a ação adequada.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Listener resolve, porta 1433 falha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AG Failed, listener sem primário atendendo ou firewall/serviço.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Verificar Get-ClusterGroup, serviço SQL e porta.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RESOLVING/OFFLINE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WSFC não conseguiu colocar o AG online ou limite de failover foi atingido.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Consultar eventos 1069/1205/1254 e Cluster.log.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298811"/>
            <wp:docPr id="27" name="Picture 27" descr="Falha no Join only por banco secundário desatualiz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9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60" w:name="fig_26"/>
      <w:pPr>
        <w:pStyle w:val="Legenda"/>
        <w:keepNext w:val="0"/>
        <w:jc w:val="center"/>
      </w:pPr>
      <w:r>
        <w:t>Figura 26 — Falha no Join only por banco secundário desatualizado</w:t>
      </w:r>
      <w:bookmarkEnd w:id="60"/>
    </w:p>
    <w:p>
      <w:bookmarkStart w:id="61" w:name="sec_17_2"/>
      <w:pPr>
        <w:pStyle w:val="Ttulo2"/>
      </w:pPr>
      <w:r>
        <w:t>17.2 Teste contínuo com sqlcmd</w:t>
      </w:r>
      <w:bookmarkEnd w:id="61"/>
    </w:p>
    <w:p>
      <w:r>
        <w:t>Instale o sqlcmd moderno no servidor de domínio, crie uma tarefa agendada que se conecte sempre ao listener e insira uma linha por minuto. Durante o failover, uma execução pode falhar; as seguintes devem reconectar ao novo primário.</w:t>
      </w:r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winget search sqlcmd</w:t>
      </w:r>
      <w:r>
        <w:br/>
      </w:r>
      <w:r>
        <w:rPr>
          <w:rFonts w:ascii="Consolas" w:hAnsi="Consolas"/>
          <w:sz w:val="17"/>
        </w:rPr>
        <w:t>winget install sqlcmd --accept-package-agreements --accept-source-agreements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195552"/>
            <wp:docPr id="28" name="Picture 28" descr="Registros inseridos durante o teste de disponibilida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9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62" w:name="fig_27"/>
      <w:pPr>
        <w:pStyle w:val="Legenda"/>
        <w:keepNext w:val="0"/>
        <w:jc w:val="center"/>
      </w:pPr>
      <w:r>
        <w:t>Figura 27 — Registros inseridos durante o teste de disponibilidade</w:t>
      </w:r>
      <w:bookmarkEnd w:id="62"/>
    </w:p>
    <w:p>
      <w:bookmarkStart w:id="63" w:name="sec_17_3"/>
      <w:pPr>
        <w:pStyle w:val="Ttulo2"/>
      </w:pPr>
      <w:r>
        <w:t>17.3 Lacunas em IDENTITY</w:t>
      </w:r>
      <w:bookmarkEnd w:id="63"/>
    </w:p>
    <w:p>
      <w:r>
        <w:t>Saltos como 12 para 1002 podem ocorrer porque o SQL Server mantém cache de valores IDENTITY. Após falha ou reinício, valores reservados e ainda não usados podem ser descartados. IDENTITY garante unicidade, não numeração contínua.</w:t>
      </w:r>
    </w:p>
    <w:p>
      <w:pPr>
        <w:shd w:fill="EDF4F8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</w:rPr>
        <w:t xml:space="preserve">Script T-SQL: </w:t>
      </w:r>
      <w:hyperlink r:id="rId55">
        <w:r>
          <w:rPr>
            <w:color w:val="1F4E78"/>
            <w:u w:val="single"/>
          </w:rPr>
          <w:t>10_configurar_identity_cache.sql</w:t>
        </w:r>
      </w:hyperlink>
      <w:r>
        <w:br/>
      </w:r>
      <w:r>
        <w:rPr>
          <w:b/>
        </w:rPr>
        <w:t xml:space="preserve">Executar em: </w:t>
      </w:r>
      <w:r>
        <w:t>Primário atual, BancoTeste</w:t>
      </w:r>
      <w:r>
        <w:br/>
      </w:r>
      <w:r>
        <w:rPr>
          <w:b/>
        </w:rPr>
        <w:t xml:space="preserve">Finalidade: </w:t>
      </w:r>
      <w:r>
        <w:t>Desativar o cache para reduzir saltos grandes e consultar o valor efetivo.</w:t>
      </w:r>
      <w:r>
        <w:br/>
      </w:r>
      <w:r>
        <w:rPr>
          <w:b/>
        </w:rPr>
        <w:t xml:space="preserve">Resultado esperado: </w:t>
      </w:r>
      <w:r>
        <w:t>IDENTITY_CACHE aparece desativado; lacunas pequenas ainda são possíveis.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4565248"/>
            <wp:docPr id="29" name="Picture 29" descr="Configuração do IDENTITY_CACHE no ban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6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64" w:name="fig_28"/>
      <w:pPr>
        <w:pStyle w:val="Legenda"/>
        <w:keepNext w:val="0"/>
        <w:jc w:val="center"/>
      </w:pPr>
      <w:r>
        <w:t>Figura 28 — Configuração do IDENTITY_CACHE no banco</w:t>
      </w:r>
      <w:bookmarkEnd w:id="64"/>
    </w:p>
    <w:p>
      <w:bookmarkStart w:id="65" w:name="sec_17_4"/>
      <w:pPr>
        <w:pStyle w:val="Ttulo2"/>
      </w:pPr>
      <w:r>
        <w:t>17.4 Diagnóstico do WSFC</w:t>
      </w:r>
      <w:bookmarkEnd w:id="65"/>
    </w:p>
    <w:p>
      <w:pPr>
        <w:keepLines/>
        <w:spacing w:before="60" w:after="120"/>
        <w:ind w:left="360" w:right="216"/>
        <w:shd w:fill="F2F2F2"/>
      </w:pPr>
      <w:r>
        <w:rPr>
          <w:rFonts w:ascii="Consolas" w:hAnsi="Consolas"/>
          <w:sz w:val="17"/>
        </w:rPr>
        <w:t>Get-WinEvent -FilterHashtable @{LogName="System";Id=1069,1205,1254,1561;StartTime=(Get-Date).AddHours(-1)} | Select TimeCreated,Id,Message</w:t>
      </w:r>
      <w:r>
        <w:br/>
      </w:r>
      <w:r>
        <w:rPr>
          <w:rFonts w:ascii="Consolas" w:hAnsi="Consolas"/>
          <w:sz w:val="17"/>
        </w:rPr>
        <w:t>Get-ClusterLog -Node LAB-SQL01 -UseLocalTime -TimeSpan 15</w:t>
      </w:r>
    </w:p>
    <w:p>
      <w:r>
        <w:t>1069 identifica o recurso que falhou; 1205 indica que a função não ficou completamente online; 1254 mostra limite de failovers esgotado; 1561 aponta cópia de configuração do cluster desatualizada. No Cluster.log, procure failoverCount e computedFailoverThreshold.</w:t>
      </w:r>
    </w:p>
    <w:p>
      <w:bookmarkStart w:id="66" w:name="sec_18"/>
      <w:pPr>
        <w:pStyle w:val="Ttulo1"/>
      </w:pPr>
      <w:r>
        <w:t>18. Checklist e encerramento</w:t>
      </w:r>
      <w:bookmarkEnd w:id="66"/>
    </w:p>
    <w:tbl>
      <w:tblPr>
        <w:tblStyle w:val="TabelacomGrelha"/>
        <w:tblW w:type="dxa" w:w="8928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2880"/>
        <w:gridCol w:w="6048"/>
      </w:tblGrid>
      <w:tr>
        <w:trPr>
          <w:tblHeader w:val="true"/>
          <w:cantSplit/>
        </w:trPr>
        <w:tc>
          <w:tcPr>
            <w:tcW w:type="dxa" w:w="28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048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Critério de aceite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Nós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Ambos Up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Quorum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File Share Witness Online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Hadr_endpoint STARTED; TCP 5022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Réplicas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CONNECTED, HEALTHY, SYNCHRONOUS_COMMIT, AUTOMATIC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Banco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SYNCHRONIZED; is_suspended = 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Listener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DNS 192.168.1.124; TCP 1433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Failover manual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Executado sem perda de dados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Failover automático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Executado sem exceder o threshold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Leitura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ApplicationIntent=ReadOnly validado, se habilitado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Backup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Preferência, jobs e restauração testados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Monitoramento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Alertas, responsáveis e evidências definidos</w:t>
            </w:r>
          </w:p>
        </w:tc>
      </w:tr>
    </w:tbl>
    <w:p>
      <w:pPr>
        <w:spacing w:after="0"/>
      </w:pPr>
    </w:p>
    <w:p>
      <w:r>
        <w:t>O ambiente está pronto quando cluster, réplicas, banco e listener permanecem saudáveis, os testes de failover são repetíveis e a recuperação por backup foi comprovada. Alta disponibilidade reduz indisponibilidade, mas não elimina a necessidade de backup, segurança, observabilidade e procedimentos documentados.</w:t>
      </w:r>
    </w:p>
    <w:p>
      <w:bookmarkStart w:id="67" w:name="appendix_a"/>
      <w:pPr>
        <w:pStyle w:val="Ttulo1"/>
      </w:pPr>
      <w:r>
        <w:t>Apêndice A — Catálogo dos scripts T-SQL</w:t>
      </w:r>
      <w:bookmarkEnd w:id="67"/>
    </w:p>
    <w:p>
      <w:pPr>
        <w:pStyle w:val="Listacommarcas"/>
      </w:pPr>
      <w:hyperlink r:id="rId46">
        <w:r>
          <w:rPr>
            <w:color w:val="1F4E78"/>
            <w:u w:val="single"/>
          </w:rPr>
          <w:t>01_validar_instancias_endpoints.sql</w:t>
        </w:r>
      </w:hyperlink>
      <w:r>
        <w:t xml:space="preserve"> — Inventário, versão, Always On e endpoint</w:t>
      </w:r>
    </w:p>
    <w:p>
      <w:pPr>
        <w:pStyle w:val="Listacommarcas"/>
      </w:pPr>
      <w:hyperlink r:id="rId47">
        <w:r>
          <w:rPr>
            <w:color w:val="1F4E78"/>
            <w:u w:val="single"/>
          </w:rPr>
          <w:t>02_criar_ou_validar_endpoint_hadr.sql</w:t>
        </w:r>
      </w:hyperlink>
      <w:r>
        <w:t xml:space="preserve"> — Criação e permissão do endpoint</w:t>
      </w:r>
    </w:p>
    <w:p>
      <w:pPr>
        <w:pStyle w:val="Listacommarcas"/>
      </w:pPr>
      <w:hyperlink r:id="rId48">
        <w:r>
          <w:rPr>
            <w:color w:val="1F4E78"/>
            <w:u w:val="single"/>
          </w:rPr>
          <w:t>03_preparar_banco_primario.sql</w:t>
        </w:r>
      </w:hyperlink>
      <w:r>
        <w:t xml:space="preserve"> — Banco, tabela, recovery FULL e backups</w:t>
      </w:r>
    </w:p>
    <w:p>
      <w:pPr>
        <w:pStyle w:val="Listacommarcas"/>
      </w:pPr>
      <w:hyperlink r:id="rId49">
        <w:r>
          <w:rPr>
            <w:color w:val="1F4E78"/>
            <w:u w:val="single"/>
          </w:rPr>
          <w:t>04_restaurar_banco_secundario.sql</w:t>
        </w:r>
      </w:hyperlink>
      <w:r>
        <w:t xml:space="preserve"> — Restore WITH NORECOVERY</w:t>
      </w:r>
    </w:p>
    <w:p>
      <w:pPr>
        <w:pStyle w:val="Listacommarcas"/>
      </w:pPr>
      <w:hyperlink r:id="rId50">
        <w:r>
          <w:rPr>
            <w:color w:val="1F4E78"/>
            <w:u w:val="single"/>
          </w:rPr>
          <w:t>05_validar_availability_group.sql</w:t>
        </w:r>
      </w:hyperlink>
      <w:r>
        <w:t xml:space="preserve"> — Papéis, saúde, sincronização e listener</w:t>
      </w:r>
    </w:p>
    <w:p>
      <w:pPr>
        <w:pStyle w:val="Listacommarcas"/>
      </w:pPr>
      <w:hyperlink r:id="rId51">
        <w:r>
          <w:rPr>
            <w:color w:val="1F4E78"/>
            <w:u w:val="single"/>
          </w:rPr>
          <w:t>06_teste_dados_e_failover_manual.sql</w:t>
        </w:r>
      </w:hyperlink>
      <w:r>
        <w:t xml:space="preserve"> — Inserção, identificação e failover planejado</w:t>
      </w:r>
    </w:p>
    <w:p>
      <w:pPr>
        <w:pStyle w:val="Listacommarcas"/>
      </w:pPr>
      <w:hyperlink r:id="rId52">
        <w:r>
          <w:rPr>
            <w:color w:val="1F4E78"/>
            <w:u w:val="single"/>
          </w:rPr>
          <w:t>07_configurar_read_only_routing.sql</w:t>
        </w:r>
      </w:hyperlink>
      <w:r>
        <w:t xml:space="preserve"> — Readable Secondary e roteamento</w:t>
      </w:r>
    </w:p>
    <w:p>
      <w:pPr>
        <w:pStyle w:val="Listacommarcas"/>
      </w:pPr>
      <w:hyperlink r:id="rId53">
        <w:r>
          <w:rPr>
            <w:color w:val="1F4E78"/>
            <w:u w:val="single"/>
          </w:rPr>
          <w:t>08_configurar_backup_preferencial.sql</w:t>
        </w:r>
      </w:hyperlink>
      <w:r>
        <w:t xml:space="preserve"> — Preferência e execução condicionada</w:t>
      </w:r>
    </w:p>
    <w:p>
      <w:pPr>
        <w:pStyle w:val="Listacommarcas"/>
      </w:pPr>
      <w:hyperlink r:id="rId54">
        <w:r>
          <w:rPr>
            <w:color w:val="1F4E78"/>
            <w:u w:val="single"/>
          </w:rPr>
          <w:t>09_monitorar_saude_e_backups.sql</w:t>
        </w:r>
      </w:hyperlink>
      <w:r>
        <w:t xml:space="preserve"> — Filas, saúde e histórico de backup</w:t>
      </w:r>
    </w:p>
    <w:p>
      <w:pPr>
        <w:pStyle w:val="Listacommarcas"/>
      </w:pPr>
      <w:hyperlink r:id="rId55">
        <w:r>
          <w:rPr>
            <w:color w:val="1F4E78"/>
            <w:u w:val="single"/>
          </w:rPr>
          <w:t>10_configurar_identity_cache.sql</w:t>
        </w:r>
      </w:hyperlink>
      <w:r>
        <w:t xml:space="preserve"> — Configuração de IDENTITY_CACHE</w:t>
      </w:r>
    </w:p>
    <w:p>
      <w:pPr>
        <w:shd w:fill="D9EAF7"/>
        <w:keepLines/>
        <w:pBdr>
          <w:top w:val="single" w:sz="4" w:space="4" w:color="B4C7DC"/>
          <w:left w:val="single" w:sz="4" w:space="4" w:color="B4C7DC"/>
          <w:bottom w:val="single" w:sz="4" w:space="4" w:color="B4C7DC"/>
          <w:right w:val="single" w:sz="4" w:space="4" w:color="B4C7DC"/>
        </w:pBdr>
        <w:spacing w:before="80" w:after="160"/>
        <w:ind w:left="173" w:right="173"/>
      </w:pPr>
      <w:r>
        <w:rPr>
          <w:b/>
          <w:color w:val="1F4E78"/>
        </w:rPr>
        <w:t xml:space="preserve">USO DOS LINKS: </w:t>
      </w:r>
      <w:r>
        <w:t>Mantenha o DOCX no mesmo diretório da pasta Scripts_TSQL. Os links relativos funcionarão quando o pacote ZIP for extraído sem alterar essa estrutura.</w:t>
      </w:r>
    </w:p>
    <w:p>
      <w:bookmarkStart w:id="68" w:name="appendix_b"/>
      <w:pPr>
        <w:pStyle w:val="Ttulo1"/>
      </w:pPr>
      <w:r>
        <w:t>Apêndice B — Referências oficiais</w:t>
      </w:r>
      <w:bookmarkEnd w:id="68"/>
    </w:p>
    <w:p>
      <w:pPr>
        <w:pStyle w:val="Listacommarcas"/>
      </w:pPr>
      <w:hyperlink r:id="rId56">
        <w:r>
          <w:rPr>
            <w:color w:val="1F4E78"/>
            <w:u w:val="single"/>
          </w:rPr>
          <w:t>Failover modes for availability groups</w:t>
        </w:r>
      </w:hyperlink>
    </w:p>
    <w:p>
      <w:pPr>
        <w:pStyle w:val="Listacommarcas"/>
      </w:pPr>
      <w:hyperlink r:id="rId57">
        <w:r>
          <w:rPr>
            <w:color w:val="1F4E78"/>
            <w:u w:val="single"/>
          </w:rPr>
          <w:t>Configure flexible automatic failover policy</w:t>
        </w:r>
      </w:hyperlink>
    </w:p>
    <w:p>
      <w:pPr>
        <w:pStyle w:val="Listacommarcas"/>
      </w:pPr>
      <w:hyperlink r:id="rId58">
        <w:r>
          <w:rPr>
            <w:color w:val="1F4E78"/>
            <w:u w:val="single"/>
          </w:rPr>
          <w:t>Configure read-only routing</w:t>
        </w:r>
      </w:hyperlink>
    </w:p>
    <w:p>
      <w:pPr>
        <w:pStyle w:val="Listacommarcas"/>
      </w:pPr>
      <w:hyperlink r:id="rId59">
        <w:r>
          <w:rPr>
            <w:color w:val="1F4E78"/>
            <w:u w:val="single"/>
          </w:rPr>
          <w:t>Backups on secondary replicas</w:t>
        </w:r>
      </w:hyperlink>
    </w:p>
    <w:p>
      <w:pPr>
        <w:pStyle w:val="Listacommarcas"/>
      </w:pPr>
      <w:hyperlink r:id="rId60">
        <w:r>
          <w:rPr>
            <w:color w:val="1F4E78"/>
            <w:u w:val="single"/>
          </w:rPr>
          <w:t>Troubleshoot automatic failover</w:t>
        </w:r>
      </w:hyperlink>
    </w:p>
    <w:p>
      <w:pPr>
        <w:pStyle w:val="Listacommarcas"/>
      </w:pPr>
      <w:hyperlink r:id="rId61">
        <w:r>
          <w:rPr>
            <w:color w:val="1F4E78"/>
            <w:u w:val="single"/>
          </w:rPr>
          <w:t>Availability group listeners and client connectivity</w:t>
        </w:r>
      </w:hyperlink>
    </w:p>
    <w:sectPr w:rsidR="005B5C3B" w:rsidSect="00034616">
      <w:headerReference w:type="default" r:id="rId42"/>
      <w:footerReference w:type="default" r:id="rId43"/>
      <w:pgSz w:w="12240" w:h="15840"/>
      <w:pgMar w:top="1080" w:right="1181" w:bottom="2160" w:left="1181" w:header="504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4F313" w14:textId="77777777" w:rsidR="001F7AB5" w:rsidRDefault="001F7AB5">
      <w:pPr>
        <w:spacing w:after="0" w:line="240" w:lineRule="auto"/>
      </w:pPr>
      <w:r>
        <w:separator/>
      </w:r>
    </w:p>
  </w:endnote>
  <w:endnote w:type="continuationSeparator" w:id="0">
    <w:p w14:paraId="4D8EB74E" w14:textId="77777777" w:rsidR="001F7AB5" w:rsidRDefault="001F7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FF9AF" w14:textId="77777777" w:rsidR="008E4E4D" w:rsidRDefault="00000000">
    <w:pPr>
      <w:pStyle w:val="Rodap"/>
      <w:jc w:val="center"/>
    </w:pPr>
    <w:r>
      <w:rPr>
        <w:color w:val="666666"/>
        <w:sz w:val="16"/>
      </w:rPr>
      <w:t xml:space="preserve">SYSBR  |  SQL Server Always On  |  Página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EA51A" w14:textId="77777777" w:rsidR="001F7AB5" w:rsidRDefault="001F7AB5">
      <w:pPr>
        <w:spacing w:after="0" w:line="240" w:lineRule="auto"/>
      </w:pPr>
      <w:r>
        <w:separator/>
      </w:r>
    </w:p>
  </w:footnote>
  <w:footnote w:type="continuationSeparator" w:id="0">
    <w:p w14:paraId="5F245C17" w14:textId="77777777" w:rsidR="001F7AB5" w:rsidRDefault="001F7A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49AE8" w14:textId="77777777" w:rsidR="008E4E4D" w:rsidRDefault="00000000">
    <w:pPr>
      <w:pStyle w:val="Cabealho"/>
      <w:pBdr>
        <w:bottom w:val="single" w:sz="4" w:space="4" w:color="B4C7DC"/>
      </w:pBdr>
      <w:jc w:val="right"/>
    </w:pPr>
    <w:r>
      <w:rPr>
        <w:color w:val="666666"/>
        <w:sz w:val="16"/>
      </w:rPr>
      <w:t>SYSBR  |  Manual Técnico — SQL Server Always 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337835"/>
    <w:multiLevelType w:val="multilevel"/>
    <w:tmpl w:val="D8C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96FB8"/>
    <w:multiLevelType w:val="hybridMultilevel"/>
    <w:tmpl w:val="96ACE852"/>
    <w:lvl w:ilvl="0" w:tplc="3B94F7AE">
      <w:start w:val="16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5B36E8"/>
    <w:multiLevelType w:val="multilevel"/>
    <w:tmpl w:val="275C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16402">
    <w:abstractNumId w:val="8"/>
  </w:num>
  <w:num w:numId="2" w16cid:durableId="1323895397">
    <w:abstractNumId w:val="6"/>
  </w:num>
  <w:num w:numId="3" w16cid:durableId="435447756">
    <w:abstractNumId w:val="5"/>
  </w:num>
  <w:num w:numId="4" w16cid:durableId="1203905247">
    <w:abstractNumId w:val="4"/>
  </w:num>
  <w:num w:numId="5" w16cid:durableId="826895892">
    <w:abstractNumId w:val="7"/>
  </w:num>
  <w:num w:numId="6" w16cid:durableId="1217081187">
    <w:abstractNumId w:val="3"/>
  </w:num>
  <w:num w:numId="7" w16cid:durableId="355620259">
    <w:abstractNumId w:val="2"/>
  </w:num>
  <w:num w:numId="8" w16cid:durableId="270551464">
    <w:abstractNumId w:val="1"/>
  </w:num>
  <w:num w:numId="9" w16cid:durableId="354773869">
    <w:abstractNumId w:val="0"/>
  </w:num>
  <w:num w:numId="10" w16cid:durableId="183131809">
    <w:abstractNumId w:val="10"/>
  </w:num>
  <w:num w:numId="11" w16cid:durableId="2027174329">
    <w:abstractNumId w:val="11"/>
  </w:num>
  <w:num w:numId="12" w16cid:durableId="1679426921">
    <w:abstractNumId w:val="9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AB5"/>
    <w:rsid w:val="0029639D"/>
    <w:rsid w:val="00326F90"/>
    <w:rsid w:val="00416AC4"/>
    <w:rsid w:val="004F1D2F"/>
    <w:rsid w:val="005547DC"/>
    <w:rsid w:val="005B5C3B"/>
    <w:rsid w:val="005C3781"/>
    <w:rsid w:val="007043B9"/>
    <w:rsid w:val="00875C70"/>
    <w:rsid w:val="00892278"/>
    <w:rsid w:val="008B77A9"/>
    <w:rsid w:val="008E4E4D"/>
    <w:rsid w:val="00996224"/>
    <w:rsid w:val="00AA1D8D"/>
    <w:rsid w:val="00B47730"/>
    <w:rsid w:val="00CB0664"/>
    <w:rsid w:val="00CC4D88"/>
    <w:rsid w:val="00DB6654"/>
    <w:rsid w:val="00FC693F"/>
    <w:rsid w:val="00FE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40A698"/>
  <w14:defaultImageDpi w14:val="300"/>
  <w15:docId w15:val="{69AAF1B7-1256-4DAF-8212-278AAA78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B6573"/>
      <w:spacing w:val="15"/>
      <w:sz w:val="28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contextualSpacing/>
    </w:pPr>
    <w:rPr>
      <w:rFonts w:ascii="Aptos" w:hAnsi="Aptos"/>
      <w:sz w:val="20"/>
    </w:r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spacing w:after="60" w:line="252" w:lineRule="auto"/>
      <w:contextualSpacing/>
    </w:pPr>
    <w:rPr>
      <w:rFonts w:ascii="Aptos" w:hAnsi="Aptos"/>
      <w:sz w:val="20"/>
    </w:r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keepNext/>
      <w:spacing w:before="60" w:after="60" w:line="240" w:lineRule="auto"/>
    </w:pPr>
    <w:rPr>
      <w:rFonts w:ascii="Aptos" w:hAnsi="Aptos"/>
      <w:b/>
      <w:bCs/>
      <w:i/>
      <w:color w:val="666666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before="60" w:after="120"/>
      <w:ind w:left="259" w:right="173"/>
    </w:pPr>
    <w:rPr>
      <w:rFonts w:ascii="Consolas" w:hAnsi="Consolas"/>
      <w:color w:val="102A43"/>
      <w:sz w:val="17"/>
    </w:rPr>
  </w:style>
  <w:style w:type="paragraph" w:customStyle="1" w:styleId="FigureExplanation">
    <w:name w:val="Figure Explanation"/>
    <w:pPr>
      <w:spacing w:after="160"/>
    </w:pPr>
    <w:rPr>
      <w:rFonts w:ascii="Calibri" w:hAnsi="Calibri"/>
      <w:i/>
      <w:color w:val="5B6573"/>
      <w:sz w:val="18"/>
    </w:rPr>
  </w:style>
  <w:style w:type="character" w:styleId="Hiperligao">
    <w:name w:val="Hyperlink"/>
    <w:basedOn w:val="Tipodeletrapredefinidodopargrafo"/>
    <w:uiPriority w:val="99"/>
    <w:unhideWhenUsed/>
    <w:rsid w:val="005B5C3B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B5C3B"/>
    <w:rPr>
      <w:color w:val="605E5C"/>
      <w:shd w:val="clear" w:color="auto" w:fill="E1DFDD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8B7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pt-BR" w:eastAsia="pt-BR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8B77A9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learn.microsoft.com/en-us/sql/database-engine/availability-groups/windows/active-secondaries-backup-on-secondary-replicas-always-on-availability-groups?view=sql-server-ver17&amp;utm_source=chatgpt.com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learn.microsoft.com/en-us/sql/t-sql/statements/create-table-transact-sql-identity-property?view=sql-server-ver17&amp;utm_source=chatgpt.com" TargetMode="External"/><Relationship Id="rId40" Type="http://schemas.openxmlformats.org/officeDocument/2006/relationships/hyperlink" Target="https://learn.microsoft.com/en-us/sql/database-engine/availability-groups/windows/configure-flexible-automatic-failover-policy?view=sql-server-ver17&amp;utm_source=chatgpt.com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learn.microsoft.com/en-us/sql/tools/sqlcmd/sqlcmd-download-install?view=sql-server-ver17&amp;utm_source=chatgpt.com" TargetMode="External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9.png"/><Relationship Id="rId20" Type="http://schemas.openxmlformats.org/officeDocument/2006/relationships/image" Target="media/image13.png"/><Relationship Id="rId41" Type="http://schemas.openxmlformats.org/officeDocument/2006/relationships/hyperlink" Target="https://learn.microsoft.com/en-us/troubleshoot/sql/database-engine/availability-groups/troubleshooting-automatic-failover-problems?utm_source=chatgpt.com" TargetMode="External"/><Relationship Id="rId46" Type="http://schemas.openxmlformats.org/officeDocument/2006/relationships/hyperlink" Target="Scripts_TSQL/01_validar_instancias_endpoints.sql" TargetMode="External"/><Relationship Id="rId47" Type="http://schemas.openxmlformats.org/officeDocument/2006/relationships/hyperlink" Target="Scripts_TSQL/02_criar_ou_validar_endpoint_hadr.sql" TargetMode="External"/><Relationship Id="rId48" Type="http://schemas.openxmlformats.org/officeDocument/2006/relationships/hyperlink" Target="Scripts_TSQL/03_preparar_banco_primario.sql" TargetMode="External"/><Relationship Id="rId49" Type="http://schemas.openxmlformats.org/officeDocument/2006/relationships/hyperlink" Target="Scripts_TSQL/04_restaurar_banco_secundario.sql" TargetMode="External"/><Relationship Id="rId50" Type="http://schemas.openxmlformats.org/officeDocument/2006/relationships/hyperlink" Target="Scripts_TSQL/05_validar_availability_group.sql" TargetMode="External"/><Relationship Id="rId51" Type="http://schemas.openxmlformats.org/officeDocument/2006/relationships/hyperlink" Target="Scripts_TSQL/06_teste_dados_e_failover_manual.sql" TargetMode="External"/><Relationship Id="rId52" Type="http://schemas.openxmlformats.org/officeDocument/2006/relationships/hyperlink" Target="Scripts_TSQL/07_configurar_read_only_routing.sql" TargetMode="External"/><Relationship Id="rId53" Type="http://schemas.openxmlformats.org/officeDocument/2006/relationships/hyperlink" Target="Scripts_TSQL/08_configurar_backup_preferencial.sql" TargetMode="External"/><Relationship Id="rId54" Type="http://schemas.openxmlformats.org/officeDocument/2006/relationships/hyperlink" Target="Scripts_TSQL/09_monitorar_saude_e_backups.sql" TargetMode="External"/><Relationship Id="rId55" Type="http://schemas.openxmlformats.org/officeDocument/2006/relationships/hyperlink" Target="Scripts_TSQL/10_configurar_identity_cache.sql" TargetMode="External"/><Relationship Id="rId56" Type="http://schemas.openxmlformats.org/officeDocument/2006/relationships/hyperlink" Target="https://learn.microsoft.com/en-us/sql/database-engine/availability-groups/windows/failover-and-failover-modes-always-on-availability-groups" TargetMode="External"/><Relationship Id="rId57" Type="http://schemas.openxmlformats.org/officeDocument/2006/relationships/hyperlink" Target="https://learn.microsoft.com/en-us/sql/database-engine/availability-groups/windows/configure-flexible-automatic-failover-policy" TargetMode="External"/><Relationship Id="rId58" Type="http://schemas.openxmlformats.org/officeDocument/2006/relationships/hyperlink" Target="https://learn.microsoft.com/en-us/sql/database-engine/availability-groups/windows/configure-read-only-routing-for-an-availability-group-sql-server" TargetMode="External"/><Relationship Id="rId59" Type="http://schemas.openxmlformats.org/officeDocument/2006/relationships/hyperlink" Target="https://learn.microsoft.com/en-us/sql/database-engine/availability-groups/windows/active-secondaries-backup-on-secondary-replicas-always-on-availability-groups" TargetMode="External"/><Relationship Id="rId60" Type="http://schemas.openxmlformats.org/officeDocument/2006/relationships/hyperlink" Target="https://learn.microsoft.com/en-us/troubleshoot/sql/database-engine/availability-groups/troubleshooting-automatic-failover-problems" TargetMode="External"/><Relationship Id="rId61" Type="http://schemas.openxmlformats.org/officeDocument/2006/relationships/hyperlink" Target="https://learn.microsoft.com/en-us/sql/database-engine/availability-groups/windows/listeners-client-connectivity-application-failo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40</Pages>
  <Words>5520</Words>
  <Characters>29810</Characters>
  <Application>Microsoft Office Word</Application>
  <DocSecurity>0</DocSecurity>
  <Lines>248</Lines>
  <Paragraphs>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Técnico — SQL Server Always On</vt:lpstr>
      <vt:lpstr/>
    </vt:vector>
  </TitlesOfParts>
  <Manager/>
  <Company/>
  <LinksUpToDate>false</LinksUpToDate>
  <CharactersWithSpaces>35260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SQL Server Always On</dc:title>
  <dc:subject>Implantação, listener, failover e validação pós-instalação</dc:subject>
  <dc:creator>Rosemberg Ennes</dc:creator>
  <cp:keywords/>
  <dc:description>generated by python-docx</dc:description>
  <cp:lastModifiedBy>berg</cp:lastModifiedBy>
  <cp:revision>4</cp:revision>
  <dcterms:created xsi:type="dcterms:W3CDTF">2013-12-23T23:15:00Z</dcterms:created>
  <dcterms:modified xsi:type="dcterms:W3CDTF">2026-09-02T14:16:00Z</dcterms:modified>
  <cp:category/>
</cp:coreProperties>
</file>