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dnctv89x4hwd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Browser Tools MCP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ambria" w:cs="Cambria" w:eastAsia="Cambria" w:hAnsi="Cambria"/>
          <w:color w:val="1155cc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GitHub:</w:t>
      </w:r>
      <w:hyperlink r:id="rId6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https://github.com/AgentDeskAI/browser-tools-mcp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capabilities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• Monitor browser console output</w:t>
        <w:br w:type="textWrapping"/>
        <w:t xml:space="preserve"> • Capture network traffic</w:t>
        <w:br w:type="textWrapping"/>
        <w:t xml:space="preserve"> • Take screenshots</w:t>
        <w:br w:type="textWrapping"/>
        <w:t xml:space="preserve"> • Analyze selected elements</w:t>
        <w:br w:type="textWrapping"/>
        <w:t xml:space="preserve"> • Wipe logs stored on the MCP server</w:t>
        <w:br w:type="textWrapping"/>
        <w:t xml:space="preserve"> • Run Lighthouse audits (Accessibility | Performance | SEO | Best Practices)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Quick start (terminal)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@agentdeskai/browser-tools-mcp@latest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numgwa4sl3wi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Vega-Lite Data-Viz MCP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ambria" w:cs="Cambria" w:eastAsia="Cambria" w:hAnsi="Cambria"/>
          <w:color w:val="1155cc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GitHub:</w:t>
      </w:r>
      <w:hyperlink r:id="rId8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https://github.com/isaacwasserman/mcp-vegalite-server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capabilities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• Interface for visualizing data with Vega-Lite syntax</w:t>
        <w:br w:type="textWrapping"/>
        <w:t xml:space="preserve"> • Save data tables for later visualization</w:t>
        <w:br w:type="textWrapping"/>
        <w:t xml:space="preserve"> • Render charts as PNG or full JSON spec</w:t>
        <w:br w:type="textWrapping"/>
        <w:t xml:space="preserve"> • Docker-friendly; works with any MCP-aware agent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Quick start (terminal)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 run mcp_server_datavis --output_type png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saacwasserman/mcp-vegalite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gentDeskAI/browser-tools-mcp" TargetMode="External"/><Relationship Id="rId7" Type="http://schemas.openxmlformats.org/officeDocument/2006/relationships/hyperlink" Target="https://github.com/AgentDeskAI/browser-tools-mcp" TargetMode="External"/><Relationship Id="rId8" Type="http://schemas.openxmlformats.org/officeDocument/2006/relationships/hyperlink" Target="https://github.com/isaacwasserman/mcp-vegalite-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