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bkm_Date" w:displacedByCustomXml="next"/>
    <w:sdt>
      <w:sdtPr>
        <w:rPr>
          <w:rFonts w:eastAsiaTheme="minorEastAsia" w:cstheme="minorBidi"/>
          <w:bCs w:val="0"/>
          <w:kern w:val="0"/>
          <w:szCs w:val="22"/>
        </w:rPr>
        <w:tag w:val="issuerPage"/>
        <w:id w:val="1536925782"/>
        <w:placeholder>
          <w:docPart w:val="23C33595A99F4ACD9D25E97E52EE2CA2"/>
        </w:placeholder>
      </w:sdtPr>
      <w:sdtEndPr/>
      <w:sdtContent>
        <w:p w:rsidR="00A0169C" w:rsidRDefault="006460EA" w:rsidP="007F3ED6">
          <w:pPr>
            <w:pStyle w:val="CIRIndustrySector"/>
          </w:pPr>
          <w:sdt>
            <w:sdtPr>
              <w:rPr>
                <w:rFonts w:eastAsiaTheme="minorEastAsia" w:cstheme="minorBidi"/>
                <w:kern w:val="0"/>
                <w:szCs w:val="22"/>
              </w:rPr>
              <w:tag w:val="documentDate"/>
              <w:id w:val="534618218"/>
              <w:placeholder>
                <w:docPart w:val="2651084CCA4F48D297FAA22DC3886391"/>
              </w:placeholder>
            </w:sdtPr>
            <w:sdtEndPr>
              <w:rPr>
                <w:rFonts w:eastAsia="MS PGothic" w:cs="Arial"/>
                <w:kern w:val="18"/>
                <w:szCs w:val="18"/>
              </w:rPr>
            </w:sdtEndPr>
            <w:sdtContent>
              <w:bookmarkEnd w:id="0"/>
              <w:r w:rsidR="007F3ED6">
                <w:t>16 December 2014</w:t>
              </w:r>
            </w:sdtContent>
          </w:sdt>
          <w:r w:rsidR="00250139">
            <w:t xml:space="preserve"> │ </w:t>
          </w:r>
          <w:fldSimple w:instr=" numpages ">
            <w:r>
              <w:rPr>
                <w:noProof/>
              </w:rPr>
              <w:t>45</w:t>
            </w:r>
          </w:fldSimple>
          <w:r w:rsidR="00250139">
            <w:t xml:space="preserve"> pages</w:t>
          </w:r>
          <w:r w:rsidR="00250139">
            <w:tab/>
          </w:r>
          <w:bookmarkStart w:id="1" w:name="bkm_Industry"/>
          <w:bookmarkEnd w:id="1"/>
          <w:r w:rsidR="00250139">
            <w:t xml:space="preserve">  </w:t>
          </w:r>
          <w:bookmarkStart w:id="2" w:name="bkm_Sector"/>
          <w:bookmarkEnd w:id="2"/>
          <w:sdt>
            <w:sdtPr>
              <w:tag w:val="industry"/>
              <w:id w:val="-1595238249"/>
              <w:placeholder>
                <w:docPart w:val="CC761B2B877C498DBAC80E687DD6AC33"/>
              </w:placeholder>
            </w:sdtPr>
            <w:sdtEndPr/>
            <w:sdtContent>
              <w:r w:rsidR="007F3ED6">
                <w:t>Life Science Tools &amp; Diagnostics</w:t>
              </w:r>
            </w:sdtContent>
          </w:sdt>
        </w:p>
        <w:bookmarkStart w:id="3" w:name="bkm_Region"/>
        <w:bookmarkEnd w:id="3"/>
        <w:p w:rsidR="00A0169C" w:rsidRDefault="006460EA" w:rsidP="007F3ED6">
          <w:pPr>
            <w:pStyle w:val="CIRRegionCountry"/>
          </w:pPr>
          <w:sdt>
            <w:sdtPr>
              <w:tag w:val="region"/>
              <w:id w:val="-140587616"/>
              <w:placeholder>
                <w:docPart w:val="41D7D8D5022A4F1C904041970FC73514"/>
              </w:placeholder>
            </w:sdtPr>
            <w:sdtEndPr/>
            <w:sdtContent>
              <w:r w:rsidR="007F3ED6">
                <w:t>North America</w:t>
              </w:r>
            </w:sdtContent>
          </w:sdt>
          <w:r w:rsidR="00250139">
            <w:t xml:space="preserve"> </w:t>
          </w:r>
          <w:bookmarkStart w:id="4" w:name="bkm_CountryPipe"/>
          <w:r w:rsidR="00250139">
            <w:t>│</w:t>
          </w:r>
          <w:bookmarkEnd w:id="4"/>
          <w:r w:rsidR="00250139">
            <w:t xml:space="preserve"> </w:t>
          </w:r>
          <w:bookmarkStart w:id="5" w:name="bkm_Country"/>
          <w:bookmarkEnd w:id="5"/>
          <w:sdt>
            <w:sdtPr>
              <w:tag w:val="country"/>
              <w:id w:val="-695540439"/>
              <w:placeholder>
                <w:docPart w:val="44F181AE31674B2497EC894A0BC267F7"/>
              </w:placeholder>
            </w:sdtPr>
            <w:sdtEndPr/>
            <w:sdtContent>
              <w:r w:rsidR="007F3ED6">
                <w:t>United States</w:t>
              </w:r>
            </w:sdtContent>
          </w:sdt>
        </w:p>
        <w:p w:rsidR="00A0169C" w:rsidRDefault="006460EA">
          <w:pPr>
            <w:pStyle w:val="CIRDate"/>
            <w:rPr>
              <w:rFonts w:cs="Times New Roman"/>
              <w:color w:val="FFFFFF"/>
            </w:rPr>
          </w:pPr>
          <w:bookmarkStart w:id="6" w:name="WhitePara"/>
          <w:bookmarkEnd w:id="6"/>
          <w:r>
            <w:rPr>
              <w:noProof/>
            </w:rPr>
            <w:pict>
              <v:shapetype id="_x0000_t202" coordsize="21600,21600" o:spt="202" path="m,l,21600r21600,l21600,xe">
                <v:stroke joinstyle="miter"/>
                <v:path gradientshapeok="t" o:connecttype="rect"/>
              </v:shapetype>
              <v:shape id="shpBannerLabel" o:spid="_x0000_s1035" type="#_x0000_t202" style="position:absolute;margin-left:122.4pt;margin-top:20.35pt;width:439.9pt;height:45.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" filled="f" stroked="f">
                <v:textbox style="mso-next-textbox:#shpBannerLabel" inset="0,0,0,0">
                  <w:txbxContent>
                    <w:tbl>
                      <w:tblPr>
                        <w:tblW w:w="8784" w:type="dxa"/>
                        <w:tblLayout w:type="fixed"/>
                        <w:tblCellMar>
                          <w:left w:w="0" w:type="dxa"/>
                          <w:right w:w="0" w:type="dxa"/>
                        </w:tblCellMar>
                        <w:tblLook w:val="0000" w:firstRow="0" w:lastRow="0" w:firstColumn="0" w:lastColumn="0" w:noHBand="0" w:noVBand="0"/>
                      </w:tblPr>
                      <w:tblGrid>
                        <w:gridCol w:w="8784"/>
                      </w:tblGrid>
                      <w:tr w:rsidR="00A0169C">
                        <w:trPr>
                          <w:trHeight w:val="893"/>
                        </w:trPr>
                        <w:tc>
                          <w:tcPr>
                            <w:tcW w:w="6696" w:type="dxa"/>
                            <w:shd w:val="clear" w:color="auto" w:fill="auto"/>
                          </w:tcPr>
                          <w:p w:rsidR="00A0169C" w:rsidRDefault="00250139">
                            <w:pPr>
                              <w:pStyle w:val="CIRDepartment"/>
                            </w:pPr>
                            <w:r>
                              <w:t>Citi Research</w:t>
                            </w:r>
                          </w:p>
                          <w:bookmarkStart w:id="7" w:name="bkm_SubBrandLabel"/>
                          <w:bookmarkEnd w:id="7"/>
                          <w:p w:rsidR="00A0169C" w:rsidRDefault="006460EA" w:rsidP="00E932AA">
                            <w:pPr>
                              <w:pStyle w:val="CIRSub-brandingLabel"/>
                            </w:pPr>
                            <w:sdt>
                              <w:sdtPr>
                                <w:tag w:val="subBrandingLabel"/>
                                <w:id w:val="-811561414"/>
                                <w:placeholder>
                                  <w:docPart w:val="0C72673CCABE45C3AF7B5FC0AFC80E22"/>
                                </w:placeholder>
                              </w:sdtPr>
                              <w:sdtEndPr/>
                              <w:sdtContent>
                                <w:r w:rsidR="00E932AA">
                                  <w:rPr>
                                    <w:noProof/>
                                  </w:rPr>
                                  <w:drawing>
                                    <wp:inline distT="0" distB="0" distL="0" distR="0" wp14:anchorId="4C44B768" wp14:editId="033CDDBD">
                                      <wp:extent cx="317500" cy="1651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7500" cy="165100"/>
                                              </a:xfrm>
                                              <a:prstGeom prst="rect">
                                                <a:avLst/>
                                              </a:prstGeom>
                                            </pic:spPr>
                                          </pic:pic>
                                        </a:graphicData>
                                      </a:graphic>
                                    </wp:inline>
                                  </w:drawing>
                                </w:r>
                              </w:sdtContent>
                            </w:sdt>
                            <w:r w:rsidR="00250139">
                              <w:t xml:space="preserve"> </w:t>
                            </w:r>
                            <w:bookmarkStart w:id="8" w:name="bkm_BannerPipe"/>
                            <w:r w:rsidR="00E932AA">
                              <w:t xml:space="preserve"> </w:t>
                            </w:r>
                            <w:bookmarkEnd w:id="8"/>
                            <w:r w:rsidR="00250139">
                              <w:t xml:space="preserve"> </w:t>
                            </w:r>
                            <w:bookmarkStart w:id="9" w:name="bkm_Product"/>
                            <w:bookmarkEnd w:id="9"/>
                            <w:sdt>
                              <w:sdtPr>
                                <w:rPr>
                                  <w:rStyle w:val="CIRFPBanner"/>
                                </w:rPr>
                                <w:tag w:val="productBranding"/>
                                <w:id w:val="-1047070467"/>
                                <w:placeholder>
                                  <w:docPart w:val="8E4C3B1805A640FAB1CC17D73813027A"/>
                                </w:placeholder>
                              </w:sdtPr>
                              <w:sdtEndPr>
                                <w:rPr>
                                  <w:rStyle w:val="CIRFPBanner"/>
                                </w:rPr>
                              </w:sdtEndPr>
                              <w:sdtContent>
                                <w:r w:rsidR="00E932AA">
                                  <w:rPr>
                                    <w:rStyle w:val="CIRFPBanner"/>
                                  </w:rPr>
                                  <w:t>Equities</w:t>
                                </w:r>
                              </w:sdtContent>
                            </w:sdt>
                          </w:p>
                        </w:tc>
                      </w:tr>
                    </w:tbl>
                    <w:p w:rsidR="00A0169C" w:rsidRDefault="00A0169C"/>
                  </w:txbxContent>
                </v:textbox>
                <w10:wrap type="square" side="left" anchorx="page" anchory="page"/>
                <w10:anchorlock/>
              </v:shape>
            </w:pict>
          </w:r>
          <w:r>
            <w:rPr>
              <w:noProof/>
            </w:rPr>
            <w:pict>
              <v:shape id="shpCorporateLogo" o:spid="_x0000_s1034" type="#_x0000_t202" style="position:absolute;margin-left:-3.6pt;margin-top:738pt;width:3in;height:5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" filled="f" stroked="f">
                <v:textbox style="mso-next-textbox:#shpCorporateLogo" inset="0,0,0,0">
                  <w:txbxContent>
                    <w:tbl>
                      <w:tblPr>
                        <w:tblW w:w="4450" w:type="dxa"/>
                        <w:tblLayout w:type="fixed"/>
                        <w:tblCellMar>
                          <w:left w:w="0" w:type="dxa"/>
                          <w:right w:w="0" w:type="dxa"/>
                        </w:tblCellMar>
                        <w:tblLook w:val="01E0" w:firstRow="1" w:lastRow="1" w:firstColumn="1" w:lastColumn="1" w:noHBand="0" w:noVBand="0"/>
                      </w:tblPr>
                      <w:tblGrid>
                        <w:gridCol w:w="4450"/>
                      </w:tblGrid>
                      <w:tr w:rsidR="00A0169C">
                        <w:trPr>
                          <w:cantSplit/>
                          <w:trHeight w:hRule="exact" w:val="864"/>
                        </w:trPr>
                        <w:bookmarkStart w:id="10" w:name="bkm_CorporateLogo" w:displacedByCustomXml="next"/>
                        <w:bookmarkEnd w:id="10" w:displacedByCustomXml="next"/>
                        <w:sdt>
                          <w:sdtPr>
                            <w:tag w:val="corporateLogo"/>
                            <w:id w:val="596912049"/>
                          </w:sdtPr>
                          <w:sdtEndPr/>
                          <w:sdtContent>
                            <w:tc>
                              <w:tcPr>
                                <w:tcW w:w="4450" w:type="dxa"/>
                                <w:vAlign w:val="bottom"/>
                              </w:tcPr>
                              <w:p w:rsidR="00A0169C" w:rsidRDefault="007F3ED6" w:rsidP="007F3ED6">
                                <w:r>
                                  <w:rPr>
                                    <w:noProof/>
                                  </w:rPr>
                                  <w:drawing>
                                    <wp:inline distT="0" distB="0" distL="0" distR="0" wp14:anchorId="3A03578C" wp14:editId="2D4271CC">
                                      <wp:extent cx="2743200" cy="228600"/>
                                      <wp:effectExtent l="0" t="0" r="0" b="0"/>
                                      <wp:docPr id="2" name="Picture 2" title="CorpLogo_No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3200" cy="228600"/>
                                              </a:xfrm>
                                              <a:prstGeom prst="rect">
                                                <a:avLst/>
                                              </a:prstGeom>
                                            </pic:spPr>
                                          </pic:pic>
                                        </a:graphicData>
                                      </a:graphic>
                                    </wp:inline>
                                  </w:drawing>
                                </w:r>
                              </w:p>
                            </w:tc>
                          </w:sdtContent>
                        </w:sdt>
                      </w:tr>
                    </w:tbl>
                    <w:p w:rsidR="00A0169C" w:rsidRDefault="00A0169C"/>
                  </w:txbxContent>
                </v:textbox>
                <w10:wrap anchorx="page" anchory="page"/>
                <w10:anchorlock/>
              </v:shape>
            </w:pict>
          </w:r>
          <w:r>
            <w:rPr>
              <w:noProof/>
            </w:rPr>
            <w:pict>
              <v:shape id="shpFPTableA" o:spid="_x0000_s1033" type="#_x0000_t202" style="position:absolute;margin-left:50.4pt;margin-top:550pt;width:335pt;height:140.4pt;z-index:251666432;visibility:visible;mso-height-percent:0;mso-wrap-distance-left:9pt;mso-wrap-distance-top:0;mso-wrap-distance-right:9pt;mso-wrap-distance-bottom:0;mso-position-horizontal-relative:pag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" filled="f" stroked="f">
                <v:textbox style="mso-next-textbox:#shpFPTableA" inset="0,0,0,0">
                  <w:txbxContent>
                    <w:tbl>
                      <w:tblPr>
                        <w:tblW w:w="6700" w:type="dxa"/>
                        <w:shd w:val="clear" w:color="auto" w:fill="FFFFFF"/>
                        <w:tblLayout w:type="fixed"/>
                        <w:tblCellMar>
                          <w:left w:w="0" w:type="dxa"/>
                          <w:right w:w="36" w:type="dxa"/>
                        </w:tblCellMar>
                        <w:tblLook w:val="0000" w:firstRow="0" w:lastRow="0" w:firstColumn="0" w:lastColumn="0" w:noHBand="0" w:noVBand="0"/>
                      </w:tblPr>
                      <w:tblGrid>
                        <w:gridCol w:w="764"/>
                        <w:gridCol w:w="989"/>
                        <w:gridCol w:w="990"/>
                        <w:gridCol w:w="990"/>
                        <w:gridCol w:w="990"/>
                        <w:gridCol w:w="990"/>
                        <w:gridCol w:w="987"/>
                      </w:tblGrid>
                      <w:tr w:rsidR="007F3ED6">
                        <w:trPr>
                          <w:trHeight w:hRule="exact" w:val="60"/>
                        </w:trPr>
                        <w:tc>
                          <w:tcPr>
                            <w:tcW w:w="764" w:type="dxa"/>
                            <w:tcBorders>
                              <w:top w:val="single" w:sz="24" w:space="0" w:color="002D72"/>
                              <w:left w:val="nil"/>
                              <w:bottom w:val="nil"/>
                              <w:right w:val="nil"/>
                            </w:tcBorders>
                            <w:shd w:val="clear" w:color="auto" w:fill="FFFFFF"/>
                            <w:noWrap/>
                            <w:vAlign w:val="center"/>
                          </w:tcPr>
                          <w:p w:rsidR="007F3ED6" w:rsidRDefault="007F3ED6" w:rsidP="007F3ED6">
                            <w:pPr>
                              <w:spacing w:line="240" w:lineRule="auto"/>
                              <w:rPr>
                                <w:rFonts w:ascii="CIR Trade Gothic Cn" w:hAnsi="CIR Trade Gothic Cn" w:cs="Arial"/>
                                <w:b/>
                                <w:bCs/>
                                <w:sz w:val="2"/>
                                <w:szCs w:val="2"/>
                              </w:rPr>
                            </w:pPr>
                            <w:bookmarkStart w:id="11" w:name="bkm_KDITable"/>
                            <w:bookmarkStart w:id="12" w:name="RANGE!E4:K14"/>
                            <w:bookmarkEnd w:id="11"/>
                            <w:r>
                              <w:rPr>
                                <w:rFonts w:ascii="Arial Narrow" w:hAnsi="Arial Narrow" w:cs="Arial"/>
                                <w:b/>
                                <w:bCs/>
                                <w:sz w:val="2"/>
                                <w:szCs w:val="2"/>
                              </w:rPr>
                              <w:t> </w:t>
                            </w:r>
                            <w:bookmarkEnd w:id="12"/>
                          </w:p>
                        </w:tc>
                        <w:tc>
                          <w:tcPr>
                            <w:tcW w:w="989" w:type="dxa"/>
                            <w:tcBorders>
                              <w:top w:val="single" w:sz="24" w:space="0" w:color="002D72"/>
                              <w:left w:val="nil"/>
                              <w:bottom w:val="nil"/>
                              <w:right w:val="nil"/>
                            </w:tcBorders>
                            <w:shd w:val="clear" w:color="auto" w:fill="FFFFFF"/>
                            <w:vAlign w:val="center"/>
                          </w:tcPr>
                          <w:p w:rsidR="007F3ED6" w:rsidRDefault="007F3ED6" w:rsidP="007F3ED6">
                            <w:pPr>
                              <w:spacing w:line="240" w:lineRule="auto"/>
                              <w:jc w:val="right"/>
                              <w:rPr>
                                <w:rFonts w:ascii="CIR Trade Gothic Cn" w:hAnsi="CIR Trade Gothic Cn" w:cs="Arial"/>
                                <w:b/>
                                <w:bCs/>
                                <w:sz w:val="2"/>
                                <w:szCs w:val="2"/>
                              </w:rPr>
                            </w:pPr>
                            <w:r>
                              <w:rPr>
                                <w:rFonts w:ascii="Arial Narrow" w:hAnsi="Arial Narrow" w:cs="Arial"/>
                                <w:b/>
                                <w:bCs/>
                                <w:sz w:val="2"/>
                                <w:szCs w:val="2"/>
                              </w:rPr>
                              <w:t> </w:t>
                            </w:r>
                          </w:p>
                        </w:tc>
                        <w:tc>
                          <w:tcPr>
                            <w:tcW w:w="990" w:type="dxa"/>
                            <w:tcBorders>
                              <w:top w:val="single" w:sz="24" w:space="0" w:color="002D72"/>
                              <w:left w:val="nil"/>
                              <w:bottom w:val="nil"/>
                              <w:right w:val="nil"/>
                            </w:tcBorders>
                            <w:shd w:val="clear" w:color="auto" w:fill="FFFFFF"/>
                            <w:vAlign w:val="center"/>
                          </w:tcPr>
                          <w:p w:rsidR="007F3ED6" w:rsidRDefault="007F3ED6" w:rsidP="007F3ED6">
                            <w:pPr>
                              <w:spacing w:line="240" w:lineRule="auto"/>
                              <w:jc w:val="right"/>
                              <w:rPr>
                                <w:rFonts w:ascii="CIR Trade Gothic Cn" w:hAnsi="CIR Trade Gothic Cn" w:cs="Arial"/>
                                <w:b/>
                                <w:bCs/>
                                <w:sz w:val="2"/>
                                <w:szCs w:val="2"/>
                              </w:rPr>
                            </w:pPr>
                            <w:r>
                              <w:rPr>
                                <w:rFonts w:ascii="Arial Narrow" w:hAnsi="Arial Narrow" w:cs="Arial"/>
                                <w:b/>
                                <w:bCs/>
                                <w:sz w:val="2"/>
                                <w:szCs w:val="2"/>
                              </w:rPr>
                              <w:t> </w:t>
                            </w:r>
                          </w:p>
                        </w:tc>
                        <w:tc>
                          <w:tcPr>
                            <w:tcW w:w="990" w:type="dxa"/>
                            <w:tcBorders>
                              <w:top w:val="single" w:sz="24" w:space="0" w:color="002D72"/>
                              <w:left w:val="nil"/>
                              <w:bottom w:val="nil"/>
                              <w:right w:val="nil"/>
                            </w:tcBorders>
                            <w:shd w:val="clear" w:color="auto" w:fill="FFFFFF"/>
                            <w:vAlign w:val="center"/>
                          </w:tcPr>
                          <w:p w:rsidR="007F3ED6" w:rsidRDefault="007F3ED6" w:rsidP="007F3ED6">
                            <w:pPr>
                              <w:spacing w:line="240" w:lineRule="auto"/>
                              <w:jc w:val="right"/>
                              <w:rPr>
                                <w:rFonts w:ascii="CIR Trade Gothic Cn" w:hAnsi="CIR Trade Gothic Cn" w:cs="Arial"/>
                                <w:b/>
                                <w:bCs/>
                                <w:sz w:val="2"/>
                                <w:szCs w:val="2"/>
                              </w:rPr>
                            </w:pPr>
                            <w:r>
                              <w:rPr>
                                <w:rFonts w:ascii="Arial Narrow" w:hAnsi="Arial Narrow" w:cs="Arial"/>
                                <w:b/>
                                <w:bCs/>
                                <w:sz w:val="2"/>
                                <w:szCs w:val="2"/>
                              </w:rPr>
                              <w:t> </w:t>
                            </w:r>
                          </w:p>
                        </w:tc>
                        <w:tc>
                          <w:tcPr>
                            <w:tcW w:w="990" w:type="dxa"/>
                            <w:tcBorders>
                              <w:top w:val="single" w:sz="24" w:space="0" w:color="002D72"/>
                              <w:left w:val="nil"/>
                              <w:bottom w:val="nil"/>
                              <w:right w:val="nil"/>
                            </w:tcBorders>
                            <w:shd w:val="clear" w:color="auto" w:fill="FFFFFF"/>
                            <w:vAlign w:val="center"/>
                          </w:tcPr>
                          <w:p w:rsidR="007F3ED6" w:rsidRDefault="007F3ED6" w:rsidP="007F3ED6">
                            <w:pPr>
                              <w:spacing w:line="240" w:lineRule="auto"/>
                              <w:jc w:val="right"/>
                              <w:rPr>
                                <w:rFonts w:ascii="CIR Trade Gothic Cn" w:hAnsi="CIR Trade Gothic Cn" w:cs="Arial"/>
                                <w:b/>
                                <w:bCs/>
                                <w:sz w:val="2"/>
                                <w:szCs w:val="2"/>
                              </w:rPr>
                            </w:pPr>
                            <w:r>
                              <w:rPr>
                                <w:rFonts w:ascii="Arial Narrow" w:hAnsi="Arial Narrow" w:cs="Arial"/>
                                <w:b/>
                                <w:bCs/>
                                <w:sz w:val="2"/>
                                <w:szCs w:val="2"/>
                              </w:rPr>
                              <w:t> </w:t>
                            </w:r>
                          </w:p>
                        </w:tc>
                        <w:tc>
                          <w:tcPr>
                            <w:tcW w:w="990" w:type="dxa"/>
                            <w:tcBorders>
                              <w:top w:val="single" w:sz="24" w:space="0" w:color="002D72"/>
                              <w:left w:val="nil"/>
                              <w:bottom w:val="nil"/>
                              <w:right w:val="nil"/>
                            </w:tcBorders>
                            <w:shd w:val="clear" w:color="auto" w:fill="FFFFFF"/>
                            <w:vAlign w:val="center"/>
                          </w:tcPr>
                          <w:p w:rsidR="007F3ED6" w:rsidRDefault="007F3ED6" w:rsidP="007F3ED6">
                            <w:pPr>
                              <w:spacing w:line="240" w:lineRule="auto"/>
                              <w:jc w:val="right"/>
                              <w:rPr>
                                <w:rFonts w:ascii="CIR Trade Gothic Cn" w:hAnsi="CIR Trade Gothic Cn" w:cs="Arial"/>
                                <w:b/>
                                <w:bCs/>
                                <w:sz w:val="2"/>
                                <w:szCs w:val="2"/>
                              </w:rPr>
                            </w:pPr>
                            <w:r>
                              <w:rPr>
                                <w:rFonts w:ascii="Arial Narrow" w:hAnsi="Arial Narrow" w:cs="Arial"/>
                                <w:b/>
                                <w:bCs/>
                                <w:sz w:val="2"/>
                                <w:szCs w:val="2"/>
                              </w:rPr>
                              <w:t> </w:t>
                            </w:r>
                          </w:p>
                        </w:tc>
                        <w:tc>
                          <w:tcPr>
                            <w:tcW w:w="987" w:type="dxa"/>
                            <w:tcBorders>
                              <w:top w:val="single" w:sz="24" w:space="0" w:color="002D72"/>
                              <w:left w:val="nil"/>
                              <w:bottom w:val="nil"/>
                              <w:right w:val="nil"/>
                            </w:tcBorders>
                            <w:shd w:val="clear" w:color="auto" w:fill="FFFFFF"/>
                            <w:vAlign w:val="center"/>
                          </w:tcPr>
                          <w:p w:rsidR="007F3ED6" w:rsidRDefault="007F3ED6" w:rsidP="007F3ED6">
                            <w:pPr>
                              <w:spacing w:line="240" w:lineRule="auto"/>
                              <w:jc w:val="right"/>
                              <w:rPr>
                                <w:rFonts w:ascii="Arial Narrow" w:hAnsi="Arial Narrow" w:cs="Arial"/>
                                <w:b/>
                                <w:bCs/>
                                <w:sz w:val="2"/>
                                <w:szCs w:val="2"/>
                              </w:rPr>
                            </w:pPr>
                            <w:r>
                              <w:rPr>
                                <w:rFonts w:ascii="Arial Narrow" w:hAnsi="Arial Narrow" w:cs="Arial"/>
                                <w:b/>
                                <w:bCs/>
                                <w:sz w:val="2"/>
                                <w:szCs w:val="2"/>
                              </w:rPr>
                              <w:t> </w:t>
                            </w:r>
                          </w:p>
                        </w:tc>
                      </w:tr>
                      <w:tr w:rsidR="007F3ED6">
                        <w:trPr>
                          <w:trHeight w:hRule="exact" w:val="285"/>
                        </w:trPr>
                        <w:tc>
                          <w:tcPr>
                            <w:tcW w:w="764" w:type="dxa"/>
                            <w:tcBorders>
                              <w:top w:val="nil"/>
                              <w:left w:val="nil"/>
                              <w:bottom w:val="single" w:sz="4" w:space="0" w:color="auto"/>
                              <w:right w:val="nil"/>
                            </w:tcBorders>
                            <w:shd w:val="clear" w:color="auto" w:fill="FFFFFF"/>
                            <w:vAlign w:val="center"/>
                          </w:tcPr>
                          <w:p w:rsidR="007F3ED6" w:rsidRDefault="007F3ED6" w:rsidP="007F3ED6">
                            <w:pPr>
                              <w:spacing w:line="240" w:lineRule="auto"/>
                              <w:rPr>
                                <w:rFonts w:ascii="Arial Narrow" w:hAnsi="Arial Narrow" w:cs="Arial"/>
                                <w:b/>
                                <w:bCs/>
                                <w:szCs w:val="18"/>
                              </w:rPr>
                            </w:pPr>
                            <w:r>
                              <w:rPr>
                                <w:rFonts w:ascii="Arial Narrow" w:hAnsi="Arial Narrow" w:cs="Arial"/>
                                <w:b/>
                                <w:bCs/>
                                <w:szCs w:val="18"/>
                              </w:rPr>
                              <w:t>EPS</w:t>
                            </w:r>
                          </w:p>
                        </w:tc>
                        <w:tc>
                          <w:tcPr>
                            <w:tcW w:w="989" w:type="dxa"/>
                            <w:tcBorders>
                              <w:top w:val="nil"/>
                              <w:left w:val="nil"/>
                              <w:bottom w:val="single" w:sz="4" w:space="0" w:color="auto"/>
                              <w:right w:val="nil"/>
                            </w:tcBorders>
                            <w:shd w:val="clear" w:color="auto" w:fill="FFFFFF"/>
                            <w:noWrap/>
                            <w:vAlign w:val="center"/>
                          </w:tcPr>
                          <w:p w:rsidR="007F3ED6" w:rsidRDefault="007F3ED6" w:rsidP="007F3ED6">
                            <w:pPr>
                              <w:spacing w:line="240" w:lineRule="auto"/>
                              <w:jc w:val="right"/>
                              <w:rPr>
                                <w:rFonts w:ascii="Arial Narrow" w:hAnsi="Arial Narrow" w:cs="Arial"/>
                                <w:b/>
                                <w:bCs/>
                                <w:szCs w:val="18"/>
                              </w:rPr>
                            </w:pPr>
                            <w:r>
                              <w:rPr>
                                <w:rFonts w:ascii="Arial Narrow" w:hAnsi="Arial Narrow" w:cs="Arial"/>
                                <w:b/>
                                <w:bCs/>
                                <w:szCs w:val="18"/>
                              </w:rPr>
                              <w:t>Q1</w:t>
                            </w:r>
                          </w:p>
                        </w:tc>
                        <w:tc>
                          <w:tcPr>
                            <w:tcW w:w="990" w:type="dxa"/>
                            <w:tcBorders>
                              <w:top w:val="nil"/>
                              <w:left w:val="nil"/>
                              <w:bottom w:val="single" w:sz="4" w:space="0" w:color="auto"/>
                              <w:right w:val="nil"/>
                            </w:tcBorders>
                            <w:shd w:val="clear" w:color="auto" w:fill="FFFFFF"/>
                            <w:vAlign w:val="center"/>
                          </w:tcPr>
                          <w:p w:rsidR="007F3ED6" w:rsidRDefault="007F3ED6" w:rsidP="007F3ED6">
                            <w:pPr>
                              <w:spacing w:line="240" w:lineRule="auto"/>
                              <w:jc w:val="right"/>
                              <w:rPr>
                                <w:rFonts w:ascii="Arial Narrow" w:hAnsi="Arial Narrow" w:cs="Arial"/>
                                <w:b/>
                                <w:bCs/>
                                <w:szCs w:val="18"/>
                              </w:rPr>
                            </w:pPr>
                            <w:r>
                              <w:rPr>
                                <w:rFonts w:ascii="Arial Narrow" w:hAnsi="Arial Narrow" w:cs="Arial"/>
                                <w:b/>
                                <w:bCs/>
                                <w:szCs w:val="18"/>
                              </w:rPr>
                              <w:t>Q2</w:t>
                            </w:r>
                          </w:p>
                        </w:tc>
                        <w:tc>
                          <w:tcPr>
                            <w:tcW w:w="990" w:type="dxa"/>
                            <w:tcBorders>
                              <w:top w:val="nil"/>
                              <w:left w:val="nil"/>
                              <w:bottom w:val="single" w:sz="4" w:space="0" w:color="auto"/>
                              <w:right w:val="nil"/>
                            </w:tcBorders>
                            <w:shd w:val="clear" w:color="auto" w:fill="FFFFFF"/>
                            <w:vAlign w:val="center"/>
                          </w:tcPr>
                          <w:p w:rsidR="007F3ED6" w:rsidRDefault="007F3ED6" w:rsidP="007F3ED6">
                            <w:pPr>
                              <w:spacing w:line="240" w:lineRule="auto"/>
                              <w:jc w:val="right"/>
                              <w:rPr>
                                <w:rFonts w:ascii="Arial Narrow" w:hAnsi="Arial Narrow" w:cs="Arial"/>
                                <w:b/>
                                <w:bCs/>
                                <w:szCs w:val="18"/>
                              </w:rPr>
                            </w:pPr>
                            <w:r>
                              <w:rPr>
                                <w:rFonts w:ascii="Arial Narrow" w:hAnsi="Arial Narrow" w:cs="Arial"/>
                                <w:b/>
                                <w:bCs/>
                                <w:szCs w:val="18"/>
                              </w:rPr>
                              <w:t>Q3</w:t>
                            </w:r>
                          </w:p>
                        </w:tc>
                        <w:tc>
                          <w:tcPr>
                            <w:tcW w:w="990" w:type="dxa"/>
                            <w:tcBorders>
                              <w:top w:val="nil"/>
                              <w:left w:val="nil"/>
                              <w:bottom w:val="single" w:sz="4" w:space="0" w:color="auto"/>
                              <w:right w:val="nil"/>
                            </w:tcBorders>
                            <w:shd w:val="clear" w:color="auto" w:fill="FFFFFF"/>
                            <w:vAlign w:val="center"/>
                          </w:tcPr>
                          <w:p w:rsidR="007F3ED6" w:rsidRDefault="007F3ED6" w:rsidP="007F3ED6">
                            <w:pPr>
                              <w:spacing w:line="240" w:lineRule="auto"/>
                              <w:jc w:val="right"/>
                              <w:rPr>
                                <w:rFonts w:ascii="Arial Narrow" w:hAnsi="Arial Narrow" w:cs="Arial"/>
                                <w:b/>
                                <w:bCs/>
                                <w:szCs w:val="18"/>
                              </w:rPr>
                            </w:pPr>
                            <w:r>
                              <w:rPr>
                                <w:rFonts w:ascii="Arial Narrow" w:hAnsi="Arial Narrow" w:cs="Arial"/>
                                <w:b/>
                                <w:bCs/>
                                <w:szCs w:val="18"/>
                              </w:rPr>
                              <w:t>Q4</w:t>
                            </w:r>
                          </w:p>
                        </w:tc>
                        <w:tc>
                          <w:tcPr>
                            <w:tcW w:w="990" w:type="dxa"/>
                            <w:tcBorders>
                              <w:top w:val="nil"/>
                              <w:left w:val="nil"/>
                              <w:bottom w:val="single" w:sz="4" w:space="0" w:color="auto"/>
                              <w:right w:val="nil"/>
                            </w:tcBorders>
                            <w:shd w:val="clear" w:color="auto" w:fill="FFFFFF"/>
                            <w:vAlign w:val="center"/>
                          </w:tcPr>
                          <w:p w:rsidR="007F3ED6" w:rsidRDefault="007F3ED6" w:rsidP="007F3ED6">
                            <w:pPr>
                              <w:spacing w:line="240" w:lineRule="auto"/>
                              <w:jc w:val="right"/>
                              <w:rPr>
                                <w:rFonts w:ascii="Arial Narrow" w:hAnsi="Arial Narrow" w:cs="Arial"/>
                                <w:b/>
                                <w:bCs/>
                                <w:szCs w:val="18"/>
                              </w:rPr>
                            </w:pPr>
                            <w:r>
                              <w:rPr>
                                <w:rFonts w:ascii="Arial Narrow" w:hAnsi="Arial Narrow" w:cs="Arial"/>
                                <w:b/>
                                <w:bCs/>
                                <w:szCs w:val="18"/>
                              </w:rPr>
                              <w:t>FY</w:t>
                            </w:r>
                          </w:p>
                        </w:tc>
                        <w:tc>
                          <w:tcPr>
                            <w:tcW w:w="987" w:type="dxa"/>
                            <w:tcBorders>
                              <w:top w:val="nil"/>
                              <w:left w:val="nil"/>
                              <w:bottom w:val="single" w:sz="4" w:space="0" w:color="auto"/>
                              <w:right w:val="nil"/>
                            </w:tcBorders>
                            <w:shd w:val="clear" w:color="auto" w:fill="FFFFFF"/>
                            <w:vAlign w:val="center"/>
                          </w:tcPr>
                          <w:p w:rsidR="007F3ED6" w:rsidRDefault="007F3ED6" w:rsidP="007F3ED6">
                            <w:pPr>
                              <w:spacing w:line="240" w:lineRule="auto"/>
                              <w:jc w:val="right"/>
                              <w:rPr>
                                <w:rFonts w:ascii="Arial Narrow" w:hAnsi="Arial Narrow" w:cs="Arial"/>
                                <w:b/>
                                <w:bCs/>
                                <w:szCs w:val="18"/>
                              </w:rPr>
                            </w:pPr>
                            <w:r>
                              <w:rPr>
                                <w:rFonts w:ascii="Arial Narrow" w:hAnsi="Arial Narrow" w:cs="Arial"/>
                                <w:b/>
                                <w:bCs/>
                                <w:szCs w:val="18"/>
                              </w:rPr>
                              <w:t>FC Cons</w:t>
                            </w:r>
                          </w:p>
                        </w:tc>
                      </w:tr>
                      <w:tr w:rsidR="007F3ED6">
                        <w:trPr>
                          <w:trHeight w:hRule="exact" w:val="285"/>
                        </w:trPr>
                        <w:tc>
                          <w:tcPr>
                            <w:tcW w:w="764" w:type="dxa"/>
                            <w:tcBorders>
                              <w:top w:val="nil"/>
                              <w:left w:val="nil"/>
                              <w:bottom w:val="nil"/>
                              <w:right w:val="nil"/>
                            </w:tcBorders>
                            <w:shd w:val="clear" w:color="auto" w:fill="FFFFFF"/>
                            <w:vAlign w:val="center"/>
                          </w:tcPr>
                          <w:p w:rsidR="007F3ED6" w:rsidRDefault="007F3ED6" w:rsidP="007F3ED6">
                            <w:pPr>
                              <w:spacing w:line="240" w:lineRule="auto"/>
                              <w:rPr>
                                <w:rFonts w:ascii="Arial Narrow" w:hAnsi="Arial Narrow" w:cs="Arial"/>
                                <w:b/>
                                <w:bCs/>
                                <w:szCs w:val="18"/>
                              </w:rPr>
                            </w:pPr>
                            <w:r>
                              <w:rPr>
                                <w:rFonts w:ascii="Arial Narrow" w:hAnsi="Arial Narrow" w:cs="Arial"/>
                                <w:b/>
                                <w:bCs/>
                                <w:szCs w:val="18"/>
                              </w:rPr>
                              <w:t>2013A</w:t>
                            </w:r>
                          </w:p>
                        </w:tc>
                        <w:tc>
                          <w:tcPr>
                            <w:tcW w:w="989"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0.08A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0.18A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0.20A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0.31A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0.77A</w:t>
                            </w:r>
                          </w:p>
                        </w:tc>
                        <w:tc>
                          <w:tcPr>
                            <w:tcW w:w="987"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0.77A</w:t>
                            </w:r>
                          </w:p>
                        </w:tc>
                      </w:tr>
                      <w:tr w:rsidR="007F3ED6">
                        <w:trPr>
                          <w:trHeight w:hRule="exact" w:val="285"/>
                        </w:trPr>
                        <w:tc>
                          <w:tcPr>
                            <w:tcW w:w="764" w:type="dxa"/>
                            <w:tcBorders>
                              <w:top w:val="nil"/>
                              <w:left w:val="nil"/>
                              <w:bottom w:val="nil"/>
                              <w:right w:val="nil"/>
                            </w:tcBorders>
                            <w:shd w:val="clear" w:color="auto" w:fill="FFFFFF"/>
                            <w:vAlign w:val="center"/>
                          </w:tcPr>
                          <w:p w:rsidR="007F3ED6" w:rsidRDefault="007F3ED6" w:rsidP="007F3ED6">
                            <w:pPr>
                              <w:spacing w:line="240" w:lineRule="auto"/>
                              <w:rPr>
                                <w:rFonts w:ascii="Arial Narrow" w:hAnsi="Arial Narrow" w:cs="Arial"/>
                                <w:b/>
                                <w:bCs/>
                                <w:szCs w:val="18"/>
                              </w:rPr>
                            </w:pPr>
                            <w:r>
                              <w:rPr>
                                <w:rFonts w:ascii="Arial Narrow" w:hAnsi="Arial Narrow" w:cs="Arial"/>
                                <w:b/>
                                <w:bCs/>
                                <w:szCs w:val="18"/>
                              </w:rPr>
                              <w:t>2014E</w:t>
                            </w:r>
                          </w:p>
                        </w:tc>
                        <w:tc>
                          <w:tcPr>
                            <w:tcW w:w="989"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0.11A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0.19A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0.25E</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0.34E</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0.89E</w:t>
                            </w:r>
                          </w:p>
                        </w:tc>
                        <w:tc>
                          <w:tcPr>
                            <w:tcW w:w="987"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0.75E</w:t>
                            </w:r>
                          </w:p>
                        </w:tc>
                      </w:tr>
                      <w:tr w:rsidR="007F3ED6">
                        <w:trPr>
                          <w:trHeight w:hRule="exact" w:val="285"/>
                        </w:trPr>
                        <w:tc>
                          <w:tcPr>
                            <w:tcW w:w="764" w:type="dxa"/>
                            <w:tcBorders>
                              <w:top w:val="nil"/>
                              <w:left w:val="nil"/>
                              <w:bottom w:val="nil"/>
                              <w:right w:val="nil"/>
                            </w:tcBorders>
                            <w:shd w:val="clear" w:color="auto" w:fill="FFFFFF"/>
                            <w:noWrap/>
                            <w:vAlign w:val="center"/>
                          </w:tcPr>
                          <w:p w:rsidR="007F3ED6" w:rsidRDefault="007F3ED6" w:rsidP="007F3ED6">
                            <w:pPr>
                              <w:spacing w:line="240" w:lineRule="auto"/>
                              <w:rPr>
                                <w:rFonts w:ascii="Arial Narrow" w:hAnsi="Arial Narrow" w:cs="Arial"/>
                                <w:sz w:val="16"/>
                                <w:szCs w:val="16"/>
                              </w:rPr>
                            </w:pPr>
                            <w:r>
                              <w:rPr>
                                <w:rFonts w:ascii="Arial Narrow" w:hAnsi="Arial Narrow" w:cs="Arial"/>
                                <w:sz w:val="16"/>
                                <w:szCs w:val="16"/>
                              </w:rPr>
                              <w:t>Previous</w:t>
                            </w:r>
                          </w:p>
                        </w:tc>
                        <w:tc>
                          <w:tcPr>
                            <w:tcW w:w="989"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0.11A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0.19A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0.25E</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0.34E</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0.89E</w:t>
                            </w:r>
                          </w:p>
                        </w:tc>
                        <w:tc>
                          <w:tcPr>
                            <w:tcW w:w="987"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na</w:t>
                            </w:r>
                          </w:p>
                        </w:tc>
                      </w:tr>
                      <w:tr w:rsidR="007F3ED6">
                        <w:trPr>
                          <w:trHeight w:hRule="exact" w:val="285"/>
                        </w:trPr>
                        <w:tc>
                          <w:tcPr>
                            <w:tcW w:w="764" w:type="dxa"/>
                            <w:tcBorders>
                              <w:top w:val="nil"/>
                              <w:left w:val="nil"/>
                              <w:bottom w:val="nil"/>
                              <w:right w:val="nil"/>
                            </w:tcBorders>
                            <w:shd w:val="clear" w:color="auto" w:fill="FFFFFF"/>
                            <w:vAlign w:val="center"/>
                          </w:tcPr>
                          <w:p w:rsidR="007F3ED6" w:rsidRDefault="007F3ED6" w:rsidP="007F3ED6">
                            <w:pPr>
                              <w:spacing w:line="240" w:lineRule="auto"/>
                              <w:rPr>
                                <w:rFonts w:ascii="Arial Narrow" w:hAnsi="Arial Narrow" w:cs="Arial"/>
                                <w:b/>
                                <w:bCs/>
                                <w:szCs w:val="18"/>
                              </w:rPr>
                            </w:pPr>
                            <w:r>
                              <w:rPr>
                                <w:rFonts w:ascii="Arial Narrow" w:hAnsi="Arial Narrow" w:cs="Arial"/>
                                <w:b/>
                                <w:bCs/>
                                <w:szCs w:val="18"/>
                              </w:rPr>
                              <w:t>2015E</w:t>
                            </w:r>
                          </w:p>
                        </w:tc>
                        <w:tc>
                          <w:tcPr>
                            <w:tcW w:w="989"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0.15E</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0.24E</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0.27E</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0.39E</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1.05E</w:t>
                            </w:r>
                          </w:p>
                        </w:tc>
                        <w:tc>
                          <w:tcPr>
                            <w:tcW w:w="987"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0.85E</w:t>
                            </w:r>
                          </w:p>
                        </w:tc>
                      </w:tr>
                      <w:tr w:rsidR="007F3ED6">
                        <w:trPr>
                          <w:trHeight w:hRule="exact" w:val="285"/>
                        </w:trPr>
                        <w:tc>
                          <w:tcPr>
                            <w:tcW w:w="764" w:type="dxa"/>
                            <w:tcBorders>
                              <w:top w:val="nil"/>
                              <w:left w:val="nil"/>
                              <w:bottom w:val="nil"/>
                              <w:right w:val="nil"/>
                            </w:tcBorders>
                            <w:shd w:val="clear" w:color="auto" w:fill="FFFFFF"/>
                            <w:noWrap/>
                            <w:vAlign w:val="center"/>
                          </w:tcPr>
                          <w:p w:rsidR="007F3ED6" w:rsidRDefault="007F3ED6" w:rsidP="007F3ED6">
                            <w:pPr>
                              <w:spacing w:line="240" w:lineRule="auto"/>
                              <w:rPr>
                                <w:rFonts w:ascii="Arial Narrow" w:hAnsi="Arial Narrow" w:cs="Arial"/>
                                <w:sz w:val="16"/>
                                <w:szCs w:val="16"/>
                              </w:rPr>
                            </w:pPr>
                            <w:r>
                              <w:rPr>
                                <w:rFonts w:ascii="Arial Narrow" w:hAnsi="Arial Narrow" w:cs="Arial"/>
                                <w:sz w:val="16"/>
                                <w:szCs w:val="16"/>
                              </w:rPr>
                              <w:t>Previous</w:t>
                            </w:r>
                          </w:p>
                        </w:tc>
                        <w:tc>
                          <w:tcPr>
                            <w:tcW w:w="989"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0.15E</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0.24E</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0.27E</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0.39E</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1.05E</w:t>
                            </w:r>
                          </w:p>
                        </w:tc>
                        <w:tc>
                          <w:tcPr>
                            <w:tcW w:w="987"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na</w:t>
                            </w:r>
                          </w:p>
                        </w:tc>
                      </w:tr>
                      <w:tr w:rsidR="007F3ED6">
                        <w:trPr>
                          <w:trHeight w:hRule="exact" w:val="285"/>
                        </w:trPr>
                        <w:tc>
                          <w:tcPr>
                            <w:tcW w:w="764" w:type="dxa"/>
                            <w:tcBorders>
                              <w:top w:val="nil"/>
                              <w:left w:val="nil"/>
                              <w:bottom w:val="nil"/>
                              <w:right w:val="nil"/>
                            </w:tcBorders>
                            <w:shd w:val="clear" w:color="auto" w:fill="FFFFFF"/>
                            <w:vAlign w:val="center"/>
                          </w:tcPr>
                          <w:p w:rsidR="007F3ED6" w:rsidRDefault="007F3ED6" w:rsidP="007F3ED6">
                            <w:pPr>
                              <w:spacing w:line="240" w:lineRule="auto"/>
                              <w:rPr>
                                <w:rFonts w:ascii="Arial Narrow" w:hAnsi="Arial Narrow" w:cs="Arial"/>
                                <w:b/>
                                <w:bCs/>
                                <w:szCs w:val="18"/>
                              </w:rPr>
                            </w:pPr>
                            <w:r>
                              <w:rPr>
                                <w:rFonts w:ascii="Arial Narrow" w:hAnsi="Arial Narrow" w:cs="Arial"/>
                                <w:b/>
                                <w:bCs/>
                                <w:szCs w:val="18"/>
                              </w:rPr>
                              <w:t>2016E</w:t>
                            </w:r>
                          </w:p>
                        </w:tc>
                        <w:tc>
                          <w:tcPr>
                            <w:tcW w:w="989"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na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na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na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na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1.21E</w:t>
                            </w:r>
                          </w:p>
                        </w:tc>
                        <w:tc>
                          <w:tcPr>
                            <w:tcW w:w="987"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b/>
                                <w:bCs/>
                                <w:sz w:val="16"/>
                                <w:szCs w:val="16"/>
                              </w:rPr>
                            </w:pPr>
                            <w:r>
                              <w:rPr>
                                <w:rFonts w:ascii="Arial Narrow" w:hAnsi="Arial Narrow" w:cs="Arial"/>
                                <w:b/>
                                <w:bCs/>
                                <w:sz w:val="16"/>
                                <w:szCs w:val="16"/>
                              </w:rPr>
                              <w:t>1.01E</w:t>
                            </w:r>
                          </w:p>
                        </w:tc>
                      </w:tr>
                      <w:tr w:rsidR="007F3ED6">
                        <w:trPr>
                          <w:trHeight w:hRule="exact" w:val="285"/>
                        </w:trPr>
                        <w:tc>
                          <w:tcPr>
                            <w:tcW w:w="764" w:type="dxa"/>
                            <w:tcBorders>
                              <w:top w:val="nil"/>
                              <w:left w:val="nil"/>
                              <w:bottom w:val="nil"/>
                              <w:right w:val="nil"/>
                            </w:tcBorders>
                            <w:shd w:val="clear" w:color="auto" w:fill="FFFFFF"/>
                            <w:noWrap/>
                            <w:vAlign w:val="center"/>
                          </w:tcPr>
                          <w:p w:rsidR="007F3ED6" w:rsidRDefault="007F3ED6" w:rsidP="007F3ED6">
                            <w:pPr>
                              <w:spacing w:line="240" w:lineRule="auto"/>
                              <w:rPr>
                                <w:rFonts w:ascii="Arial Narrow" w:hAnsi="Arial Narrow" w:cs="Arial"/>
                                <w:sz w:val="16"/>
                                <w:szCs w:val="16"/>
                              </w:rPr>
                            </w:pPr>
                            <w:r>
                              <w:rPr>
                                <w:rFonts w:ascii="Arial Narrow" w:hAnsi="Arial Narrow" w:cs="Arial"/>
                                <w:sz w:val="16"/>
                                <w:szCs w:val="16"/>
                              </w:rPr>
                              <w:t>Previous</w:t>
                            </w:r>
                          </w:p>
                        </w:tc>
                        <w:tc>
                          <w:tcPr>
                            <w:tcW w:w="989"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na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na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na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na</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1.21E</w:t>
                            </w:r>
                          </w:p>
                        </w:tc>
                        <w:tc>
                          <w:tcPr>
                            <w:tcW w:w="987"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na</w:t>
                            </w:r>
                          </w:p>
                        </w:tc>
                      </w:tr>
                      <w:tr w:rsidR="007F3ED6">
                        <w:trPr>
                          <w:trHeight w:hRule="exact" w:val="60"/>
                        </w:trPr>
                        <w:tc>
                          <w:tcPr>
                            <w:tcW w:w="764" w:type="dxa"/>
                            <w:tcBorders>
                              <w:top w:val="nil"/>
                              <w:left w:val="nil"/>
                              <w:bottom w:val="nil"/>
                              <w:right w:val="nil"/>
                            </w:tcBorders>
                            <w:shd w:val="clear" w:color="auto" w:fill="FFFFFF"/>
                            <w:noWrap/>
                            <w:vAlign w:val="center"/>
                          </w:tcPr>
                          <w:p w:rsidR="007F3ED6" w:rsidRDefault="007F3ED6" w:rsidP="007F3ED6">
                            <w:pPr>
                              <w:spacing w:line="240" w:lineRule="auto"/>
                              <w:rPr>
                                <w:rFonts w:ascii="CIR Trade Gothic Cn" w:hAnsi="CIR Trade Gothic Cn" w:cs="Arial"/>
                                <w:sz w:val="2"/>
                                <w:szCs w:val="2"/>
                              </w:rPr>
                            </w:pPr>
                            <w:r>
                              <w:rPr>
                                <w:rFonts w:ascii="Arial Narrow" w:hAnsi="Arial Narrow" w:cs="Arial"/>
                                <w:sz w:val="2"/>
                                <w:szCs w:val="2"/>
                              </w:rPr>
                              <w:t> </w:t>
                            </w:r>
                          </w:p>
                        </w:tc>
                        <w:tc>
                          <w:tcPr>
                            <w:tcW w:w="989"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CIR Trade Gothic Cn" w:hAnsi="CIR Trade Gothic Cn" w:cs="Arial"/>
                                <w:sz w:val="2"/>
                                <w:szCs w:val="2"/>
                              </w:rPr>
                            </w:pPr>
                            <w:r>
                              <w:rPr>
                                <w:rFonts w:ascii="Arial Narrow" w:hAnsi="Arial Narrow" w:cs="Arial"/>
                                <w:sz w:val="2"/>
                                <w:szCs w:val="2"/>
                              </w:rPr>
                              <w:t> </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CIR Trade Gothic Cn" w:hAnsi="CIR Trade Gothic Cn" w:cs="Arial"/>
                                <w:sz w:val="2"/>
                                <w:szCs w:val="2"/>
                              </w:rPr>
                            </w:pPr>
                            <w:r>
                              <w:rPr>
                                <w:rFonts w:ascii="Arial Narrow" w:hAnsi="Arial Narrow" w:cs="Arial"/>
                                <w:sz w:val="2"/>
                                <w:szCs w:val="2"/>
                              </w:rPr>
                              <w:t> </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CIR Trade Gothic Cn" w:hAnsi="CIR Trade Gothic Cn" w:cs="Arial"/>
                                <w:sz w:val="2"/>
                                <w:szCs w:val="2"/>
                              </w:rPr>
                            </w:pPr>
                            <w:r>
                              <w:rPr>
                                <w:rFonts w:ascii="Arial Narrow" w:hAnsi="Arial Narrow" w:cs="Arial"/>
                                <w:sz w:val="2"/>
                                <w:szCs w:val="2"/>
                              </w:rPr>
                              <w:t> </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CIR Trade Gothic Cn" w:hAnsi="CIR Trade Gothic Cn" w:cs="Arial"/>
                                <w:sz w:val="2"/>
                                <w:szCs w:val="2"/>
                              </w:rPr>
                            </w:pPr>
                            <w:r>
                              <w:rPr>
                                <w:rFonts w:ascii="Arial Narrow" w:hAnsi="Arial Narrow" w:cs="Arial"/>
                                <w:sz w:val="2"/>
                                <w:szCs w:val="2"/>
                              </w:rPr>
                              <w:t> </w:t>
                            </w:r>
                          </w:p>
                        </w:tc>
                        <w:tc>
                          <w:tcPr>
                            <w:tcW w:w="990"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CIR Trade Gothic Cn" w:hAnsi="CIR Trade Gothic Cn" w:cs="Arial"/>
                                <w:sz w:val="2"/>
                                <w:szCs w:val="2"/>
                              </w:rPr>
                            </w:pPr>
                            <w:r>
                              <w:rPr>
                                <w:rFonts w:ascii="Arial Narrow" w:hAnsi="Arial Narrow" w:cs="Arial"/>
                                <w:sz w:val="2"/>
                                <w:szCs w:val="2"/>
                              </w:rPr>
                              <w:t> </w:t>
                            </w:r>
                          </w:p>
                        </w:tc>
                        <w:tc>
                          <w:tcPr>
                            <w:tcW w:w="987"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2"/>
                                <w:szCs w:val="2"/>
                              </w:rPr>
                            </w:pPr>
                            <w:r>
                              <w:rPr>
                                <w:rFonts w:ascii="Arial Narrow" w:hAnsi="Arial Narrow" w:cs="Arial"/>
                                <w:sz w:val="2"/>
                                <w:szCs w:val="2"/>
                              </w:rPr>
                              <w:t> </w:t>
                            </w:r>
                          </w:p>
                        </w:tc>
                      </w:tr>
                      <w:tr w:rsidR="007F3ED6">
                        <w:trPr>
                          <w:trHeight w:hRule="exact" w:val="285"/>
                        </w:trPr>
                        <w:tc>
                          <w:tcPr>
                            <w:tcW w:w="5713" w:type="dxa"/>
                            <w:gridSpan w:val="6"/>
                            <w:tcBorders>
                              <w:top w:val="nil"/>
                              <w:left w:val="nil"/>
                              <w:bottom w:val="nil"/>
                              <w:right w:val="nil"/>
                            </w:tcBorders>
                            <w:shd w:val="clear" w:color="auto" w:fill="FFFFFF"/>
                            <w:noWrap/>
                            <w:vAlign w:val="center"/>
                          </w:tcPr>
                          <w:p w:rsidR="007F3ED6" w:rsidRDefault="007F3ED6" w:rsidP="007F3ED6">
                            <w:pPr>
                              <w:spacing w:line="240" w:lineRule="auto"/>
                              <w:rPr>
                                <w:rFonts w:ascii="CIR Trade Gothic Cn" w:hAnsi="CIR Trade Gothic Cn" w:cs="Arial"/>
                                <w:sz w:val="14"/>
                                <w:szCs w:val="14"/>
                              </w:rPr>
                            </w:pPr>
                            <w:r>
                              <w:rPr>
                                <w:rFonts w:ascii="Arial Narrow" w:hAnsi="Arial Narrow" w:cs="Arial"/>
                                <w:sz w:val="14"/>
                                <w:szCs w:val="14"/>
                              </w:rPr>
                              <w:t>Source: Company Reports and dataCentral, Citi Research.   FC Cons: First Call Consensus.</w:t>
                            </w:r>
                          </w:p>
                        </w:tc>
                        <w:tc>
                          <w:tcPr>
                            <w:tcW w:w="987" w:type="dxa"/>
                            <w:tcBorders>
                              <w:top w:val="nil"/>
                              <w:left w:val="nil"/>
                              <w:bottom w:val="nil"/>
                              <w:right w:val="nil"/>
                            </w:tcBorders>
                            <w:shd w:val="clear" w:color="auto" w:fill="FFFFFF"/>
                            <w:noWrap/>
                            <w:vAlign w:val="center"/>
                          </w:tcPr>
                          <w:p w:rsidR="007F3ED6" w:rsidRDefault="007F3ED6" w:rsidP="007F3ED6">
                            <w:pPr>
                              <w:spacing w:line="240" w:lineRule="auto"/>
                              <w:jc w:val="right"/>
                              <w:rPr>
                                <w:rFonts w:ascii="Arial Narrow" w:hAnsi="Arial Narrow" w:cs="Arial"/>
                                <w:sz w:val="16"/>
                                <w:szCs w:val="16"/>
                              </w:rPr>
                            </w:pPr>
                            <w:r>
                              <w:rPr>
                                <w:rFonts w:ascii="Arial Narrow" w:hAnsi="Arial Narrow" w:cs="Arial"/>
                                <w:sz w:val="16"/>
                                <w:szCs w:val="16"/>
                              </w:rPr>
                              <w:t> </w:t>
                            </w:r>
                          </w:p>
                        </w:tc>
                      </w:tr>
                    </w:tbl>
                    <w:p w:rsidR="00A0169C" w:rsidRDefault="00A0169C"/>
                  </w:txbxContent>
                </v:textbox>
                <w10:wrap type="square" side="left" anchorx="page" anchory="page"/>
                <w10:anchorlock/>
              </v:shape>
            </w:pict>
          </w:r>
          <w:r>
            <w:rPr>
              <w:noProof/>
            </w:rPr>
            <w:pict>
              <v:shape id="shpFPTableB" o:spid="_x0000_s1032" type="#_x0000_t202" style="position:absolute;margin-left:50.4pt;margin-top:550pt;width:.05pt;height:140.4pt;z-index:251665408;visibility:hidden;mso-height-percent:0;mso-wrap-distance-left:9pt;mso-wrap-distance-top:0;mso-wrap-distance-right:9pt;mso-wrap-distance-bottom:0;mso-position-horizontal-relative:pag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" filled="f" stroked="f">
                <v:textbox style="mso-next-textbox:#shpFPTableB" inset="0,0,0,0">
                  <w:txbxContent>
                    <w:p w:rsidR="00A0169C" w:rsidRDefault="00A0169C">
                      <w:bookmarkStart w:id="13" w:name="bkm_FPTableB"/>
                      <w:bookmarkEnd w:id="13"/>
                    </w:p>
                  </w:txbxContent>
                </v:textbox>
                <w10:wrap type="square" side="right" anchorx="page" anchory="page"/>
                <w10:anchorlock/>
              </v:shape>
            </w:pict>
          </w:r>
          <w:r>
            <w:rPr>
              <w:noProof/>
            </w:rPr>
            <w:pict>
              <v:shape id="shpRating" o:spid="_x0000_s1031" type="#_x0000_t202" style="position:absolute;margin-left:403.2pt;margin-top:182.85pt;width:158.4pt;height:371.05pt;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" filled="f" stroked="f">
                <v:textbox style="mso-next-textbox:#shpRating" inset="0,0,0,0">
                  <w:txbxContent>
                    <w:bookmarkStart w:id="14" w:name="bkm_Rating" w:displacedByCustomXml="next"/>
                    <w:bookmarkEnd w:id="14" w:displacedByCustomXml="next"/>
                    <w:sdt>
                      <w:sdtPr>
                        <w:rPr>
                          <w:b/>
                          <w:lang w:eastAsia="en-US"/>
                        </w:rPr>
                        <w:tag w:val="RatingBlock"/>
                        <w:id w:val="507024388"/>
                      </w:sdtPr>
                      <w:sdtEndPr>
                        <w:rPr>
                          <w:b w:val="0"/>
                        </w:rPr>
                      </w:sdtEndPr>
                      <w:sdtContent>
                        <w:tbl>
                          <w:tblPr>
                            <w:tblStyle w:val="CIRTable"/>
                            <w:tblW w:w="3179" w:type="dxa"/>
                            <w:tblLayout w:type="fixed"/>
                            <w:tblLook w:val="0000" w:firstRow="0" w:lastRow="0" w:firstColumn="0" w:lastColumn="0" w:noHBand="0" w:noVBand="0"/>
                          </w:tblPr>
                          <w:tblGrid>
                            <w:gridCol w:w="2023"/>
                            <w:gridCol w:w="1156"/>
                          </w:tblGrid>
                          <w:tr w:rsidR="007F3ED6" w:rsidTr="00BB50AC">
                            <w:tc>
                              <w:tcPr>
                                <w:tcW w:w="2023" w:type="dxa"/>
                              </w:tcPr>
                              <w:p w:rsidR="007F3ED6" w:rsidRDefault="007F3ED6">
                                <w:pPr>
                                  <w:pStyle w:val="CIRRating"/>
                                </w:pPr>
                                <w:r>
                                  <w:rPr>
                                    <w:b/>
                                  </w:rPr>
                                  <w:t>Buy</w:t>
                                </w:r>
                              </w:p>
                            </w:tc>
                            <w:tc>
                              <w:tcPr>
                                <w:tcW w:w="1156" w:type="dxa"/>
                              </w:tcPr>
                              <w:p w:rsidR="007F3ED6" w:rsidRDefault="007F3ED6">
                                <w:pPr>
                                  <w:pStyle w:val="CIRRating"/>
                                  <w:jc w:val="right"/>
                                </w:pPr>
                                <w:r>
                                  <w:rPr>
                                    <w:b/>
                                  </w:rPr>
                                  <w:t>1</w:t>
                                </w:r>
                              </w:p>
                            </w:tc>
                          </w:tr>
                          <w:tr w:rsidR="007F3ED6" w:rsidTr="00BB50AC">
                            <w:tc>
                              <w:tcPr>
                                <w:tcW w:w="2023" w:type="dxa"/>
                              </w:tcPr>
                              <w:p w:rsidR="007F3ED6" w:rsidRDefault="007F3ED6">
                                <w:pPr>
                                  <w:pStyle w:val="CIRRating"/>
                                </w:pPr>
                                <w:r>
                                  <w:t>Price (16 Dec 14)</w:t>
                                </w:r>
                              </w:p>
                            </w:tc>
                            <w:tc>
                              <w:tcPr>
                                <w:tcW w:w="1156" w:type="dxa"/>
                              </w:tcPr>
                              <w:p w:rsidR="007F3ED6" w:rsidRDefault="007F3ED6">
                                <w:pPr>
                                  <w:pStyle w:val="CIRRating"/>
                                  <w:jc w:val="right"/>
                                </w:pPr>
                                <w:r>
                                  <w:t>US$18.31</w:t>
                                </w:r>
                              </w:p>
                            </w:tc>
                          </w:tr>
                          <w:tr w:rsidR="007F3ED6" w:rsidTr="00BB50AC">
                            <w:tc>
                              <w:tcPr>
                                <w:tcW w:w="2023" w:type="dxa"/>
                              </w:tcPr>
                              <w:p w:rsidR="007F3ED6" w:rsidRDefault="007F3ED6">
                                <w:pPr>
                                  <w:pStyle w:val="CIRRating"/>
                                </w:pPr>
                                <w:r>
                                  <w:t>Target price</w:t>
                                </w:r>
                              </w:p>
                            </w:tc>
                            <w:tc>
                              <w:tcPr>
                                <w:tcW w:w="1156" w:type="dxa"/>
                              </w:tcPr>
                              <w:p w:rsidR="007F3ED6" w:rsidRDefault="007F3ED6">
                                <w:pPr>
                                  <w:pStyle w:val="CIRRating"/>
                                  <w:jc w:val="right"/>
                                </w:pPr>
                                <w:r>
                                  <w:t>US$27.00</w:t>
                                </w:r>
                              </w:p>
                            </w:tc>
                          </w:tr>
                          <w:tr w:rsidR="007F3ED6" w:rsidTr="00BB50AC">
                            <w:tc>
                              <w:tcPr>
                                <w:tcW w:w="2023" w:type="dxa"/>
                              </w:tcPr>
                              <w:p w:rsidR="007F3ED6" w:rsidRDefault="007F3ED6">
                                <w:pPr>
                                  <w:pStyle w:val="CIRRating"/>
                                </w:pPr>
                                <w:r>
                                  <w:t>Expected share price return</w:t>
                                </w:r>
                              </w:p>
                            </w:tc>
                            <w:tc>
                              <w:tcPr>
                                <w:tcW w:w="1156" w:type="dxa"/>
                              </w:tcPr>
                              <w:p w:rsidR="007F3ED6" w:rsidRDefault="007F3ED6">
                                <w:pPr>
                                  <w:pStyle w:val="CIRRating"/>
                                  <w:jc w:val="right"/>
                                </w:pPr>
                                <w:r>
                                  <w:t>47.5%</w:t>
                                </w:r>
                              </w:p>
                            </w:tc>
                          </w:tr>
                          <w:tr w:rsidR="007F3ED6" w:rsidTr="00BB50AC">
                            <w:tc>
                              <w:tcPr>
                                <w:tcW w:w="2023" w:type="dxa"/>
                              </w:tcPr>
                              <w:p w:rsidR="007F3ED6" w:rsidRDefault="007F3ED6">
                                <w:pPr>
                                  <w:pStyle w:val="CIRRating"/>
                                </w:pPr>
                                <w:r>
                                  <w:t>Expected dividend yield</w:t>
                                </w:r>
                              </w:p>
                            </w:tc>
                            <w:tc>
                              <w:tcPr>
                                <w:tcW w:w="1156" w:type="dxa"/>
                              </w:tcPr>
                              <w:p w:rsidR="007F3ED6" w:rsidRDefault="007F3ED6">
                                <w:pPr>
                                  <w:pStyle w:val="CIRRating"/>
                                  <w:jc w:val="right"/>
                                </w:pPr>
                                <w:r>
                                  <w:t>0.0%</w:t>
                                </w:r>
                              </w:p>
                            </w:tc>
                          </w:tr>
                          <w:tr w:rsidR="007F3ED6" w:rsidTr="00BB50AC">
                            <w:tc>
                              <w:tcPr>
                                <w:tcW w:w="2023" w:type="dxa"/>
                              </w:tcPr>
                              <w:p w:rsidR="007F3ED6" w:rsidRDefault="007F3ED6">
                                <w:pPr>
                                  <w:pStyle w:val="CIRRating"/>
                                </w:pPr>
                                <w:r>
                                  <w:rPr>
                                    <w:b/>
                                  </w:rPr>
                                  <w:t>Expected total return</w:t>
                                </w:r>
                              </w:p>
                            </w:tc>
                            <w:tc>
                              <w:tcPr>
                                <w:tcW w:w="1156" w:type="dxa"/>
                              </w:tcPr>
                              <w:p w:rsidR="007F3ED6" w:rsidRDefault="007F3ED6">
                                <w:pPr>
                                  <w:pStyle w:val="CIRRatingLineAbove"/>
                                </w:pPr>
                                <w:r>
                                  <w:t>47.5%</w:t>
                                </w:r>
                              </w:p>
                            </w:tc>
                          </w:tr>
                          <w:tr w:rsidR="007F3ED6" w:rsidTr="00BB50AC">
                            <w:tc>
                              <w:tcPr>
                                <w:tcW w:w="2023" w:type="dxa"/>
                              </w:tcPr>
                              <w:p w:rsidR="007F3ED6" w:rsidRDefault="007F3ED6">
                                <w:pPr>
                                  <w:pStyle w:val="CIRRating"/>
                                </w:pPr>
                                <w:r>
                                  <w:t>Market Cap</w:t>
                                </w:r>
                              </w:p>
                            </w:tc>
                            <w:tc>
                              <w:tcPr>
                                <w:tcW w:w="1156" w:type="dxa"/>
                              </w:tcPr>
                              <w:p w:rsidR="007F3ED6" w:rsidRDefault="007F3ED6">
                                <w:pPr>
                                  <w:pStyle w:val="CIRRatinglastrow"/>
                                  <w:jc w:val="right"/>
                                </w:pPr>
                                <w:r>
                                  <w:t>US$3,077M</w:t>
                                </w:r>
                              </w:p>
                            </w:tc>
                          </w:tr>
                        </w:tbl>
                      </w:sdtContent>
                    </w:sdt>
                    <w:p w:rsidR="00A0169C" w:rsidRDefault="00A0169C">
                      <w:pPr>
                        <w:pStyle w:val="CIRMaster"/>
                      </w:pPr>
                    </w:p>
                    <w:p w:rsidR="00A0169C" w:rsidRDefault="00A0169C">
                      <w:pPr>
                        <w:pStyle w:val="CIRMaster"/>
                      </w:pPr>
                    </w:p>
                    <w:tbl>
                      <w:tblPr>
                        <w:tblW w:w="0" w:type="auto"/>
                        <w:tblBorders>
                          <w:top w:val="single" w:sz="24" w:space="0" w:color="002D72"/>
                          <w:bottom w:val="single" w:sz="8" w:space="0" w:color="002D72"/>
                        </w:tblBorders>
                        <w:tblCellMar>
                          <w:left w:w="0" w:type="dxa"/>
                          <w:right w:w="0" w:type="dxa"/>
                        </w:tblCellMar>
                        <w:tblLook w:val="01E0" w:firstRow="1" w:lastRow="1" w:firstColumn="1" w:lastColumn="1" w:noHBand="0" w:noVBand="0"/>
                      </w:tblPr>
                      <w:tblGrid>
                        <w:gridCol w:w="3167"/>
                      </w:tblGrid>
                      <w:tr w:rsidR="00A0169C">
                        <w:tc>
                          <w:tcPr>
                            <w:tcW w:w="3183" w:type="dxa"/>
                            <w:shd w:val="clear" w:color="auto" w:fill="auto"/>
                          </w:tcPr>
                          <w:bookmarkStart w:id="15" w:name="bkm_PriceChartCaption" w:displacedByCustomXml="next"/>
                          <w:bookmarkEnd w:id="15" w:displacedByCustomXml="next"/>
                          <w:sdt>
                            <w:sdtPr>
                              <w:rPr>
                                <w:lang w:eastAsia="zh-TW"/>
                              </w:rPr>
                              <w:tag w:val="priceChartHeader"/>
                              <w:id w:val="303513415"/>
                            </w:sdtPr>
                            <w:sdtEndPr/>
                            <w:sdtContent>
                              <w:p w:rsidR="00A0169C" w:rsidRDefault="007F3ED6" w:rsidP="007F3ED6">
                                <w:pPr>
                                  <w:pStyle w:val="CIRCaption"/>
                                  <w:rPr>
                                    <w:lang w:eastAsia="zh-TW"/>
                                  </w:rPr>
                                </w:pPr>
                                <w:r>
                                  <w:rPr>
                                    <w:lang w:eastAsia="zh-TW"/>
                                  </w:rPr>
                                  <w:t>Price Performance</w:t>
                                </w:r>
                                <w:r>
                                  <w:rPr>
                                    <w:lang w:eastAsia="zh-TW"/>
                                  </w:rPr>
                                  <w:br/>
                                  <w:t>(RIC: BRKR.O, BB: BRKR US)</w:t>
                                </w:r>
                              </w:p>
                            </w:sdtContent>
                          </w:sdt>
                        </w:tc>
                      </w:tr>
                      <w:tr w:rsidR="00A0169C">
                        <w:bookmarkStart w:id="16" w:name="bkm_PriceChart" w:displacedByCustomXml="next"/>
                        <w:bookmarkEnd w:id="16" w:displacedByCustomXml="next"/>
                        <w:sdt>
                          <w:sdtPr>
                            <w:rPr>
                              <w:lang w:eastAsia="zh-TW"/>
                            </w:rPr>
                            <w:tag w:val="priceChart"/>
                            <w:id w:val="170929061"/>
                          </w:sdtPr>
                          <w:sdtEndPr/>
                          <w:sdtContent>
                            <w:tc>
                              <w:tcPr>
                                <w:tcW w:w="3183" w:type="dxa"/>
                                <w:shd w:val="clear" w:color="auto" w:fill="auto"/>
                              </w:tcPr>
                              <w:p w:rsidR="00A0169C" w:rsidRDefault="007F3ED6" w:rsidP="007F3ED6">
                                <w:pPr>
                                  <w:pStyle w:val="CIRCaption"/>
                                  <w:spacing w:afterLines="30" w:after="72"/>
                                  <w:rPr>
                                    <w:lang w:eastAsia="zh-TW"/>
                                  </w:rPr>
                                </w:pPr>
                                <w:r>
                                  <w:rPr>
                                    <w:noProof/>
                                  </w:rPr>
                                  <w:drawing>
                                    <wp:inline distT="0" distB="0" distL="0" distR="0" wp14:anchorId="16E857F0" wp14:editId="6A8241EA">
                                      <wp:extent cx="2006600" cy="1176655"/>
                                      <wp:effectExtent l="0" t="0" r="0" b="444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06600" cy="1176655"/>
                                              </a:xfrm>
                                              <a:prstGeom prst="rect">
                                                <a:avLst/>
                                              </a:prstGeom>
                                            </pic:spPr>
                                          </pic:pic>
                                        </a:graphicData>
                                      </a:graphic>
                                    </wp:inline>
                                  </w:drawing>
                                </w:r>
                              </w:p>
                            </w:tc>
                          </w:sdtContent>
                        </w:sdt>
                      </w:tr>
                    </w:tbl>
                    <w:p w:rsidR="00A0169C" w:rsidRDefault="00A0169C">
                      <w:pPr>
                        <w:pStyle w:val="CIRVideoLink"/>
                      </w:pPr>
                      <w:bookmarkStart w:id="17" w:name="bkm_VideoLink"/>
                      <w:bookmarkEnd w:id="17"/>
                    </w:p>
                    <w:p w:rsidR="00A0169C" w:rsidRDefault="00A0169C">
                      <w:bookmarkStart w:id="18" w:name="bkm_VideoImage"/>
                      <w:bookmarkEnd w:id="18"/>
                    </w:p>
                    <w:p w:rsidR="00A0169C" w:rsidRDefault="00A0169C"/>
                  </w:txbxContent>
                </v:textbox>
                <w10:wrap anchorx="page" anchory="page"/>
                <w10:anchorlock/>
              </v:shape>
            </w:pict>
          </w:r>
          <w:r>
            <w:rPr>
              <w:noProof/>
            </w:rPr>
            <w:pict>
              <v:shape id="shpAuthorBlock" o:spid="_x0000_s1030" type="#_x0000_t202" style="position:absolute;margin-left:403.2pt;margin-top:550pt;width:158.4pt;height:140.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" filled="f" stroked="f">
                <v:textbox style="mso-next-textbox:#shpAuthorBlock" inset="0,0,0,0">
                  <w:txbxContent>
                    <w:bookmarkStart w:id="19" w:name="bkm_AuthorBlock" w:displacedByCustomXml="next"/>
                    <w:bookmarkEnd w:id="19" w:displacedByCustomXml="next"/>
                    <w:sdt>
                      <w:sdtPr>
                        <w:rPr>
                          <w:b w:val="0"/>
                          <w:bCs w:val="0"/>
                          <w:sz w:val="16"/>
                          <w:szCs w:val="16"/>
                          <w:lang w:eastAsia="en-US"/>
                        </w:rPr>
                        <w:tag w:val="Analysts"/>
                        <w:id w:val="-614291839"/>
                      </w:sdtPr>
                      <w:sdtEndPr/>
                      <w:sdtContent>
                        <w:tbl>
                          <w:tblPr>
                            <w:tblStyle w:val="CIRTableTopBorder"/>
                            <w:tblW w:w="3179" w:type="dxa"/>
                            <w:tblLayout w:type="fixed"/>
                            <w:tblLook w:val="0000" w:firstRow="0" w:lastRow="0" w:firstColumn="0" w:lastColumn="0" w:noHBand="0" w:noVBand="0"/>
                          </w:tblPr>
                          <w:tblGrid>
                            <w:gridCol w:w="3179"/>
                          </w:tblGrid>
                          <w:tr w:rsidR="007F3ED6" w:rsidTr="00C928D5">
                            <w:tc>
                              <w:tcPr>
                                <w:tcW w:w="3179" w:type="dxa"/>
                              </w:tcPr>
                              <w:p w:rsidR="007F3ED6" w:rsidRDefault="007F3ED6">
                                <w:pPr>
                                  <w:pStyle w:val="CIRAuthorNamePrimary"/>
                                </w:pPr>
                                <w:r>
                                  <w:t>Daniel Arias</w:t>
                                </w:r>
                              </w:p>
                            </w:tc>
                          </w:tr>
                          <w:tr w:rsidR="007F3ED6" w:rsidTr="00C928D5">
                            <w:tc>
                              <w:tcPr>
                                <w:tcW w:w="3179" w:type="dxa"/>
                              </w:tcPr>
                              <w:p w:rsidR="007F3ED6" w:rsidRDefault="007F3ED6">
                                <w:pPr>
                                  <w:pStyle w:val="CIRAuthorData"/>
                                </w:pPr>
                                <w:r>
                                  <w:t>+1-212-816-4069</w:t>
                                </w:r>
                              </w:p>
                            </w:tc>
                          </w:tr>
                          <w:tr w:rsidR="007F3ED6" w:rsidTr="00C928D5">
                            <w:tc>
                              <w:tcPr>
                                <w:tcW w:w="3179" w:type="dxa"/>
                              </w:tcPr>
                              <w:p w:rsidR="007F3ED6" w:rsidRDefault="007F3ED6">
                                <w:pPr>
                                  <w:pStyle w:val="CIRAuthorData"/>
                                </w:pPr>
                                <w:r>
                                  <w:t>publicitisystemtesters@imcnam.ssmb.com</w:t>
                                </w:r>
                              </w:p>
                            </w:tc>
                          </w:tr>
                          <w:tr w:rsidR="007F3ED6" w:rsidTr="00C928D5">
                            <w:tc>
                              <w:tcPr>
                                <w:tcW w:w="3179" w:type="dxa"/>
                              </w:tcPr>
                              <w:p w:rsidR="007F3ED6" w:rsidRDefault="007F3ED6">
                                <w:pPr>
                                  <w:pStyle w:val="CIRAuthorData"/>
                                </w:pPr>
                                <w:r>
                                  <w:t> </w:t>
                                </w:r>
                              </w:p>
                            </w:tc>
                          </w:tr>
                        </w:tbl>
                      </w:sdtContent>
                    </w:sdt>
                    <w:p w:rsidR="00A0169C" w:rsidRDefault="00A0169C">
                      <w:pPr>
                        <w:pStyle w:val="CIRAuthorName"/>
                        <w:rPr>
                          <w:rFonts w:cs="Times New Roman"/>
                        </w:rPr>
                      </w:pPr>
                    </w:p>
                  </w:txbxContent>
                </v:textbox>
                <w10:wrap anchorx="page" anchory="page"/>
                <w10:anchorlock/>
              </v:shape>
            </w:pict>
          </w:r>
          <w:r>
            <w:rPr>
              <w:noProof/>
            </w:rPr>
            <w:pict>
              <v:line id="shpAuthorLine" o:spid="_x0000_s1029"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3.2pt,693pt" to="561.6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" strokecolor="#002d72" strokeweight="1pt">
                <w10:wrap anchorx="page" anchory="page"/>
                <w10:anchorlock/>
              </v:line>
            </w:pict>
          </w:r>
          <w:r>
            <w:rPr>
              <w:noProof/>
            </w:rPr>
            <w:pict>
              <v:line id="shpFPTableBLine" o:spid="_x0000_s1028"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4pt,693pt" to="50.4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" strokecolor="#002d72" strokeweight="1pt">
                <w10:wrap anchorx="page" anchory="page"/>
                <w10:anchorlock/>
              </v:line>
            </w:pict>
          </w:r>
          <w:r>
            <w:rPr>
              <w:noProof/>
            </w:rPr>
            <w:pict>
              <v:line id="shpFPTableALine" o:spid="_x0000_s1027" style="position:absolute;z-index:251660288;visibility:visible;mso-wrap-style:squar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 from="50.4pt,693pt" to="385.4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" strokecolor="#002d72" strokeweight="1pt">
                <w10:wrap anchorx="page" anchory="page"/>
                <w10:anchorlock/>
              </v:line>
            </w:pict>
          </w:r>
          <w:r>
            <w:rPr>
              <w:noProof/>
            </w:rPr>
            <w:pict>
              <v:shape id="shpQualifier" o:spid="_x0000_s1026" type="#_x0000_t202" style="position:absolute;margin-left:403.2pt;margin-top:117pt;width:163.45pt;height:65.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" filled="f" stroked="f">
                <v:textbox style="mso-next-textbox:#shpQualifier" inset="0,0,0,0">
                  <w:txbxContent>
                    <w:tbl>
                      <w:tblPr>
                        <w:tblW w:w="3269" w:type="dxa"/>
                        <w:tblLayout w:type="fixed"/>
                        <w:tblCellMar>
                          <w:left w:w="0" w:type="dxa"/>
                          <w:right w:w="0" w:type="dxa"/>
                        </w:tblCellMar>
                        <w:tblLook w:val="01E0" w:firstRow="1" w:lastRow="1" w:firstColumn="1" w:lastColumn="1" w:noHBand="0" w:noVBand="0"/>
                      </w:tblPr>
                      <w:tblGrid>
                        <w:gridCol w:w="3269"/>
                      </w:tblGrid>
                      <w:tr w:rsidR="00A0169C">
                        <w:trPr>
                          <w:trHeight w:val="1296"/>
                        </w:trPr>
                        <w:bookmarkStart w:id="20" w:name="bkm_Qualifier" w:displacedByCustomXml="next"/>
                        <w:bookmarkEnd w:id="20" w:displacedByCustomXml="next"/>
                        <w:sdt>
                          <w:sdtPr>
                            <w:tag w:val="summaryOfChanges"/>
                            <w:id w:val="-1957940034"/>
                          </w:sdtPr>
                          <w:sdtEndPr/>
                          <w:sdtContent>
                            <w:tc>
                              <w:tcPr>
                                <w:tcW w:w="3269" w:type="dxa"/>
                                <w:shd w:val="clear" w:color="auto" w:fill="auto"/>
                                <w:tcMar>
                                  <w:top w:w="230" w:type="dxa"/>
                                </w:tcMar>
                              </w:tcPr>
                              <w:p w:rsidR="007F3ED6" w:rsidRDefault="007F3ED6" w:rsidP="007F3ED6">
                                <w:pPr>
                                  <w:pStyle w:val="CIRQualifierActive"/>
                                  <w:numPr>
                                    <w:ilvl w:val="0"/>
                                    <w:numId w:val="0"/>
                                  </w:numPr>
                                </w:pPr>
                              </w:p>
                              <w:p w:rsidR="007F3ED6" w:rsidRDefault="007F3ED6" w:rsidP="007F3ED6">
                                <w:pPr>
                                  <w:pStyle w:val="CIRQualifierActive"/>
                                  <w:numPr>
                                    <w:ilvl w:val="0"/>
                                    <w:numId w:val="0"/>
                                  </w:numPr>
                                </w:pPr>
                              </w:p>
                              <w:p w:rsidR="007F3ED6" w:rsidRDefault="007F3ED6" w:rsidP="007F3ED6">
                                <w:pPr>
                                  <w:pStyle w:val="CIRQualifierActive"/>
                                  <w:numPr>
                                    <w:ilvl w:val="0"/>
                                    <w:numId w:val="0"/>
                                  </w:numPr>
                                </w:pPr>
                              </w:p>
                              <w:p w:rsidR="007F3ED6" w:rsidRDefault="007F3ED6" w:rsidP="007F3ED6">
                                <w:pPr>
                                  <w:pStyle w:val="CIRQualifierActive"/>
                                  <w:numPr>
                                    <w:ilvl w:val="0"/>
                                    <w:numId w:val="0"/>
                                  </w:numPr>
                                </w:pPr>
                              </w:p>
                              <w:p w:rsidR="007F3ED6" w:rsidRDefault="007F3ED6" w:rsidP="007F3ED6">
                                <w:pPr>
                                  <w:pStyle w:val="CIRQualifierActive"/>
                                  <w:numPr>
                                    <w:ilvl w:val="0"/>
                                    <w:numId w:val="0"/>
                                  </w:numPr>
                                </w:pPr>
                              </w:p>
                              <w:p w:rsidR="007F3ED6" w:rsidRDefault="007F3ED6" w:rsidP="007F3ED6">
                                <w:pPr>
                                  <w:pStyle w:val="CIRQualifierActive"/>
                                  <w:numPr>
                                    <w:ilvl w:val="0"/>
                                    <w:numId w:val="0"/>
                                  </w:numPr>
                                </w:pPr>
                              </w:p>
                              <w:p w:rsidR="00A0169C" w:rsidRDefault="00A0169C" w:rsidP="007F3ED6">
                                <w:pPr>
                                  <w:pStyle w:val="CIRQualifierActive"/>
                                  <w:numPr>
                                    <w:ilvl w:val="0"/>
                                    <w:numId w:val="0"/>
                                  </w:numPr>
                                </w:pPr>
                              </w:p>
                            </w:tc>
                          </w:sdtContent>
                        </w:sdt>
                      </w:tr>
                    </w:tbl>
                    <w:p w:rsidR="00A0169C" w:rsidRDefault="00A0169C">
                      <w:pPr>
                        <w:pStyle w:val="CIRQualifierActive"/>
                        <w:numPr>
                          <w:ilvl w:val="0"/>
                          <w:numId w:val="6"/>
                        </w:numPr>
                      </w:pPr>
                    </w:p>
                  </w:txbxContent>
                </v:textbox>
                <w10:wrap anchorx="page" anchory="page"/>
                <w10:anchorlock/>
              </v:shape>
            </w:pict>
          </w:r>
        </w:p>
        <w:bookmarkStart w:id="21" w:name="bkm_Company" w:displacedByCustomXml="next"/>
        <w:bookmarkEnd w:id="21" w:displacedByCustomXml="next"/>
        <w:sdt>
          <w:sdtPr>
            <w:tag w:val="issuer"/>
            <w:id w:val="2001543844"/>
            <w:placeholder>
              <w:docPart w:val="F7EF95DE898540D589C6A5105A05C02C"/>
            </w:placeholder>
          </w:sdtPr>
          <w:sdtEndPr/>
          <w:sdtContent>
            <w:p w:rsidR="00A0169C" w:rsidRDefault="007F3ED6" w:rsidP="007F3ED6">
              <w:pPr>
                <w:pStyle w:val="CIRTitle"/>
              </w:pPr>
              <w:r>
                <w:t>Bruker Corp (BRKR)</w:t>
              </w:r>
            </w:p>
          </w:sdtContent>
        </w:sdt>
        <w:bookmarkStart w:id="22" w:name="bkm_Headline" w:displacedByCustomXml="next"/>
        <w:bookmarkEnd w:id="22" w:displacedByCustomXml="next"/>
        <w:sdt>
          <w:sdtPr>
            <w:tag w:val="documentTitle"/>
            <w:id w:val="1522895846"/>
            <w:placeholder>
              <w:docPart w:val="F497FB9DE1BB43A68A5C1B872A41E0F6"/>
            </w:placeholder>
          </w:sdtPr>
          <w:sdtEndPr/>
          <w:sdtContent>
            <w:sdt>
              <w:sdtPr>
                <w:tag w:val="titleText"/>
                <w:id w:val="1966237881"/>
                <w:placeholder>
                  <w:docPart w:val="DE85D69E2CD54758B73BA6F1391AFAB0"/>
                </w:placeholder>
              </w:sdtPr>
              <w:sdtEndPr/>
              <w:sdtContent>
                <w:permStart w:id="1761169675" w:edGrp="everyone" w:displacedByCustomXml="prev"/>
                <w:p w:rsidR="00A0169C" w:rsidRDefault="007F3ED6" w:rsidP="007F3ED6">
                  <w:pPr>
                    <w:pStyle w:val="CIRHeadline"/>
                    <w:tabs>
                      <w:tab w:val="left" w:pos="1"/>
                    </w:tabs>
                  </w:pPr>
                  <w:r>
                    <w:tab/>
                  </w:r>
                  <w:r w:rsidR="00823674">
                    <w:t>QA TEST Ajay</w:t>
                  </w:r>
                </w:p>
                <w:permEnd w:id="1761169675" w:displacedByCustomXml="next"/>
              </w:sdtContent>
            </w:sdt>
          </w:sdtContent>
        </w:sdt>
        <w:sdt>
          <w:sdtPr>
            <w:tag w:val="abstract"/>
            <w:id w:val="-1052685909"/>
            <w:placeholder>
              <w:docPart w:val="57F9605CD1D1458D906797A4F0285562"/>
            </w:placeholder>
          </w:sdtPr>
          <w:sdtEndPr/>
          <w:sdtContent>
            <w:bookmarkStart w:id="23" w:name="_GoBack" w:displacedByCustomXml="prev"/>
            <w:p w:rsidR="00A0169C" w:rsidRDefault="00A0169C">
              <w:pPr>
                <w:spacing w:line="14" w:lineRule="auto"/>
              </w:pPr>
            </w:p>
            <w:p w:rsidR="00823674" w:rsidRPr="00D91186" w:rsidRDefault="00823674" w:rsidP="00823674">
              <w:pPr>
                <w:pStyle w:val="CIRFPBullet"/>
                <w:numPr>
                  <w:ilvl w:val="0"/>
                  <w:numId w:val="2"/>
                </w:numPr>
              </w:pPr>
              <w:bookmarkStart w:id="24" w:name="bkm_FPBullets"/>
              <w:bookmarkEnd w:id="24"/>
              <w:permStart w:id="1350070004" w:edGrp="everyone"/>
              <w:r>
                <w:rPr>
                  <w:b/>
                </w:rPr>
                <w:t xml:space="preserve">Initiate with a Buy and a </w:t>
              </w:r>
              <w:r w:rsidRPr="00B05C43">
                <w:rPr>
                  <w:b/>
                </w:rPr>
                <w:t xml:space="preserve">DKr158 TP (+23.8% ETR) </w:t>
              </w:r>
              <w:r w:rsidRPr="00B05C43">
                <w:t>— We believe that GN can deliver a FY14-17E sales CAGR of 9.8% and an</w:t>
              </w:r>
              <w:r w:rsidRPr="00042CC6">
                <w:t xml:space="preserve"> EPS CAGR of 19.7%, supported by a DKr1bn (&gt;4%) annual share buyback. GN’s wireless connectivity advantage in hearing aids (Made for iPhone, etc) should last until 2016-17E, while the increasing uptake of Unified Communications (UC) technology should accelerate</w:t>
              </w:r>
              <w:r w:rsidRPr="00D91186">
                <w:t xml:space="preserve"> growth and margin for its headset business, Netcom, in our view. </w:t>
              </w:r>
            </w:p>
            <w:p w:rsidR="00823674" w:rsidRPr="00CD0FF0" w:rsidRDefault="00823674" w:rsidP="00823674">
              <w:pPr>
                <w:pStyle w:val="CIRFPBullet"/>
                <w:numPr>
                  <w:ilvl w:val="0"/>
                  <w:numId w:val="2"/>
                </w:numPr>
              </w:pPr>
              <w:r>
                <w:rPr>
                  <w:b/>
                </w:rPr>
                <w:t xml:space="preserve">Our 2017E Netcom (headset) EBITA is 14% ahead </w:t>
              </w:r>
              <w:r w:rsidRPr="00D91186">
                <w:rPr>
                  <w:b/>
                </w:rPr>
                <w:t xml:space="preserve">of consensus </w:t>
              </w:r>
              <w:r w:rsidRPr="00D91186">
                <w:t>— We expect GN to gain further share in the UC headset market in 2015-16 due to a recent large contract win, driving a &gt;25% UC sales CAGR and accelerating Netcom’s organic growth from 10% in 2014E to 14% in 2016E vs 12% consensus. Given we estimate that UC is accretive to Netcom’s margin and our expectation of a turnaround in</w:t>
              </w:r>
              <w:r w:rsidRPr="00CD0FF0">
                <w:t xml:space="preserve"> the music-product margin following a portfolio optimization in 1H14, we forecast a turnaround in Netcom’s EBITA margin from 17.8% in 2014E to 20.3% in 2017E (150bp ahead of cons</w:t>
              </w:r>
              <w:r>
                <w:t>. at 18.8%</w:t>
              </w:r>
              <w:r w:rsidRPr="00CD0FF0">
                <w:t xml:space="preserve">). </w:t>
              </w:r>
            </w:p>
            <w:p w:rsidR="00823674" w:rsidRPr="00D91186" w:rsidRDefault="00823674" w:rsidP="00823674">
              <w:pPr>
                <w:pStyle w:val="CIRFPBullet"/>
                <w:numPr>
                  <w:ilvl w:val="0"/>
                  <w:numId w:val="2"/>
                </w:numPr>
              </w:pPr>
              <w:r w:rsidRPr="00A73606">
                <w:rPr>
                  <w:b/>
                </w:rPr>
                <w:t xml:space="preserve">Cautious on 1H15 margin </w:t>
              </w:r>
              <w:r>
                <w:t xml:space="preserve">— </w:t>
              </w:r>
              <w:r w:rsidRPr="00A73606">
                <w:t>While we are positive on the mid-term outlook for GN, we would caution that the company could continue to face margin head</w:t>
              </w:r>
              <w:r>
                <w:t xml:space="preserve">winds from US$ strength in 1H15 (due to having hedged 1-yr </w:t>
              </w:r>
              <w:r w:rsidRPr="000A468D">
                <w:t>fwd), before this reverses</w:t>
              </w:r>
              <w:r w:rsidRPr="00A73606">
                <w:t xml:space="preserve"> from 2H15. </w:t>
              </w:r>
              <w:r w:rsidRPr="008B4069">
                <w:t>Further to this</w:t>
              </w:r>
              <w:r>
                <w:t>,</w:t>
              </w:r>
              <w:r w:rsidRPr="008B4069">
                <w:t xml:space="preserve"> there could be an ongoing headwind from a narrowing gap between R&amp;D </w:t>
              </w:r>
              <w:r>
                <w:t xml:space="preserve">capitalisation and amortization, but we feel this is now better </w:t>
              </w:r>
              <w:r w:rsidRPr="00D91186">
                <w:t>understood than with Sonova, given it was flagged by the CFO on the 3Q call.</w:t>
              </w:r>
            </w:p>
            <w:p w:rsidR="00A0169C" w:rsidRDefault="00823674">
              <w:pPr>
                <w:pStyle w:val="CIRFPBullet"/>
                <w:numPr>
                  <w:ilvl w:val="0"/>
                  <w:numId w:val="0"/>
                </w:numPr>
                <w:rPr>
                  <w:rFonts w:cs="Times New Roman"/>
                </w:rPr>
              </w:pPr>
              <w:r w:rsidRPr="00823674">
                <w:rPr>
                  <w:b/>
                </w:rPr>
                <w:t xml:space="preserve">PEG of 0.8x; recent de-rating largely factors in near-term risks </w:t>
              </w:r>
              <w:r>
                <w:t xml:space="preserve">— GN is trading </w:t>
              </w:r>
              <w:r w:rsidRPr="00B05C43">
                <w:t>on 16.2x our 2016E adj. EPS, which is &lt;1% above consensus, for an estimated 2014E-17E adj. EPS CAGR of 19.7% (PEG 0.8x)</w:t>
              </w:r>
              <w:r w:rsidRPr="004D51F8">
                <w:t xml:space="preserve"> vs</w:t>
              </w:r>
              <w:r>
                <w:t xml:space="preserve"> 13% for the sector (PEG 1.4x). This is a 9</w:t>
              </w:r>
              <w:r w:rsidRPr="00872704">
                <w:t xml:space="preserve">% </w:t>
              </w:r>
              <w:r w:rsidRPr="00D91186">
                <w:t>P/E d</w:t>
              </w:r>
              <w:r w:rsidRPr="00872704">
                <w:t>iscount</w:t>
              </w:r>
              <w:r>
                <w:t xml:space="preserve"> to the sector despite GN’s superior earnings growth, on our forecasts, and we therefore believe GN’s recent de-rating largely factors in near-term risks to margin and GN’s Costco Kirkland Signature contract. </w:t>
              </w:r>
            </w:p>
            <w:p w:rsidR="00A0169C" w:rsidRDefault="006460EA">
              <w:pPr>
                <w:spacing w:line="14" w:lineRule="auto"/>
              </w:pPr>
            </w:p>
            <w:permEnd w:id="1350070004" w:displacedByCustomXml="next"/>
            <w:bookmarkEnd w:id="23" w:displacedByCustomXml="next"/>
          </w:sdtContent>
        </w:sdt>
      </w:sdtContent>
    </w:sdt>
    <w:p w:rsidR="00A0169C" w:rsidRDefault="00A0169C">
      <w:pPr>
        <w:sectPr w:rsidR="00A0169C">
          <w:headerReference w:type="default" r:id="rId14"/>
          <w:footerReference w:type="default" r:id="rId15"/>
          <w:pgSz w:w="12240" w:h="15840"/>
          <w:pgMar w:top="1584" w:right="4536" w:bottom="2160" w:left="1008" w:header="144" w:footer="346" w:gutter="0"/>
          <w:cols w:space="720"/>
          <w:docGrid w:linePitch="360"/>
        </w:sectPr>
      </w:pPr>
    </w:p>
    <w:tbl>
      <w:tblPr>
        <w:tblW w:w="10166" w:type="dxa"/>
        <w:tblInd w:w="115" w:type="dxa"/>
        <w:tblLayout w:type="fixed"/>
        <w:tblCellMar>
          <w:left w:w="43" w:type="dxa"/>
          <w:right w:w="14" w:type="dxa"/>
        </w:tblCellMar>
        <w:tblLook w:val="0000" w:firstRow="0" w:lastRow="0" w:firstColumn="0" w:lastColumn="0" w:noHBand="0" w:noVBand="0"/>
        <w:tblCaption w:val="FinSum"/>
        <w:tblDescription w:val="BRKR.US"/>
      </w:tblPr>
      <w:tblGrid>
        <w:gridCol w:w="1618"/>
        <w:gridCol w:w="675"/>
        <w:gridCol w:w="675"/>
        <w:gridCol w:w="7"/>
        <w:gridCol w:w="678"/>
        <w:gridCol w:w="679"/>
        <w:gridCol w:w="684"/>
        <w:gridCol w:w="76"/>
        <w:gridCol w:w="1764"/>
        <w:gridCol w:w="666"/>
        <w:gridCol w:w="666"/>
        <w:gridCol w:w="657"/>
        <w:gridCol w:w="657"/>
        <w:gridCol w:w="664"/>
      </w:tblGrid>
      <w:tr w:rsidR="007F3ED6" w:rsidRPr="00C673C6">
        <w:trPr>
          <w:trHeight w:hRule="exact" w:val="259"/>
        </w:trPr>
        <w:tc>
          <w:tcPr>
            <w:tcW w:w="2968" w:type="dxa"/>
            <w:gridSpan w:val="3"/>
            <w:tcBorders>
              <w:top w:val="single" w:sz="24" w:space="0" w:color="002D72"/>
              <w:left w:val="nil"/>
              <w:right w:val="nil"/>
            </w:tcBorders>
            <w:shd w:val="clear" w:color="auto" w:fill="auto"/>
            <w:noWrap/>
            <w:tcMar>
              <w:left w:w="14" w:type="dxa"/>
              <w:right w:w="-1" w:type="dxa"/>
            </w:tcMar>
          </w:tcPr>
          <w:p w:rsidR="007F3ED6" w:rsidRPr="00C673C6" w:rsidRDefault="007F3ED6" w:rsidP="007F3ED6">
            <w:pPr>
              <w:spacing w:line="240" w:lineRule="auto"/>
              <w:rPr>
                <w:rFonts w:ascii="Arial Narrow" w:hAnsi="Arial Narrow"/>
                <w:b/>
                <w:bCs/>
                <w:sz w:val="16"/>
                <w:szCs w:val="16"/>
              </w:rPr>
            </w:pPr>
            <w:bookmarkStart w:id="30" w:name="bkm_FinSum"/>
            <w:bookmarkEnd w:id="30"/>
            <w:r w:rsidRPr="00C673C6">
              <w:rPr>
                <w:rFonts w:ascii="Arial Narrow" w:hAnsi="Arial Narrow"/>
                <w:b/>
                <w:bCs/>
                <w:sz w:val="16"/>
                <w:szCs w:val="16"/>
              </w:rPr>
              <w:lastRenderedPageBreak/>
              <w:t>BRKR.O: Fiscal year end 31-Dec</w:t>
            </w:r>
          </w:p>
          <w:p w:rsidR="007F3ED6" w:rsidRPr="00C673C6" w:rsidRDefault="007F3ED6" w:rsidP="007F3ED6">
            <w:pPr>
              <w:spacing w:line="240" w:lineRule="auto"/>
              <w:rPr>
                <w:rFonts w:ascii="Arial Narrow" w:hAnsi="Arial Narrow"/>
                <w:b/>
                <w:bCs/>
                <w:sz w:val="16"/>
                <w:szCs w:val="16"/>
              </w:rPr>
            </w:pPr>
          </w:p>
        </w:tc>
        <w:tc>
          <w:tcPr>
            <w:tcW w:w="7198" w:type="dxa"/>
            <w:gridSpan w:val="11"/>
            <w:tcBorders>
              <w:top w:val="single" w:sz="24" w:space="0" w:color="002D72"/>
              <w:left w:val="nil"/>
              <w:right w:val="nil"/>
            </w:tcBorders>
            <w:shd w:val="clear" w:color="auto" w:fill="auto"/>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Price: US$18.31;  TP: US$27.00;  Market Cap: US$3,077m;  Recomm: Buy</w:t>
            </w:r>
          </w:p>
          <w:p w:rsidR="007F3ED6" w:rsidRPr="00C673C6" w:rsidRDefault="007F3ED6" w:rsidP="007F3ED6">
            <w:pPr>
              <w:spacing w:line="240" w:lineRule="auto"/>
              <w:jc w:val="right"/>
              <w:rPr>
                <w:rFonts w:ascii="Arial Narrow" w:hAnsi="Arial Narrow"/>
                <w:b/>
                <w:bCs/>
                <w:sz w:val="16"/>
                <w:szCs w:val="16"/>
              </w:rPr>
            </w:pPr>
          </w:p>
        </w:tc>
      </w:tr>
      <w:tr w:rsidR="007F3ED6" w:rsidRPr="00C673C6" w:rsidTr="00A5383C">
        <w:trPr>
          <w:trHeight w:hRule="exact" w:val="230"/>
        </w:trPr>
        <w:tc>
          <w:tcPr>
            <w:tcW w:w="1618" w:type="dxa"/>
            <w:tcBorders>
              <w:left w:val="nil"/>
              <w:bottom w:val="single" w:sz="12" w:space="0" w:color="002D72"/>
              <w:right w:val="nil"/>
            </w:tcBorders>
            <w:shd w:val="clear" w:color="auto" w:fill="auto"/>
            <w:noWrap/>
            <w:tcMar>
              <w:left w:w="14" w:type="dxa"/>
              <w:right w:w="-1" w:type="dxa"/>
            </w:tcMar>
            <w:vAlign w:val="center"/>
          </w:tcPr>
          <w:p w:rsidR="007F3ED6" w:rsidRPr="00A5383C" w:rsidRDefault="007F3ED6" w:rsidP="007F3ED6">
            <w:pPr>
              <w:spacing w:line="240" w:lineRule="auto"/>
              <w:rPr>
                <w:rFonts w:ascii="Arial Narrow" w:hAnsi="Arial Narrow"/>
                <w:b/>
                <w:bCs/>
                <w:sz w:val="16"/>
                <w:szCs w:val="16"/>
              </w:rPr>
            </w:pPr>
            <w:r w:rsidRPr="00A5383C">
              <w:rPr>
                <w:rFonts w:ascii="Arial Narrow" w:hAnsi="Arial Narrow"/>
                <w:b/>
                <w:bCs/>
                <w:sz w:val="16"/>
                <w:szCs w:val="16"/>
              </w:rPr>
              <w:t>Profit &amp; Loss (US$m)</w:t>
            </w:r>
          </w:p>
        </w:tc>
        <w:tc>
          <w:tcPr>
            <w:tcW w:w="675" w:type="dxa"/>
            <w:tcBorders>
              <w:left w:val="nil"/>
              <w:bottom w:val="single" w:sz="12" w:space="0" w:color="002D72"/>
              <w:right w:val="nil"/>
            </w:tcBorders>
            <w:shd w:val="clear" w:color="auto" w:fill="auto"/>
            <w:noWrap/>
            <w:tcMar>
              <w:left w:w="14" w:type="dxa"/>
              <w:right w:w="-1" w:type="dxa"/>
            </w:tcMar>
            <w:vAlign w:val="center"/>
          </w:tcPr>
          <w:p w:rsidR="007F3ED6" w:rsidRPr="00A5383C" w:rsidRDefault="007F3ED6" w:rsidP="007F3ED6">
            <w:pPr>
              <w:spacing w:line="240" w:lineRule="auto"/>
              <w:jc w:val="right"/>
              <w:rPr>
                <w:rFonts w:ascii="Arial Narrow" w:hAnsi="Arial Narrow"/>
                <w:b/>
                <w:bCs/>
                <w:sz w:val="16"/>
                <w:szCs w:val="16"/>
              </w:rPr>
            </w:pPr>
            <w:bookmarkStart w:id="31" w:name="RANGE!G3:K3"/>
            <w:r w:rsidRPr="00A5383C">
              <w:rPr>
                <w:rFonts w:ascii="Arial Narrow" w:hAnsi="Arial Narrow"/>
                <w:b/>
                <w:bCs/>
                <w:sz w:val="16"/>
                <w:szCs w:val="16"/>
              </w:rPr>
              <w:t>2012</w:t>
            </w:r>
            <w:bookmarkEnd w:id="31"/>
          </w:p>
        </w:tc>
        <w:tc>
          <w:tcPr>
            <w:tcW w:w="682" w:type="dxa"/>
            <w:gridSpan w:val="2"/>
            <w:tcBorders>
              <w:left w:val="nil"/>
              <w:bottom w:val="single" w:sz="12" w:space="0" w:color="002D72"/>
              <w:right w:val="nil"/>
            </w:tcBorders>
            <w:shd w:val="clear" w:color="auto" w:fill="auto"/>
            <w:noWrap/>
            <w:tcMar>
              <w:left w:w="14" w:type="dxa"/>
              <w:right w:w="-1" w:type="dxa"/>
            </w:tcMar>
            <w:vAlign w:val="center"/>
          </w:tcPr>
          <w:p w:rsidR="007F3ED6" w:rsidRPr="00A5383C" w:rsidRDefault="007F3ED6" w:rsidP="007F3ED6">
            <w:pPr>
              <w:spacing w:line="240" w:lineRule="auto"/>
              <w:jc w:val="right"/>
              <w:rPr>
                <w:rFonts w:ascii="Arial Narrow" w:hAnsi="Arial Narrow"/>
                <w:b/>
                <w:bCs/>
                <w:sz w:val="16"/>
                <w:szCs w:val="16"/>
              </w:rPr>
            </w:pPr>
            <w:r w:rsidRPr="00A5383C">
              <w:rPr>
                <w:rFonts w:ascii="Arial Narrow" w:hAnsi="Arial Narrow"/>
                <w:b/>
                <w:bCs/>
                <w:sz w:val="16"/>
                <w:szCs w:val="16"/>
              </w:rPr>
              <w:t>2013</w:t>
            </w:r>
          </w:p>
        </w:tc>
        <w:tc>
          <w:tcPr>
            <w:tcW w:w="678" w:type="dxa"/>
            <w:tcBorders>
              <w:left w:val="nil"/>
              <w:bottom w:val="single" w:sz="12" w:space="0" w:color="002D72"/>
              <w:right w:val="nil"/>
            </w:tcBorders>
            <w:shd w:val="clear" w:color="auto" w:fill="auto"/>
            <w:noWrap/>
            <w:tcMar>
              <w:left w:w="14" w:type="dxa"/>
              <w:right w:w="-1" w:type="dxa"/>
            </w:tcMar>
            <w:vAlign w:val="center"/>
          </w:tcPr>
          <w:p w:rsidR="007F3ED6" w:rsidRPr="00A5383C" w:rsidRDefault="007F3ED6" w:rsidP="007F3ED6">
            <w:pPr>
              <w:spacing w:line="240" w:lineRule="auto"/>
              <w:jc w:val="right"/>
              <w:rPr>
                <w:rFonts w:ascii="Arial Narrow" w:hAnsi="Arial Narrow"/>
                <w:b/>
                <w:bCs/>
                <w:sz w:val="16"/>
                <w:szCs w:val="16"/>
              </w:rPr>
            </w:pPr>
            <w:r w:rsidRPr="00A5383C">
              <w:rPr>
                <w:rFonts w:ascii="Arial Narrow" w:hAnsi="Arial Narrow"/>
                <w:b/>
                <w:bCs/>
                <w:sz w:val="16"/>
                <w:szCs w:val="16"/>
              </w:rPr>
              <w:t>2014E</w:t>
            </w:r>
          </w:p>
        </w:tc>
        <w:tc>
          <w:tcPr>
            <w:tcW w:w="679" w:type="dxa"/>
            <w:tcBorders>
              <w:left w:val="nil"/>
              <w:bottom w:val="single" w:sz="12" w:space="0" w:color="002D72"/>
              <w:right w:val="nil"/>
            </w:tcBorders>
            <w:shd w:val="clear" w:color="auto" w:fill="auto"/>
            <w:noWrap/>
            <w:tcMar>
              <w:left w:w="14" w:type="dxa"/>
              <w:right w:w="-1" w:type="dxa"/>
            </w:tcMar>
            <w:vAlign w:val="center"/>
          </w:tcPr>
          <w:p w:rsidR="007F3ED6" w:rsidRPr="00A5383C" w:rsidRDefault="007F3ED6" w:rsidP="007F3ED6">
            <w:pPr>
              <w:spacing w:line="240" w:lineRule="auto"/>
              <w:jc w:val="right"/>
              <w:rPr>
                <w:rFonts w:ascii="Arial Narrow" w:hAnsi="Arial Narrow"/>
                <w:b/>
                <w:bCs/>
                <w:sz w:val="16"/>
                <w:szCs w:val="16"/>
              </w:rPr>
            </w:pPr>
            <w:r w:rsidRPr="00A5383C">
              <w:rPr>
                <w:rFonts w:ascii="Arial Narrow" w:hAnsi="Arial Narrow"/>
                <w:b/>
                <w:bCs/>
                <w:sz w:val="16"/>
                <w:szCs w:val="16"/>
              </w:rPr>
              <w:t>2015E</w:t>
            </w:r>
          </w:p>
        </w:tc>
        <w:tc>
          <w:tcPr>
            <w:tcW w:w="684" w:type="dxa"/>
            <w:tcBorders>
              <w:left w:val="nil"/>
              <w:bottom w:val="single" w:sz="12" w:space="0" w:color="002D72"/>
              <w:right w:val="nil"/>
            </w:tcBorders>
            <w:shd w:val="clear" w:color="auto" w:fill="auto"/>
            <w:noWrap/>
            <w:tcMar>
              <w:left w:w="14" w:type="dxa"/>
              <w:right w:w="-1" w:type="dxa"/>
            </w:tcMar>
            <w:vAlign w:val="center"/>
          </w:tcPr>
          <w:p w:rsidR="007F3ED6" w:rsidRPr="00A5383C" w:rsidRDefault="007F3ED6" w:rsidP="007F3ED6">
            <w:pPr>
              <w:spacing w:line="240" w:lineRule="auto"/>
              <w:jc w:val="right"/>
              <w:rPr>
                <w:rFonts w:ascii="Arial Narrow" w:hAnsi="Arial Narrow"/>
                <w:b/>
                <w:bCs/>
                <w:sz w:val="16"/>
                <w:szCs w:val="16"/>
              </w:rPr>
            </w:pPr>
            <w:r w:rsidRPr="00A5383C">
              <w:rPr>
                <w:rFonts w:ascii="Arial Narrow" w:hAnsi="Arial Narrow"/>
                <w:b/>
                <w:bCs/>
                <w:sz w:val="16"/>
                <w:szCs w:val="16"/>
              </w:rPr>
              <w:t>2016E</w:t>
            </w:r>
          </w:p>
        </w:tc>
        <w:tc>
          <w:tcPr>
            <w:tcW w:w="76" w:type="dxa"/>
            <w:tcBorders>
              <w:left w:val="nil"/>
              <w:right w:val="nil"/>
            </w:tcBorders>
            <w:noWrap/>
            <w:tcMar>
              <w:left w:w="29" w:type="dxa"/>
              <w:right w:w="-1" w:type="dxa"/>
            </w:tcMar>
            <w:vAlign w:val="center"/>
          </w:tcPr>
          <w:p w:rsidR="007F3ED6" w:rsidRPr="00A5383C" w:rsidRDefault="007F3ED6" w:rsidP="007F3ED6">
            <w:pPr>
              <w:spacing w:line="240" w:lineRule="auto"/>
              <w:rPr>
                <w:rFonts w:ascii="Arial Narrow" w:hAnsi="Arial Narrow"/>
                <w:b/>
                <w:bCs/>
                <w:sz w:val="16"/>
                <w:szCs w:val="16"/>
              </w:rPr>
            </w:pPr>
          </w:p>
        </w:tc>
        <w:tc>
          <w:tcPr>
            <w:tcW w:w="1764" w:type="dxa"/>
            <w:tcBorders>
              <w:left w:val="nil"/>
              <w:bottom w:val="single" w:sz="12" w:space="0" w:color="002D72"/>
              <w:right w:val="nil"/>
            </w:tcBorders>
            <w:shd w:val="clear" w:color="auto" w:fill="auto"/>
            <w:noWrap/>
            <w:tcMar>
              <w:left w:w="14" w:type="dxa"/>
              <w:right w:w="-1" w:type="dxa"/>
            </w:tcMar>
            <w:vAlign w:val="center"/>
          </w:tcPr>
          <w:p w:rsidR="007F3ED6" w:rsidRPr="00A5383C" w:rsidRDefault="007F3ED6" w:rsidP="007F3ED6">
            <w:pPr>
              <w:spacing w:line="240" w:lineRule="auto"/>
              <w:rPr>
                <w:rFonts w:ascii="Arial Narrow" w:hAnsi="Arial Narrow"/>
                <w:b/>
                <w:bCs/>
                <w:sz w:val="16"/>
                <w:szCs w:val="16"/>
              </w:rPr>
            </w:pPr>
            <w:r w:rsidRPr="00A5383C">
              <w:rPr>
                <w:rFonts w:ascii="Arial Narrow" w:hAnsi="Arial Narrow"/>
                <w:b/>
                <w:bCs/>
                <w:sz w:val="16"/>
                <w:szCs w:val="16"/>
              </w:rPr>
              <w:t>Valuation ratios</w:t>
            </w:r>
          </w:p>
        </w:tc>
        <w:tc>
          <w:tcPr>
            <w:tcW w:w="666" w:type="dxa"/>
            <w:tcBorders>
              <w:left w:val="nil"/>
              <w:bottom w:val="single" w:sz="12" w:space="0" w:color="002D72"/>
              <w:right w:val="nil"/>
            </w:tcBorders>
            <w:shd w:val="clear" w:color="auto" w:fill="auto"/>
            <w:noWrap/>
            <w:tcMar>
              <w:left w:w="14" w:type="dxa"/>
              <w:right w:w="-1" w:type="dxa"/>
            </w:tcMar>
            <w:vAlign w:val="center"/>
          </w:tcPr>
          <w:p w:rsidR="007F3ED6" w:rsidRPr="00A5383C" w:rsidRDefault="007F3ED6" w:rsidP="007F3ED6">
            <w:pPr>
              <w:spacing w:line="240" w:lineRule="auto"/>
              <w:jc w:val="right"/>
              <w:rPr>
                <w:rFonts w:ascii="Arial Narrow" w:hAnsi="Arial Narrow"/>
                <w:b/>
                <w:bCs/>
                <w:sz w:val="16"/>
                <w:szCs w:val="16"/>
              </w:rPr>
            </w:pPr>
            <w:r w:rsidRPr="00A5383C">
              <w:rPr>
                <w:rFonts w:ascii="Arial Narrow" w:hAnsi="Arial Narrow"/>
                <w:b/>
                <w:bCs/>
                <w:sz w:val="16"/>
                <w:szCs w:val="16"/>
              </w:rPr>
              <w:t>2012</w:t>
            </w:r>
          </w:p>
        </w:tc>
        <w:tc>
          <w:tcPr>
            <w:tcW w:w="666" w:type="dxa"/>
            <w:tcBorders>
              <w:left w:val="nil"/>
              <w:bottom w:val="single" w:sz="12" w:space="0" w:color="002D72"/>
              <w:right w:val="nil"/>
            </w:tcBorders>
            <w:shd w:val="clear" w:color="auto" w:fill="auto"/>
            <w:noWrap/>
            <w:tcMar>
              <w:left w:w="14" w:type="dxa"/>
              <w:right w:w="-1" w:type="dxa"/>
            </w:tcMar>
            <w:vAlign w:val="center"/>
          </w:tcPr>
          <w:p w:rsidR="007F3ED6" w:rsidRPr="00A5383C" w:rsidRDefault="007F3ED6" w:rsidP="007F3ED6">
            <w:pPr>
              <w:spacing w:line="240" w:lineRule="auto"/>
              <w:jc w:val="right"/>
              <w:rPr>
                <w:rFonts w:ascii="Arial Narrow" w:hAnsi="Arial Narrow"/>
                <w:b/>
                <w:bCs/>
                <w:sz w:val="16"/>
                <w:szCs w:val="16"/>
              </w:rPr>
            </w:pPr>
            <w:r w:rsidRPr="00A5383C">
              <w:rPr>
                <w:rFonts w:ascii="Arial Narrow" w:hAnsi="Arial Narrow"/>
                <w:b/>
                <w:bCs/>
                <w:sz w:val="16"/>
                <w:szCs w:val="16"/>
              </w:rPr>
              <w:t>2013</w:t>
            </w:r>
          </w:p>
        </w:tc>
        <w:tc>
          <w:tcPr>
            <w:tcW w:w="657" w:type="dxa"/>
            <w:tcBorders>
              <w:left w:val="nil"/>
              <w:bottom w:val="single" w:sz="12" w:space="0" w:color="002D72"/>
              <w:right w:val="nil"/>
            </w:tcBorders>
            <w:shd w:val="clear" w:color="auto" w:fill="auto"/>
            <w:noWrap/>
            <w:tcMar>
              <w:left w:w="14" w:type="dxa"/>
              <w:right w:w="-1" w:type="dxa"/>
            </w:tcMar>
            <w:vAlign w:val="center"/>
          </w:tcPr>
          <w:p w:rsidR="007F3ED6" w:rsidRPr="00A5383C" w:rsidRDefault="007F3ED6" w:rsidP="007F3ED6">
            <w:pPr>
              <w:spacing w:line="240" w:lineRule="auto"/>
              <w:jc w:val="right"/>
              <w:rPr>
                <w:rFonts w:ascii="Arial Narrow" w:hAnsi="Arial Narrow"/>
                <w:b/>
                <w:bCs/>
                <w:sz w:val="16"/>
                <w:szCs w:val="16"/>
              </w:rPr>
            </w:pPr>
            <w:r w:rsidRPr="00A5383C">
              <w:rPr>
                <w:rFonts w:ascii="Arial Narrow" w:hAnsi="Arial Narrow"/>
                <w:b/>
                <w:bCs/>
                <w:sz w:val="16"/>
                <w:szCs w:val="16"/>
              </w:rPr>
              <w:t>2014E</w:t>
            </w:r>
          </w:p>
        </w:tc>
        <w:tc>
          <w:tcPr>
            <w:tcW w:w="657" w:type="dxa"/>
            <w:tcBorders>
              <w:left w:val="nil"/>
              <w:bottom w:val="single" w:sz="12" w:space="0" w:color="002D72"/>
              <w:right w:val="nil"/>
            </w:tcBorders>
            <w:shd w:val="clear" w:color="auto" w:fill="auto"/>
            <w:noWrap/>
            <w:tcMar>
              <w:left w:w="14" w:type="dxa"/>
              <w:right w:w="-1" w:type="dxa"/>
            </w:tcMar>
            <w:vAlign w:val="center"/>
          </w:tcPr>
          <w:p w:rsidR="007F3ED6" w:rsidRPr="00A5383C" w:rsidRDefault="007F3ED6" w:rsidP="007F3ED6">
            <w:pPr>
              <w:spacing w:line="240" w:lineRule="auto"/>
              <w:jc w:val="right"/>
              <w:rPr>
                <w:rFonts w:ascii="Arial Narrow" w:hAnsi="Arial Narrow"/>
                <w:b/>
                <w:bCs/>
                <w:sz w:val="16"/>
                <w:szCs w:val="16"/>
              </w:rPr>
            </w:pPr>
            <w:r w:rsidRPr="00A5383C">
              <w:rPr>
                <w:rFonts w:ascii="Arial Narrow" w:hAnsi="Arial Narrow"/>
                <w:b/>
                <w:bCs/>
                <w:sz w:val="16"/>
                <w:szCs w:val="16"/>
              </w:rPr>
              <w:t>2015E</w:t>
            </w:r>
          </w:p>
        </w:tc>
        <w:tc>
          <w:tcPr>
            <w:tcW w:w="664" w:type="dxa"/>
            <w:tcBorders>
              <w:left w:val="nil"/>
              <w:bottom w:val="single" w:sz="12" w:space="0" w:color="002D72"/>
              <w:right w:val="nil"/>
            </w:tcBorders>
            <w:shd w:val="clear" w:color="auto" w:fill="auto"/>
            <w:noWrap/>
            <w:tcMar>
              <w:left w:w="14" w:type="dxa"/>
              <w:right w:w="-1" w:type="dxa"/>
            </w:tcMar>
            <w:vAlign w:val="center"/>
          </w:tcPr>
          <w:p w:rsidR="007F3ED6" w:rsidRPr="00A5383C" w:rsidRDefault="007F3ED6" w:rsidP="007F3ED6">
            <w:pPr>
              <w:spacing w:line="240" w:lineRule="auto"/>
              <w:jc w:val="right"/>
              <w:rPr>
                <w:rFonts w:ascii="Arial Narrow" w:hAnsi="Arial Narrow"/>
                <w:b/>
                <w:bCs/>
                <w:sz w:val="16"/>
                <w:szCs w:val="16"/>
              </w:rPr>
            </w:pPr>
            <w:r w:rsidRPr="00A5383C">
              <w:rPr>
                <w:rFonts w:ascii="Arial Narrow" w:hAnsi="Arial Narrow"/>
                <w:b/>
                <w:bCs/>
                <w:sz w:val="16"/>
                <w:szCs w:val="16"/>
              </w:rPr>
              <w:t>2016E</w:t>
            </w:r>
          </w:p>
        </w:tc>
      </w:tr>
      <w:tr w:rsidR="007F3ED6" w:rsidRPr="00C673C6">
        <w:trPr>
          <w:trHeight w:hRule="exact" w:val="230"/>
        </w:trPr>
        <w:tc>
          <w:tcPr>
            <w:tcW w:w="1618" w:type="dxa"/>
            <w:tcBorders>
              <w:top w:val="single" w:sz="12" w:space="0" w:color="002D72"/>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Sales revenue</w:t>
            </w:r>
          </w:p>
        </w:tc>
        <w:tc>
          <w:tcPr>
            <w:tcW w:w="675" w:type="dxa"/>
            <w:tcBorders>
              <w:top w:val="single" w:sz="12" w:space="0" w:color="304E88"/>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1,791</w:t>
            </w:r>
          </w:p>
        </w:tc>
        <w:tc>
          <w:tcPr>
            <w:tcW w:w="682" w:type="dxa"/>
            <w:gridSpan w:val="2"/>
            <w:tcBorders>
              <w:top w:val="single" w:sz="12" w:space="0" w:color="304E88"/>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1,839</w:t>
            </w:r>
          </w:p>
        </w:tc>
        <w:tc>
          <w:tcPr>
            <w:tcW w:w="678" w:type="dxa"/>
            <w:tcBorders>
              <w:top w:val="single" w:sz="12" w:space="0" w:color="304E88"/>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1,923</w:t>
            </w:r>
          </w:p>
        </w:tc>
        <w:tc>
          <w:tcPr>
            <w:tcW w:w="679" w:type="dxa"/>
            <w:tcBorders>
              <w:top w:val="single" w:sz="12" w:space="0" w:color="304E88"/>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2,019</w:t>
            </w:r>
          </w:p>
        </w:tc>
        <w:tc>
          <w:tcPr>
            <w:tcW w:w="684" w:type="dxa"/>
            <w:tcBorders>
              <w:top w:val="single" w:sz="12" w:space="0" w:color="304E88"/>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2,140</w:t>
            </w:r>
          </w:p>
        </w:tc>
        <w:tc>
          <w:tcPr>
            <w:tcW w:w="76" w:type="dxa"/>
            <w:tcBorders>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top w:val="single" w:sz="12" w:space="0" w:color="304E88"/>
              <w:left w:val="nil"/>
              <w:bottom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PE (x)</w:t>
            </w:r>
          </w:p>
        </w:tc>
        <w:tc>
          <w:tcPr>
            <w:tcW w:w="666" w:type="dxa"/>
            <w:tcBorders>
              <w:top w:val="single" w:sz="12" w:space="0" w:color="304E88"/>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22.1</w:t>
            </w:r>
          </w:p>
        </w:tc>
        <w:tc>
          <w:tcPr>
            <w:tcW w:w="666" w:type="dxa"/>
            <w:tcBorders>
              <w:top w:val="single" w:sz="12" w:space="0" w:color="304E88"/>
              <w:left w:val="nil"/>
              <w:bottom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23.9</w:t>
            </w:r>
          </w:p>
        </w:tc>
        <w:tc>
          <w:tcPr>
            <w:tcW w:w="657" w:type="dxa"/>
            <w:tcBorders>
              <w:top w:val="single" w:sz="12" w:space="0" w:color="304E88"/>
              <w:left w:val="nil"/>
              <w:bottom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20.5</w:t>
            </w:r>
          </w:p>
        </w:tc>
        <w:tc>
          <w:tcPr>
            <w:tcW w:w="657" w:type="dxa"/>
            <w:tcBorders>
              <w:top w:val="single" w:sz="12" w:space="0" w:color="304E88"/>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17.4</w:t>
            </w:r>
          </w:p>
        </w:tc>
        <w:tc>
          <w:tcPr>
            <w:tcW w:w="664" w:type="dxa"/>
            <w:tcBorders>
              <w:top w:val="single" w:sz="12" w:space="0" w:color="304E88"/>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15.2</w:t>
            </w: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Cost of sales</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-939</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-1,007</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-1,040</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-1,076</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-1,124</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PB (x)</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4.3</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3.6</w:t>
            </w:r>
          </w:p>
        </w:tc>
        <w:tc>
          <w:tcPr>
            <w:tcW w:w="657" w:type="dxa"/>
            <w:tcBorders>
              <w:top w:val="nil"/>
              <w:left w:val="nil"/>
              <w:bottom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3.0</w:t>
            </w:r>
          </w:p>
        </w:tc>
        <w:tc>
          <w:tcPr>
            <w:tcW w:w="657"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2.4</w:t>
            </w:r>
          </w:p>
        </w:tc>
        <w:tc>
          <w:tcPr>
            <w:tcW w:w="6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2.0</w:t>
            </w: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Gross profit</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852</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833</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883</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943</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1,017</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EV/EBITDA (x)</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11.2</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11.4</w:t>
            </w:r>
          </w:p>
        </w:tc>
        <w:tc>
          <w:tcPr>
            <w:tcW w:w="657" w:type="dxa"/>
            <w:tcBorders>
              <w:top w:val="nil"/>
              <w:left w:val="nil"/>
              <w:bottom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10.3</w:t>
            </w:r>
          </w:p>
        </w:tc>
        <w:tc>
          <w:tcPr>
            <w:tcW w:w="657"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8.4</w:t>
            </w:r>
          </w:p>
        </w:tc>
        <w:tc>
          <w:tcPr>
            <w:tcW w:w="6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6.9</w:t>
            </w: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Gross Margin (%)</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47.6</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45.3</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45.9</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46.7</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47.5</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FCF yield (%)</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2.0</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3.1</w:t>
            </w:r>
          </w:p>
        </w:tc>
        <w:tc>
          <w:tcPr>
            <w:tcW w:w="657" w:type="dxa"/>
            <w:tcBorders>
              <w:top w:val="nil"/>
              <w:left w:val="nil"/>
              <w:bottom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4.9</w:t>
            </w:r>
          </w:p>
        </w:tc>
        <w:tc>
          <w:tcPr>
            <w:tcW w:w="657"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6.0</w:t>
            </w:r>
          </w:p>
        </w:tc>
        <w:tc>
          <w:tcPr>
            <w:tcW w:w="6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6.9</w:t>
            </w: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EBITDA (Adj)</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278</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267</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284</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326</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367</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Dividend yield (%)</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57" w:type="dxa"/>
            <w:tcBorders>
              <w:top w:val="nil"/>
              <w:left w:val="nil"/>
              <w:bottom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57"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EBITDA Margin (Adj) (%)</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15.5</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14.5</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14.8</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16.1</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17.2</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Payout ratio (%)</w:t>
            </w:r>
          </w:p>
        </w:tc>
        <w:tc>
          <w:tcPr>
            <w:tcW w:w="666"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66"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57" w:type="dxa"/>
            <w:tcBorders>
              <w:top w:val="nil"/>
              <w:lef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57"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64"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Depreciation</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-59</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-61</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-50</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-53</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-56</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ROE (%)</w:t>
            </w:r>
          </w:p>
        </w:tc>
        <w:tc>
          <w:tcPr>
            <w:tcW w:w="666"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11.6</w:t>
            </w:r>
          </w:p>
        </w:tc>
        <w:tc>
          <w:tcPr>
            <w:tcW w:w="666"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10.3</w:t>
            </w:r>
          </w:p>
        </w:tc>
        <w:tc>
          <w:tcPr>
            <w:tcW w:w="657" w:type="dxa"/>
            <w:tcBorders>
              <w:top w:val="nil"/>
              <w:left w:val="nil"/>
              <w:bottom w:val="single" w:sz="12" w:space="0" w:color="002D72"/>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15.0</w:t>
            </w:r>
          </w:p>
        </w:tc>
        <w:tc>
          <w:tcPr>
            <w:tcW w:w="657"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15.6</w:t>
            </w:r>
          </w:p>
        </w:tc>
        <w:tc>
          <w:tcPr>
            <w:tcW w:w="664"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14.8</w:t>
            </w: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Amortisation</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single" w:sz="12" w:space="0" w:color="002D72"/>
              <w:left w:val="nil"/>
              <w:bottom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Cashflow (US$m)</w:t>
            </w:r>
          </w:p>
        </w:tc>
        <w:tc>
          <w:tcPr>
            <w:tcW w:w="666" w:type="dxa"/>
            <w:tcBorders>
              <w:top w:val="single" w:sz="12" w:space="0" w:color="002D72"/>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2012</w:t>
            </w:r>
          </w:p>
        </w:tc>
        <w:tc>
          <w:tcPr>
            <w:tcW w:w="666" w:type="dxa"/>
            <w:tcBorders>
              <w:top w:val="single" w:sz="12" w:space="0" w:color="002D72"/>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2013</w:t>
            </w:r>
          </w:p>
        </w:tc>
        <w:tc>
          <w:tcPr>
            <w:tcW w:w="657" w:type="dxa"/>
            <w:tcBorders>
              <w:top w:val="single" w:sz="12" w:space="0" w:color="002D72"/>
              <w:left w:val="nil"/>
              <w:bottom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2014E</w:t>
            </w:r>
          </w:p>
        </w:tc>
        <w:tc>
          <w:tcPr>
            <w:tcW w:w="657" w:type="dxa"/>
            <w:tcBorders>
              <w:top w:val="single" w:sz="12" w:space="0" w:color="002D72"/>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2015E</w:t>
            </w:r>
          </w:p>
        </w:tc>
        <w:tc>
          <w:tcPr>
            <w:tcW w:w="664" w:type="dxa"/>
            <w:tcBorders>
              <w:top w:val="single" w:sz="12" w:space="0" w:color="002D72"/>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2016E</w:t>
            </w: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EBIT (Adj)</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219</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206</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234</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273</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311</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EBITDA</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278</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267</w:t>
            </w:r>
          </w:p>
        </w:tc>
        <w:tc>
          <w:tcPr>
            <w:tcW w:w="657" w:type="dxa"/>
            <w:tcBorders>
              <w:top w:val="nil"/>
              <w:left w:val="nil"/>
              <w:bottom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284</w:t>
            </w:r>
          </w:p>
        </w:tc>
        <w:tc>
          <w:tcPr>
            <w:tcW w:w="657"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326</w:t>
            </w:r>
          </w:p>
        </w:tc>
        <w:tc>
          <w:tcPr>
            <w:tcW w:w="6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367</w:t>
            </w: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EBIT Margin (Adj) (%)</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12.2</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11.2</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12.2</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13.5</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14.6</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Working capital</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-58</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-46</w:t>
            </w:r>
          </w:p>
        </w:tc>
        <w:tc>
          <w:tcPr>
            <w:tcW w:w="657" w:type="dxa"/>
            <w:tcBorders>
              <w:top w:val="nil"/>
              <w:left w:val="nil"/>
              <w:bottom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-39</w:t>
            </w:r>
          </w:p>
        </w:tc>
        <w:tc>
          <w:tcPr>
            <w:tcW w:w="657"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-42</w:t>
            </w:r>
          </w:p>
        </w:tc>
        <w:tc>
          <w:tcPr>
            <w:tcW w:w="6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-41</w:t>
            </w: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Net interest</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-20</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-26</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-20</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-20</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-20</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Other</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-87</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-76</w:t>
            </w:r>
          </w:p>
        </w:tc>
        <w:tc>
          <w:tcPr>
            <w:tcW w:w="657" w:type="dxa"/>
            <w:tcBorders>
              <w:top w:val="nil"/>
              <w:left w:val="nil"/>
              <w:bottom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-43</w:t>
            </w:r>
          </w:p>
        </w:tc>
        <w:tc>
          <w:tcPr>
            <w:tcW w:w="657"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-44</w:t>
            </w:r>
          </w:p>
        </w:tc>
        <w:tc>
          <w:tcPr>
            <w:tcW w:w="6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-55</w:t>
            </w: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Associates</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Operating cashflow</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133</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145</w:t>
            </w:r>
          </w:p>
        </w:tc>
        <w:tc>
          <w:tcPr>
            <w:tcW w:w="657" w:type="dxa"/>
            <w:tcBorders>
              <w:top w:val="nil"/>
              <w:left w:val="nil"/>
              <w:bottom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202</w:t>
            </w:r>
          </w:p>
        </w:tc>
        <w:tc>
          <w:tcPr>
            <w:tcW w:w="657"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240</w:t>
            </w:r>
          </w:p>
        </w:tc>
        <w:tc>
          <w:tcPr>
            <w:tcW w:w="6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271</w:t>
            </w: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color w:val="000000"/>
                <w:sz w:val="16"/>
                <w:szCs w:val="16"/>
              </w:rPr>
            </w:pPr>
            <w:r w:rsidRPr="00C673C6">
              <w:rPr>
                <w:rFonts w:ascii="Arial Narrow" w:hAnsi="Arial Narrow"/>
                <w:color w:val="000000"/>
                <w:sz w:val="16"/>
                <w:szCs w:val="16"/>
              </w:rPr>
              <w:t>Non-op/Except</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Capex</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-73</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-50</w:t>
            </w:r>
          </w:p>
        </w:tc>
        <w:tc>
          <w:tcPr>
            <w:tcW w:w="657" w:type="dxa"/>
            <w:tcBorders>
              <w:top w:val="nil"/>
              <w:left w:val="nil"/>
              <w:bottom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-50</w:t>
            </w:r>
          </w:p>
        </w:tc>
        <w:tc>
          <w:tcPr>
            <w:tcW w:w="657"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-53</w:t>
            </w:r>
          </w:p>
        </w:tc>
        <w:tc>
          <w:tcPr>
            <w:tcW w:w="6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-56</w:t>
            </w: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Pre-tax profit</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199</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180</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214</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253</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291</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Net acq/disposals</w:t>
            </w:r>
          </w:p>
        </w:tc>
        <w:tc>
          <w:tcPr>
            <w:tcW w:w="666"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-27</w:t>
            </w:r>
          </w:p>
        </w:tc>
        <w:tc>
          <w:tcPr>
            <w:tcW w:w="666"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-12</w:t>
            </w:r>
          </w:p>
        </w:tc>
        <w:tc>
          <w:tcPr>
            <w:tcW w:w="657"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57"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64"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color w:val="000000"/>
                <w:sz w:val="16"/>
                <w:szCs w:val="16"/>
              </w:rPr>
            </w:pPr>
            <w:r w:rsidRPr="00C673C6">
              <w:rPr>
                <w:rFonts w:ascii="Arial Narrow" w:hAnsi="Arial Narrow"/>
                <w:color w:val="000000"/>
                <w:sz w:val="16"/>
                <w:szCs w:val="16"/>
              </w:rPr>
              <w:t>Tax</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-60</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-49</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-61</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-73</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-85</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Other</w:t>
            </w:r>
          </w:p>
        </w:tc>
        <w:tc>
          <w:tcPr>
            <w:tcW w:w="666"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w:t>
            </w:r>
          </w:p>
        </w:tc>
        <w:tc>
          <w:tcPr>
            <w:tcW w:w="666"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w:t>
            </w:r>
          </w:p>
        </w:tc>
        <w:tc>
          <w:tcPr>
            <w:tcW w:w="657"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57"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64"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r>
      <w:tr w:rsidR="007F3ED6"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Extraord./Min.Int./Pref.div.</w:t>
            </w:r>
          </w:p>
        </w:tc>
        <w:tc>
          <w:tcPr>
            <w:tcW w:w="675"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-62</w:t>
            </w:r>
          </w:p>
        </w:tc>
        <w:tc>
          <w:tcPr>
            <w:tcW w:w="682" w:type="dxa"/>
            <w:gridSpan w:val="2"/>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-51</w:t>
            </w:r>
          </w:p>
        </w:tc>
        <w:tc>
          <w:tcPr>
            <w:tcW w:w="678"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-11</w:t>
            </w:r>
          </w:p>
        </w:tc>
        <w:tc>
          <w:tcPr>
            <w:tcW w:w="679"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84"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76" w:type="dxa"/>
            <w:tcBorders>
              <w:top w:val="nil"/>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Investing cashflow</w:t>
            </w:r>
          </w:p>
        </w:tc>
        <w:tc>
          <w:tcPr>
            <w:tcW w:w="666"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-93</w:t>
            </w:r>
          </w:p>
        </w:tc>
        <w:tc>
          <w:tcPr>
            <w:tcW w:w="666"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-60</w:t>
            </w:r>
          </w:p>
        </w:tc>
        <w:tc>
          <w:tcPr>
            <w:tcW w:w="657"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-50</w:t>
            </w:r>
          </w:p>
        </w:tc>
        <w:tc>
          <w:tcPr>
            <w:tcW w:w="657"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-53</w:t>
            </w:r>
          </w:p>
        </w:tc>
        <w:tc>
          <w:tcPr>
            <w:tcW w:w="664"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-56</w:t>
            </w:r>
          </w:p>
        </w:tc>
      </w:tr>
      <w:tr w:rsidR="007F3ED6"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Reported net profit</w:t>
            </w:r>
          </w:p>
        </w:tc>
        <w:tc>
          <w:tcPr>
            <w:tcW w:w="675"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78</w:t>
            </w:r>
          </w:p>
        </w:tc>
        <w:tc>
          <w:tcPr>
            <w:tcW w:w="682" w:type="dxa"/>
            <w:gridSpan w:val="2"/>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80</w:t>
            </w:r>
          </w:p>
        </w:tc>
        <w:tc>
          <w:tcPr>
            <w:tcW w:w="678"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142</w:t>
            </w:r>
          </w:p>
        </w:tc>
        <w:tc>
          <w:tcPr>
            <w:tcW w:w="679"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180</w:t>
            </w:r>
          </w:p>
        </w:tc>
        <w:tc>
          <w:tcPr>
            <w:tcW w:w="684"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207</w:t>
            </w:r>
          </w:p>
        </w:tc>
        <w:tc>
          <w:tcPr>
            <w:tcW w:w="76" w:type="dxa"/>
            <w:tcBorders>
              <w:top w:val="nil"/>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left w:val="nil"/>
              <w:bottom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Dividends paid</w:t>
            </w:r>
          </w:p>
        </w:tc>
        <w:tc>
          <w:tcPr>
            <w:tcW w:w="666" w:type="dxa"/>
            <w:tcBorders>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66" w:type="dxa"/>
            <w:tcBorders>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57" w:type="dxa"/>
            <w:tcBorders>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57" w:type="dxa"/>
            <w:tcBorders>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64" w:type="dxa"/>
            <w:tcBorders>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r>
      <w:tr w:rsidR="007F3ED6"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Net Margin (%)</w:t>
            </w:r>
          </w:p>
        </w:tc>
        <w:tc>
          <w:tcPr>
            <w:tcW w:w="675"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4.3</w:t>
            </w:r>
          </w:p>
        </w:tc>
        <w:tc>
          <w:tcPr>
            <w:tcW w:w="682" w:type="dxa"/>
            <w:gridSpan w:val="2"/>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4.4</w:t>
            </w:r>
          </w:p>
        </w:tc>
        <w:tc>
          <w:tcPr>
            <w:tcW w:w="678"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7.4</w:t>
            </w:r>
          </w:p>
        </w:tc>
        <w:tc>
          <w:tcPr>
            <w:tcW w:w="679"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8.9</w:t>
            </w:r>
          </w:p>
        </w:tc>
        <w:tc>
          <w:tcPr>
            <w:tcW w:w="684"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9.7</w:t>
            </w:r>
          </w:p>
        </w:tc>
        <w:tc>
          <w:tcPr>
            <w:tcW w:w="76" w:type="dxa"/>
            <w:tcBorders>
              <w:top w:val="nil"/>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Financing cashflow</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34</w:t>
            </w:r>
          </w:p>
        </w:tc>
        <w:tc>
          <w:tcPr>
            <w:tcW w:w="666"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27</w:t>
            </w:r>
          </w:p>
        </w:tc>
        <w:tc>
          <w:tcPr>
            <w:tcW w:w="657"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0</w:t>
            </w:r>
          </w:p>
        </w:tc>
        <w:tc>
          <w:tcPr>
            <w:tcW w:w="657"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0</w:t>
            </w:r>
          </w:p>
        </w:tc>
        <w:tc>
          <w:tcPr>
            <w:tcW w:w="664" w:type="dxa"/>
            <w:tcBorders>
              <w:top w:val="nil"/>
              <w:left w:val="nil"/>
              <w:bottom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w:t>
            </w:r>
          </w:p>
        </w:tc>
      </w:tr>
      <w:tr w:rsidR="007F3ED6" w:rsidRPr="00C673C6">
        <w:trPr>
          <w:trHeight w:hRule="exact" w:val="230"/>
        </w:trPr>
        <w:tc>
          <w:tcPr>
            <w:tcW w:w="1618"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Core NPAT</w:t>
            </w:r>
          </w:p>
        </w:tc>
        <w:tc>
          <w:tcPr>
            <w:tcW w:w="675"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138</w:t>
            </w:r>
          </w:p>
        </w:tc>
        <w:tc>
          <w:tcPr>
            <w:tcW w:w="682" w:type="dxa"/>
            <w:gridSpan w:val="2"/>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129</w:t>
            </w:r>
          </w:p>
        </w:tc>
        <w:tc>
          <w:tcPr>
            <w:tcW w:w="678"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152</w:t>
            </w:r>
          </w:p>
        </w:tc>
        <w:tc>
          <w:tcPr>
            <w:tcW w:w="679"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180</w:t>
            </w:r>
          </w:p>
        </w:tc>
        <w:tc>
          <w:tcPr>
            <w:tcW w:w="684"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207</w:t>
            </w:r>
          </w:p>
        </w:tc>
        <w:tc>
          <w:tcPr>
            <w:tcW w:w="76" w:type="dxa"/>
            <w:tcBorders>
              <w:top w:val="nil"/>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top w:val="nil"/>
              <w:left w:val="nil"/>
              <w:right w:val="nil"/>
            </w:tcBorders>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Net change in cash</w:t>
            </w:r>
          </w:p>
        </w:tc>
        <w:tc>
          <w:tcPr>
            <w:tcW w:w="666"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65</w:t>
            </w:r>
          </w:p>
        </w:tc>
        <w:tc>
          <w:tcPr>
            <w:tcW w:w="666"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128</w:t>
            </w:r>
          </w:p>
        </w:tc>
        <w:tc>
          <w:tcPr>
            <w:tcW w:w="657"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152</w:t>
            </w:r>
          </w:p>
        </w:tc>
        <w:tc>
          <w:tcPr>
            <w:tcW w:w="657"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187</w:t>
            </w:r>
          </w:p>
        </w:tc>
        <w:tc>
          <w:tcPr>
            <w:tcW w:w="664" w:type="dxa"/>
            <w:tcBorders>
              <w:top w:val="nil"/>
              <w:left w:val="nil"/>
              <w:right w:val="nil"/>
            </w:tcBorders>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215</w:t>
            </w:r>
          </w:p>
        </w:tc>
      </w:tr>
      <w:tr w:rsidR="007F3ED6" w:rsidRPr="00C673C6">
        <w:trPr>
          <w:trHeight w:hRule="exact" w:val="230"/>
        </w:trPr>
        <w:tc>
          <w:tcPr>
            <w:tcW w:w="1618" w:type="dxa"/>
            <w:tcBorders>
              <w:top w:val="single" w:sz="12" w:space="0" w:color="002D72"/>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Per share data</w:t>
            </w:r>
          </w:p>
        </w:tc>
        <w:tc>
          <w:tcPr>
            <w:tcW w:w="675" w:type="dxa"/>
            <w:tcBorders>
              <w:top w:val="single" w:sz="12" w:space="0" w:color="002D72"/>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bookmarkStart w:id="32" w:name="RANGE!G25:K25"/>
            <w:r w:rsidRPr="00C673C6">
              <w:rPr>
                <w:rFonts w:ascii="Arial Narrow" w:hAnsi="Arial Narrow"/>
                <w:b/>
                <w:bCs/>
                <w:sz w:val="16"/>
                <w:szCs w:val="16"/>
              </w:rPr>
              <w:t>2012</w:t>
            </w:r>
            <w:bookmarkEnd w:id="32"/>
          </w:p>
        </w:tc>
        <w:tc>
          <w:tcPr>
            <w:tcW w:w="682" w:type="dxa"/>
            <w:gridSpan w:val="2"/>
            <w:tcBorders>
              <w:top w:val="single" w:sz="12" w:space="0" w:color="002D72"/>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2013</w:t>
            </w:r>
          </w:p>
        </w:tc>
        <w:tc>
          <w:tcPr>
            <w:tcW w:w="678" w:type="dxa"/>
            <w:tcBorders>
              <w:top w:val="single" w:sz="12" w:space="0" w:color="002D72"/>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2014E</w:t>
            </w:r>
          </w:p>
        </w:tc>
        <w:tc>
          <w:tcPr>
            <w:tcW w:w="679" w:type="dxa"/>
            <w:tcBorders>
              <w:top w:val="single" w:sz="12" w:space="0" w:color="002D72"/>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2015E</w:t>
            </w:r>
          </w:p>
        </w:tc>
        <w:tc>
          <w:tcPr>
            <w:tcW w:w="684" w:type="dxa"/>
            <w:tcBorders>
              <w:top w:val="single" w:sz="12" w:space="0" w:color="002D72"/>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2016E</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Free cashflow to s/holders</w:t>
            </w:r>
          </w:p>
        </w:tc>
        <w:tc>
          <w:tcPr>
            <w:tcW w:w="666"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60</w:t>
            </w:r>
          </w:p>
        </w:tc>
        <w:tc>
          <w:tcPr>
            <w:tcW w:w="666"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95</w:t>
            </w:r>
          </w:p>
        </w:tc>
        <w:tc>
          <w:tcPr>
            <w:tcW w:w="657"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152</w:t>
            </w:r>
          </w:p>
        </w:tc>
        <w:tc>
          <w:tcPr>
            <w:tcW w:w="657"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187</w:t>
            </w:r>
          </w:p>
        </w:tc>
        <w:tc>
          <w:tcPr>
            <w:tcW w:w="664" w:type="dxa"/>
            <w:tcBorders>
              <w:top w:val="nil"/>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216</w:t>
            </w: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Reported EPS ($)</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0.46</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0.48</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0.83</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1.05</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1.21</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top w:val="single" w:sz="12" w:space="0" w:color="002D72"/>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bCs/>
                <w:sz w:val="16"/>
                <w:szCs w:val="16"/>
              </w:rPr>
            </w:pPr>
            <w:bookmarkStart w:id="33" w:name="RANGE!M27:R58"/>
            <w:bookmarkEnd w:id="33"/>
          </w:p>
        </w:tc>
        <w:tc>
          <w:tcPr>
            <w:tcW w:w="666" w:type="dxa"/>
            <w:tcBorders>
              <w:top w:val="single" w:sz="12" w:space="0" w:color="002D72"/>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bCs/>
                <w:sz w:val="16"/>
                <w:szCs w:val="16"/>
              </w:rPr>
            </w:pPr>
          </w:p>
        </w:tc>
        <w:tc>
          <w:tcPr>
            <w:tcW w:w="666" w:type="dxa"/>
            <w:tcBorders>
              <w:top w:val="single" w:sz="12" w:space="0" w:color="002D72"/>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bCs/>
                <w:sz w:val="16"/>
                <w:szCs w:val="16"/>
              </w:rPr>
            </w:pPr>
          </w:p>
        </w:tc>
        <w:tc>
          <w:tcPr>
            <w:tcW w:w="657" w:type="dxa"/>
            <w:tcBorders>
              <w:top w:val="single" w:sz="12" w:space="0" w:color="002D72"/>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bCs/>
                <w:sz w:val="16"/>
                <w:szCs w:val="16"/>
              </w:rPr>
            </w:pPr>
          </w:p>
        </w:tc>
        <w:tc>
          <w:tcPr>
            <w:tcW w:w="657" w:type="dxa"/>
            <w:tcBorders>
              <w:top w:val="single" w:sz="12" w:space="0" w:color="002D72"/>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bCs/>
                <w:sz w:val="16"/>
                <w:szCs w:val="16"/>
              </w:rPr>
            </w:pPr>
          </w:p>
        </w:tc>
        <w:tc>
          <w:tcPr>
            <w:tcW w:w="664" w:type="dxa"/>
            <w:tcBorders>
              <w:top w:val="single" w:sz="12" w:space="0" w:color="002D72"/>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bCs/>
                <w:sz w:val="16"/>
                <w:szCs w:val="16"/>
              </w:rPr>
            </w:pP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Core EPS ($)</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0.83</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0.77</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0.89</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1.05</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1.21</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DPS ($)</w:t>
            </w:r>
          </w:p>
        </w:tc>
        <w:tc>
          <w:tcPr>
            <w:tcW w:w="675"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82" w:type="dxa"/>
            <w:gridSpan w:val="2"/>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78"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79"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84"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CFPS ($)</w:t>
            </w:r>
          </w:p>
        </w:tc>
        <w:tc>
          <w:tcPr>
            <w:tcW w:w="675"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0.80</w:t>
            </w:r>
          </w:p>
        </w:tc>
        <w:tc>
          <w:tcPr>
            <w:tcW w:w="682" w:type="dxa"/>
            <w:gridSpan w:val="2"/>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0.86</w:t>
            </w:r>
          </w:p>
        </w:tc>
        <w:tc>
          <w:tcPr>
            <w:tcW w:w="678"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1.19</w:t>
            </w:r>
          </w:p>
        </w:tc>
        <w:tc>
          <w:tcPr>
            <w:tcW w:w="679"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1.40</w:t>
            </w:r>
          </w:p>
        </w:tc>
        <w:tc>
          <w:tcPr>
            <w:tcW w:w="684"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1.58</w:t>
            </w:r>
          </w:p>
        </w:tc>
        <w:tc>
          <w:tcPr>
            <w:tcW w:w="76" w:type="dxa"/>
            <w:tcBorders>
              <w:top w:val="nil"/>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FCFPS ($)</w:t>
            </w:r>
          </w:p>
        </w:tc>
        <w:tc>
          <w:tcPr>
            <w:tcW w:w="675" w:type="dxa"/>
            <w:tcBorders>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0.36</w:t>
            </w:r>
          </w:p>
        </w:tc>
        <w:tc>
          <w:tcPr>
            <w:tcW w:w="682" w:type="dxa"/>
            <w:gridSpan w:val="2"/>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0.56</w:t>
            </w:r>
          </w:p>
        </w:tc>
        <w:tc>
          <w:tcPr>
            <w:tcW w:w="678"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0.89</w:t>
            </w:r>
          </w:p>
        </w:tc>
        <w:tc>
          <w:tcPr>
            <w:tcW w:w="679"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1.10</w:t>
            </w:r>
          </w:p>
        </w:tc>
        <w:tc>
          <w:tcPr>
            <w:tcW w:w="684"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1.26</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BVPS ($)</w:t>
            </w:r>
          </w:p>
        </w:tc>
        <w:tc>
          <w:tcPr>
            <w:tcW w:w="675" w:type="dxa"/>
            <w:tcBorders>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4.26</w:t>
            </w:r>
          </w:p>
        </w:tc>
        <w:tc>
          <w:tcPr>
            <w:tcW w:w="682" w:type="dxa"/>
            <w:gridSpan w:val="2"/>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5.07</w:t>
            </w:r>
          </w:p>
        </w:tc>
        <w:tc>
          <w:tcPr>
            <w:tcW w:w="678"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6.17</w:t>
            </w:r>
          </w:p>
        </w:tc>
        <w:tc>
          <w:tcPr>
            <w:tcW w:w="679"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7.48</w:t>
            </w:r>
          </w:p>
        </w:tc>
        <w:tc>
          <w:tcPr>
            <w:tcW w:w="684"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8.95</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Wtd avg ord shares (m)</w:t>
            </w:r>
          </w:p>
        </w:tc>
        <w:tc>
          <w:tcPr>
            <w:tcW w:w="675" w:type="dxa"/>
            <w:tcBorders>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166</w:t>
            </w:r>
          </w:p>
        </w:tc>
        <w:tc>
          <w:tcPr>
            <w:tcW w:w="682" w:type="dxa"/>
            <w:gridSpan w:val="2"/>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167</w:t>
            </w:r>
          </w:p>
        </w:tc>
        <w:tc>
          <w:tcPr>
            <w:tcW w:w="678"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168</w:t>
            </w:r>
          </w:p>
        </w:tc>
        <w:tc>
          <w:tcPr>
            <w:tcW w:w="679"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169</w:t>
            </w:r>
          </w:p>
        </w:tc>
        <w:tc>
          <w:tcPr>
            <w:tcW w:w="684"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170</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bottom w:val="single" w:sz="12" w:space="0" w:color="002D72"/>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Wtd avg diluted shares (m)</w:t>
            </w:r>
          </w:p>
        </w:tc>
        <w:tc>
          <w:tcPr>
            <w:tcW w:w="675" w:type="dxa"/>
            <w:tcBorders>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167</w:t>
            </w:r>
          </w:p>
        </w:tc>
        <w:tc>
          <w:tcPr>
            <w:tcW w:w="682" w:type="dxa"/>
            <w:gridSpan w:val="2"/>
            <w:tcBorders>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169</w:t>
            </w:r>
          </w:p>
        </w:tc>
        <w:tc>
          <w:tcPr>
            <w:tcW w:w="678" w:type="dxa"/>
            <w:tcBorders>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170</w:t>
            </w:r>
          </w:p>
        </w:tc>
        <w:tc>
          <w:tcPr>
            <w:tcW w:w="679" w:type="dxa"/>
            <w:tcBorders>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171</w:t>
            </w:r>
          </w:p>
        </w:tc>
        <w:tc>
          <w:tcPr>
            <w:tcW w:w="684" w:type="dxa"/>
            <w:tcBorders>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172</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top w:val="single" w:sz="12" w:space="0" w:color="002D72"/>
              <w:lef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Growth rates</w:t>
            </w:r>
          </w:p>
        </w:tc>
        <w:tc>
          <w:tcPr>
            <w:tcW w:w="675" w:type="dxa"/>
            <w:tcBorders>
              <w:top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2012</w:t>
            </w:r>
          </w:p>
        </w:tc>
        <w:tc>
          <w:tcPr>
            <w:tcW w:w="682" w:type="dxa"/>
            <w:gridSpan w:val="2"/>
            <w:tcBorders>
              <w:top w:val="single" w:sz="12" w:space="0" w:color="002D72"/>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2013</w:t>
            </w:r>
          </w:p>
        </w:tc>
        <w:tc>
          <w:tcPr>
            <w:tcW w:w="678" w:type="dxa"/>
            <w:tcBorders>
              <w:top w:val="single" w:sz="12" w:space="0" w:color="002D72"/>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2014E</w:t>
            </w:r>
          </w:p>
        </w:tc>
        <w:tc>
          <w:tcPr>
            <w:tcW w:w="679" w:type="dxa"/>
            <w:tcBorders>
              <w:top w:val="single" w:sz="12" w:space="0" w:color="002D72"/>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2015E</w:t>
            </w:r>
          </w:p>
        </w:tc>
        <w:tc>
          <w:tcPr>
            <w:tcW w:w="684" w:type="dxa"/>
            <w:tcBorders>
              <w:top w:val="single" w:sz="12" w:space="0" w:color="002D72"/>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2016E</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Sales revenue (%)</w:t>
            </w:r>
          </w:p>
        </w:tc>
        <w:tc>
          <w:tcPr>
            <w:tcW w:w="675" w:type="dxa"/>
            <w:tcBorders>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8.5</w:t>
            </w:r>
          </w:p>
        </w:tc>
        <w:tc>
          <w:tcPr>
            <w:tcW w:w="682" w:type="dxa"/>
            <w:gridSpan w:val="2"/>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2.7</w:t>
            </w:r>
          </w:p>
        </w:tc>
        <w:tc>
          <w:tcPr>
            <w:tcW w:w="678"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4.5</w:t>
            </w:r>
          </w:p>
        </w:tc>
        <w:tc>
          <w:tcPr>
            <w:tcW w:w="679"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5.0</w:t>
            </w:r>
          </w:p>
        </w:tc>
        <w:tc>
          <w:tcPr>
            <w:tcW w:w="684"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6.0</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EBIT (Adj) (%)</w:t>
            </w:r>
          </w:p>
        </w:tc>
        <w:tc>
          <w:tcPr>
            <w:tcW w:w="675" w:type="dxa"/>
            <w:tcBorders>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11.3</w:t>
            </w:r>
          </w:p>
        </w:tc>
        <w:tc>
          <w:tcPr>
            <w:tcW w:w="682" w:type="dxa"/>
            <w:gridSpan w:val="2"/>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-6.2</w:t>
            </w:r>
          </w:p>
        </w:tc>
        <w:tc>
          <w:tcPr>
            <w:tcW w:w="678"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14.0</w:t>
            </w:r>
          </w:p>
        </w:tc>
        <w:tc>
          <w:tcPr>
            <w:tcW w:w="679"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16.6</w:t>
            </w:r>
          </w:p>
        </w:tc>
        <w:tc>
          <w:tcPr>
            <w:tcW w:w="684"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14.0</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Core NPAT (%)</w:t>
            </w:r>
          </w:p>
        </w:tc>
        <w:tc>
          <w:tcPr>
            <w:tcW w:w="675" w:type="dxa"/>
            <w:tcBorders>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1.0</w:t>
            </w:r>
          </w:p>
        </w:tc>
        <w:tc>
          <w:tcPr>
            <w:tcW w:w="682" w:type="dxa"/>
            <w:gridSpan w:val="2"/>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-6.6</w:t>
            </w:r>
          </w:p>
        </w:tc>
        <w:tc>
          <w:tcPr>
            <w:tcW w:w="678"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17.2</w:t>
            </w:r>
          </w:p>
        </w:tc>
        <w:tc>
          <w:tcPr>
            <w:tcW w:w="679"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18.6</w:t>
            </w:r>
          </w:p>
        </w:tc>
        <w:tc>
          <w:tcPr>
            <w:tcW w:w="684"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15.1</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bottom w:val="single" w:sz="12" w:space="0" w:color="002D72"/>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Core EPS (%)</w:t>
            </w:r>
          </w:p>
        </w:tc>
        <w:tc>
          <w:tcPr>
            <w:tcW w:w="675" w:type="dxa"/>
            <w:tcBorders>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0.7</w:t>
            </w:r>
          </w:p>
        </w:tc>
        <w:tc>
          <w:tcPr>
            <w:tcW w:w="682" w:type="dxa"/>
            <w:gridSpan w:val="2"/>
            <w:tcBorders>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-7.2</w:t>
            </w:r>
          </w:p>
        </w:tc>
        <w:tc>
          <w:tcPr>
            <w:tcW w:w="678" w:type="dxa"/>
            <w:tcBorders>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16.4</w:t>
            </w:r>
          </w:p>
        </w:tc>
        <w:tc>
          <w:tcPr>
            <w:tcW w:w="679" w:type="dxa"/>
            <w:tcBorders>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17.9</w:t>
            </w:r>
          </w:p>
        </w:tc>
        <w:tc>
          <w:tcPr>
            <w:tcW w:w="684" w:type="dxa"/>
            <w:tcBorders>
              <w:left w:val="nil"/>
              <w:bottom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14.5</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top w:val="single" w:sz="12" w:space="0" w:color="002D72"/>
              <w:lef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Balance Sheet (US$m)</w:t>
            </w:r>
          </w:p>
        </w:tc>
        <w:tc>
          <w:tcPr>
            <w:tcW w:w="675" w:type="dxa"/>
            <w:tcBorders>
              <w:top w:val="single" w:sz="12" w:space="0" w:color="002D72"/>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2012</w:t>
            </w:r>
          </w:p>
        </w:tc>
        <w:tc>
          <w:tcPr>
            <w:tcW w:w="682" w:type="dxa"/>
            <w:gridSpan w:val="2"/>
            <w:tcBorders>
              <w:top w:val="single" w:sz="12" w:space="0" w:color="002D72"/>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2013</w:t>
            </w:r>
          </w:p>
        </w:tc>
        <w:tc>
          <w:tcPr>
            <w:tcW w:w="678" w:type="dxa"/>
            <w:tcBorders>
              <w:top w:val="single" w:sz="12" w:space="0" w:color="002D72"/>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2014E</w:t>
            </w:r>
          </w:p>
        </w:tc>
        <w:tc>
          <w:tcPr>
            <w:tcW w:w="679" w:type="dxa"/>
            <w:tcBorders>
              <w:top w:val="single" w:sz="12" w:space="0" w:color="002D72"/>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2015E</w:t>
            </w:r>
          </w:p>
        </w:tc>
        <w:tc>
          <w:tcPr>
            <w:tcW w:w="684" w:type="dxa"/>
            <w:tcBorders>
              <w:top w:val="single" w:sz="12" w:space="0" w:color="002D72"/>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2016E</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Cash &amp; cash equiv.</w:t>
            </w:r>
          </w:p>
        </w:tc>
        <w:tc>
          <w:tcPr>
            <w:tcW w:w="675" w:type="dxa"/>
            <w:tcBorders>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311</w:t>
            </w:r>
          </w:p>
        </w:tc>
        <w:tc>
          <w:tcPr>
            <w:tcW w:w="682" w:type="dxa"/>
            <w:gridSpan w:val="2"/>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439</w:t>
            </w:r>
          </w:p>
        </w:tc>
        <w:tc>
          <w:tcPr>
            <w:tcW w:w="678"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590</w:t>
            </w:r>
          </w:p>
        </w:tc>
        <w:tc>
          <w:tcPr>
            <w:tcW w:w="679"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778</w:t>
            </w:r>
          </w:p>
        </w:tc>
        <w:tc>
          <w:tcPr>
            <w:tcW w:w="684"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993</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bCs/>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bCs/>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bCs/>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bCs/>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bCs/>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bCs/>
                <w:sz w:val="16"/>
                <w:szCs w:val="16"/>
              </w:rPr>
            </w:pPr>
          </w:p>
        </w:tc>
      </w:tr>
      <w:tr w:rsidR="007F3ED6" w:rsidRPr="00C673C6">
        <w:trPr>
          <w:trHeight w:hRule="exact" w:val="230"/>
        </w:trPr>
        <w:tc>
          <w:tcPr>
            <w:tcW w:w="1618" w:type="dxa"/>
            <w:tcBorders>
              <w:lef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Accounts receivables</w:t>
            </w:r>
          </w:p>
        </w:tc>
        <w:tc>
          <w:tcPr>
            <w:tcW w:w="675" w:type="dxa"/>
            <w:tcBorders>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289</w:t>
            </w:r>
          </w:p>
        </w:tc>
        <w:tc>
          <w:tcPr>
            <w:tcW w:w="682" w:type="dxa"/>
            <w:gridSpan w:val="2"/>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308</w:t>
            </w:r>
          </w:p>
        </w:tc>
        <w:tc>
          <w:tcPr>
            <w:tcW w:w="678"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320</w:t>
            </w:r>
          </w:p>
        </w:tc>
        <w:tc>
          <w:tcPr>
            <w:tcW w:w="679"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337</w:t>
            </w:r>
          </w:p>
        </w:tc>
        <w:tc>
          <w:tcPr>
            <w:tcW w:w="684"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357</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Inventory</w:t>
            </w:r>
          </w:p>
        </w:tc>
        <w:tc>
          <w:tcPr>
            <w:tcW w:w="675" w:type="dxa"/>
            <w:tcBorders>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612</w:t>
            </w:r>
          </w:p>
        </w:tc>
        <w:tc>
          <w:tcPr>
            <w:tcW w:w="682" w:type="dxa"/>
            <w:gridSpan w:val="2"/>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590</w:t>
            </w:r>
          </w:p>
        </w:tc>
        <w:tc>
          <w:tcPr>
            <w:tcW w:w="678"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604</w:t>
            </w:r>
          </w:p>
        </w:tc>
        <w:tc>
          <w:tcPr>
            <w:tcW w:w="679"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633</w:t>
            </w:r>
          </w:p>
        </w:tc>
        <w:tc>
          <w:tcPr>
            <w:tcW w:w="684"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657</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shd w:val="clear" w:color="auto" w:fill="auto"/>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shd w:val="clear" w:color="auto" w:fill="auto"/>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shd w:val="clear" w:color="auto" w:fill="auto"/>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shd w:val="clear" w:color="auto" w:fill="auto"/>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shd w:val="clear" w:color="auto" w:fill="auto"/>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Net fixed &amp; other tangibles</w:t>
            </w:r>
          </w:p>
        </w:tc>
        <w:tc>
          <w:tcPr>
            <w:tcW w:w="675" w:type="dxa"/>
            <w:tcBorders>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314</w:t>
            </w:r>
          </w:p>
        </w:tc>
        <w:tc>
          <w:tcPr>
            <w:tcW w:w="682" w:type="dxa"/>
            <w:gridSpan w:val="2"/>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323</w:t>
            </w:r>
          </w:p>
        </w:tc>
        <w:tc>
          <w:tcPr>
            <w:tcW w:w="678"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323</w:t>
            </w:r>
          </w:p>
        </w:tc>
        <w:tc>
          <w:tcPr>
            <w:tcW w:w="679"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323</w:t>
            </w:r>
          </w:p>
        </w:tc>
        <w:tc>
          <w:tcPr>
            <w:tcW w:w="684"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323</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top w:val="nil"/>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Goodwill &amp; intangibles</w:t>
            </w:r>
          </w:p>
        </w:tc>
        <w:tc>
          <w:tcPr>
            <w:tcW w:w="675" w:type="dxa"/>
            <w:tcBorders>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233</w:t>
            </w:r>
          </w:p>
        </w:tc>
        <w:tc>
          <w:tcPr>
            <w:tcW w:w="682" w:type="dxa"/>
            <w:gridSpan w:val="2"/>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233</w:t>
            </w:r>
          </w:p>
        </w:tc>
        <w:tc>
          <w:tcPr>
            <w:tcW w:w="678"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233</w:t>
            </w:r>
          </w:p>
        </w:tc>
        <w:tc>
          <w:tcPr>
            <w:tcW w:w="679"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233</w:t>
            </w:r>
          </w:p>
        </w:tc>
        <w:tc>
          <w:tcPr>
            <w:tcW w:w="684"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233</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left w:val="nil"/>
              <w:bottom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Financial &amp; other assets</w:t>
            </w:r>
          </w:p>
        </w:tc>
        <w:tc>
          <w:tcPr>
            <w:tcW w:w="675" w:type="dxa"/>
            <w:tcBorders>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98</w:t>
            </w:r>
          </w:p>
        </w:tc>
        <w:tc>
          <w:tcPr>
            <w:tcW w:w="682" w:type="dxa"/>
            <w:gridSpan w:val="2"/>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96</w:t>
            </w:r>
          </w:p>
        </w:tc>
        <w:tc>
          <w:tcPr>
            <w:tcW w:w="678"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107</w:t>
            </w:r>
          </w:p>
        </w:tc>
        <w:tc>
          <w:tcPr>
            <w:tcW w:w="679"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107</w:t>
            </w:r>
          </w:p>
        </w:tc>
        <w:tc>
          <w:tcPr>
            <w:tcW w:w="684"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107</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Total assets</w:t>
            </w:r>
          </w:p>
        </w:tc>
        <w:tc>
          <w:tcPr>
            <w:tcW w:w="675" w:type="dxa"/>
            <w:tcBorders>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1,856</w:t>
            </w:r>
          </w:p>
        </w:tc>
        <w:tc>
          <w:tcPr>
            <w:tcW w:w="682" w:type="dxa"/>
            <w:gridSpan w:val="2"/>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1,988</w:t>
            </w:r>
          </w:p>
        </w:tc>
        <w:tc>
          <w:tcPr>
            <w:tcW w:w="678"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2,179</w:t>
            </w:r>
          </w:p>
        </w:tc>
        <w:tc>
          <w:tcPr>
            <w:tcW w:w="679"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2,411</w:t>
            </w:r>
          </w:p>
        </w:tc>
        <w:tc>
          <w:tcPr>
            <w:tcW w:w="684"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2,670</w:t>
            </w:r>
          </w:p>
        </w:tc>
        <w:tc>
          <w:tcPr>
            <w:tcW w:w="76" w:type="dxa"/>
            <w:tcBorders>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Accounts payable</w:t>
            </w:r>
          </w:p>
        </w:tc>
        <w:tc>
          <w:tcPr>
            <w:tcW w:w="675"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70</w:t>
            </w:r>
          </w:p>
        </w:tc>
        <w:tc>
          <w:tcPr>
            <w:tcW w:w="682" w:type="dxa"/>
            <w:gridSpan w:val="2"/>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75</w:t>
            </w:r>
          </w:p>
        </w:tc>
        <w:tc>
          <w:tcPr>
            <w:tcW w:w="678"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74</w:t>
            </w:r>
          </w:p>
        </w:tc>
        <w:tc>
          <w:tcPr>
            <w:tcW w:w="679"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77</w:t>
            </w:r>
          </w:p>
        </w:tc>
        <w:tc>
          <w:tcPr>
            <w:tcW w:w="684" w:type="dxa"/>
            <w:tcBorders>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80</w:t>
            </w:r>
          </w:p>
        </w:tc>
        <w:tc>
          <w:tcPr>
            <w:tcW w:w="76" w:type="dxa"/>
            <w:tcBorders>
              <w:top w:val="nil"/>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Short-term debt</w:t>
            </w:r>
          </w:p>
        </w:tc>
        <w:tc>
          <w:tcPr>
            <w:tcW w:w="675" w:type="dxa"/>
            <w:tcBorders>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w:t>
            </w:r>
          </w:p>
        </w:tc>
        <w:tc>
          <w:tcPr>
            <w:tcW w:w="682" w:type="dxa"/>
            <w:gridSpan w:val="2"/>
            <w:tcBorders>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w:t>
            </w:r>
          </w:p>
        </w:tc>
        <w:tc>
          <w:tcPr>
            <w:tcW w:w="678" w:type="dxa"/>
            <w:tcBorders>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w:t>
            </w:r>
          </w:p>
        </w:tc>
        <w:tc>
          <w:tcPr>
            <w:tcW w:w="679" w:type="dxa"/>
            <w:tcBorders>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w:t>
            </w:r>
          </w:p>
        </w:tc>
        <w:tc>
          <w:tcPr>
            <w:tcW w:w="684" w:type="dxa"/>
            <w:tcBorders>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113</w:t>
            </w:r>
          </w:p>
        </w:tc>
        <w:tc>
          <w:tcPr>
            <w:tcW w:w="76" w:type="dxa"/>
            <w:tcBorders>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Long-term debt</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336</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354</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354</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354</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241</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Provisions &amp; other liab</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740</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708</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708</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708</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708</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Total liabilities</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1,147</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1,138</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1,138</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1,140</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1,143</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top w:val="nil"/>
              <w:left w:val="nil"/>
              <w:bottom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Shareholders' equity</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710</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850</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1,041</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1,271</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1,527</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sz w:val="16"/>
                <w:szCs w:val="16"/>
              </w:rPr>
            </w:pPr>
          </w:p>
        </w:tc>
        <w:tc>
          <w:tcPr>
            <w:tcW w:w="1764" w:type="dxa"/>
            <w:tcBorders>
              <w:top w:val="nil"/>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Minority interests</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0</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Total equity</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710</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850</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1,041</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1,271</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1,527</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b/>
                <w:bCs/>
                <w:sz w:val="16"/>
                <w:szCs w:val="16"/>
              </w:rPr>
            </w:pPr>
            <w:r w:rsidRPr="00C673C6">
              <w:rPr>
                <w:rFonts w:ascii="Arial Narrow" w:hAnsi="Arial Narrow"/>
                <w:b/>
                <w:bCs/>
                <w:sz w:val="16"/>
                <w:szCs w:val="16"/>
              </w:rPr>
              <w:t>Net debt (Adj)</w:t>
            </w:r>
          </w:p>
        </w:tc>
        <w:tc>
          <w:tcPr>
            <w:tcW w:w="675"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27</w:t>
            </w:r>
          </w:p>
        </w:tc>
        <w:tc>
          <w:tcPr>
            <w:tcW w:w="682" w:type="dxa"/>
            <w:gridSpan w:val="2"/>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-84</w:t>
            </w:r>
          </w:p>
        </w:tc>
        <w:tc>
          <w:tcPr>
            <w:tcW w:w="678"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-235</w:t>
            </w:r>
          </w:p>
        </w:tc>
        <w:tc>
          <w:tcPr>
            <w:tcW w:w="679"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-423</w:t>
            </w:r>
          </w:p>
        </w:tc>
        <w:tc>
          <w:tcPr>
            <w:tcW w:w="684" w:type="dxa"/>
            <w:tcBorders>
              <w:top w:val="nil"/>
              <w:left w:val="nil"/>
              <w:bottom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b/>
                <w:bCs/>
                <w:sz w:val="16"/>
                <w:szCs w:val="16"/>
              </w:rPr>
            </w:pPr>
            <w:r w:rsidRPr="00C673C6">
              <w:rPr>
                <w:rFonts w:ascii="Arial Narrow" w:hAnsi="Arial Narrow"/>
                <w:b/>
                <w:bCs/>
                <w:sz w:val="16"/>
                <w:szCs w:val="16"/>
              </w:rPr>
              <w:t>-638</w:t>
            </w:r>
          </w:p>
        </w:tc>
        <w:tc>
          <w:tcPr>
            <w:tcW w:w="76" w:type="dxa"/>
            <w:tcBorders>
              <w:top w:val="nil"/>
              <w:left w:val="nil"/>
              <w:bottom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right w:val="nil"/>
            </w:tcBorders>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1618"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rPr>
                <w:rFonts w:ascii="Arial Narrow" w:hAnsi="Arial Narrow"/>
                <w:sz w:val="16"/>
                <w:szCs w:val="16"/>
              </w:rPr>
            </w:pPr>
            <w:r w:rsidRPr="00C673C6">
              <w:rPr>
                <w:rFonts w:ascii="Arial Narrow" w:hAnsi="Arial Narrow"/>
                <w:sz w:val="16"/>
                <w:szCs w:val="16"/>
              </w:rPr>
              <w:t>Net debt to equity (Adj) (%)</w:t>
            </w:r>
          </w:p>
        </w:tc>
        <w:tc>
          <w:tcPr>
            <w:tcW w:w="675"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3.7</w:t>
            </w:r>
          </w:p>
        </w:tc>
        <w:tc>
          <w:tcPr>
            <w:tcW w:w="682" w:type="dxa"/>
            <w:gridSpan w:val="2"/>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-9.8</w:t>
            </w:r>
          </w:p>
        </w:tc>
        <w:tc>
          <w:tcPr>
            <w:tcW w:w="678"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-22.6</w:t>
            </w:r>
          </w:p>
        </w:tc>
        <w:tc>
          <w:tcPr>
            <w:tcW w:w="679"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-33.3</w:t>
            </w:r>
          </w:p>
        </w:tc>
        <w:tc>
          <w:tcPr>
            <w:tcW w:w="684" w:type="dxa"/>
            <w:tcBorders>
              <w:top w:val="nil"/>
              <w:left w:val="nil"/>
              <w:right w:val="nil"/>
            </w:tcBorders>
            <w:shd w:val="clear" w:color="auto" w:fill="auto"/>
            <w:noWrap/>
            <w:tcMar>
              <w:left w:w="14" w:type="dxa"/>
              <w:right w:w="-1" w:type="dxa"/>
            </w:tcMar>
            <w:vAlign w:val="center"/>
          </w:tcPr>
          <w:p w:rsidR="007F3ED6" w:rsidRPr="00C673C6" w:rsidRDefault="007F3ED6" w:rsidP="007F3ED6">
            <w:pPr>
              <w:spacing w:line="240" w:lineRule="auto"/>
              <w:jc w:val="right"/>
              <w:rPr>
                <w:rFonts w:ascii="Arial Narrow" w:hAnsi="Arial Narrow"/>
                <w:sz w:val="16"/>
                <w:szCs w:val="16"/>
              </w:rPr>
            </w:pPr>
            <w:r w:rsidRPr="00C673C6">
              <w:rPr>
                <w:rFonts w:ascii="Arial Narrow" w:hAnsi="Arial Narrow"/>
                <w:sz w:val="16"/>
                <w:szCs w:val="16"/>
              </w:rPr>
              <w:t>-41.8</w:t>
            </w:r>
          </w:p>
        </w:tc>
        <w:tc>
          <w:tcPr>
            <w:tcW w:w="76" w:type="dxa"/>
            <w:tcBorders>
              <w:top w:val="nil"/>
              <w:left w:val="nil"/>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top w:val="nil"/>
              <w:left w:val="nil"/>
              <w:right w:val="nil"/>
            </w:tcBorders>
            <w:shd w:val="clear" w:color="auto" w:fill="auto"/>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top w:val="nil"/>
              <w:left w:val="nil"/>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rsidRPr="00C673C6">
        <w:trPr>
          <w:trHeight w:hRule="exact" w:val="230"/>
        </w:trPr>
        <w:tc>
          <w:tcPr>
            <w:tcW w:w="5016" w:type="dxa"/>
            <w:gridSpan w:val="7"/>
            <w:tcBorders>
              <w:left w:val="nil"/>
              <w:bottom w:val="single" w:sz="12" w:space="0" w:color="002D72"/>
              <w:right w:val="nil"/>
            </w:tcBorders>
            <w:shd w:val="clear" w:color="auto" w:fill="auto"/>
            <w:noWrap/>
            <w:tcMar>
              <w:left w:w="14" w:type="dxa"/>
              <w:right w:w="-1" w:type="dxa"/>
            </w:tcMar>
          </w:tcPr>
          <w:p w:rsidR="007F3ED6" w:rsidRPr="00C673C6" w:rsidRDefault="007F3ED6" w:rsidP="007F3ED6">
            <w:pPr>
              <w:spacing w:line="240" w:lineRule="auto"/>
              <w:rPr>
                <w:rFonts w:ascii="CIR Trade Gothic Cn" w:hAnsi="CIR Trade Gothic Cn"/>
                <w:b/>
                <w:bCs/>
                <w:sz w:val="16"/>
                <w:szCs w:val="16"/>
              </w:rPr>
            </w:pPr>
          </w:p>
          <w:p w:rsidR="007F3ED6" w:rsidRPr="00C673C6" w:rsidRDefault="007F3ED6" w:rsidP="007F3ED6">
            <w:pPr>
              <w:spacing w:line="240" w:lineRule="auto"/>
              <w:rPr>
                <w:rFonts w:ascii="CIR Trade Gothic Cn" w:hAnsi="CIR Trade Gothic Cn"/>
                <w:b/>
                <w:bCs/>
                <w:sz w:val="16"/>
                <w:szCs w:val="16"/>
              </w:rPr>
            </w:pPr>
          </w:p>
        </w:tc>
        <w:tc>
          <w:tcPr>
            <w:tcW w:w="76" w:type="dxa"/>
            <w:tcBorders>
              <w:left w:val="nil"/>
              <w:bottom w:val="single" w:sz="12" w:space="0" w:color="002D72"/>
              <w:right w:val="nil"/>
            </w:tcBorders>
            <w:noWrap/>
            <w:tcMar>
              <w:left w:w="29" w:type="dxa"/>
              <w:right w:w="-1" w:type="dxa"/>
            </w:tcMar>
          </w:tcPr>
          <w:p w:rsidR="007F3ED6" w:rsidRPr="00C673C6" w:rsidRDefault="007F3ED6" w:rsidP="007F3ED6">
            <w:pPr>
              <w:spacing w:line="240" w:lineRule="auto"/>
              <w:jc w:val="right"/>
              <w:rPr>
                <w:rFonts w:ascii="Arial Narrow" w:hAnsi="Arial Narrow"/>
                <w:b/>
                <w:sz w:val="16"/>
                <w:szCs w:val="16"/>
              </w:rPr>
            </w:pPr>
          </w:p>
        </w:tc>
        <w:tc>
          <w:tcPr>
            <w:tcW w:w="1764" w:type="dxa"/>
            <w:tcBorders>
              <w:left w:val="nil"/>
              <w:bottom w:val="single" w:sz="12" w:space="0" w:color="002D72"/>
              <w:right w:val="nil"/>
            </w:tcBorders>
            <w:shd w:val="clear" w:color="auto" w:fill="auto"/>
            <w:noWrap/>
            <w:tcMar>
              <w:left w:w="14" w:type="dxa"/>
              <w:right w:w="-1" w:type="dxa"/>
            </w:tcMar>
            <w:vAlign w:val="center"/>
          </w:tcPr>
          <w:p w:rsidR="007F3ED6" w:rsidRPr="00F469C2" w:rsidRDefault="007F3ED6" w:rsidP="007F3ED6">
            <w:pPr>
              <w:spacing w:line="240" w:lineRule="auto"/>
              <w:rPr>
                <w:rFonts w:ascii="Arial Narrow" w:hAnsi="Arial Narrow"/>
                <w:sz w:val="16"/>
                <w:szCs w:val="16"/>
              </w:rPr>
            </w:pPr>
          </w:p>
        </w:tc>
        <w:tc>
          <w:tcPr>
            <w:tcW w:w="666" w:type="dxa"/>
            <w:tcBorders>
              <w:top w:val="nil"/>
              <w:left w:val="nil"/>
              <w:bottom w:val="single" w:sz="12" w:space="0" w:color="002D72"/>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6" w:type="dxa"/>
            <w:tcBorders>
              <w:top w:val="nil"/>
              <w:left w:val="nil"/>
              <w:bottom w:val="single" w:sz="12" w:space="0" w:color="002D72"/>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single" w:sz="12" w:space="0" w:color="002D72"/>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57" w:type="dxa"/>
            <w:tcBorders>
              <w:top w:val="nil"/>
              <w:left w:val="nil"/>
              <w:bottom w:val="single" w:sz="12" w:space="0" w:color="002D72"/>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c>
          <w:tcPr>
            <w:tcW w:w="664" w:type="dxa"/>
            <w:tcBorders>
              <w:top w:val="nil"/>
              <w:left w:val="nil"/>
              <w:bottom w:val="single" w:sz="12" w:space="0" w:color="002D72"/>
              <w:right w:val="nil"/>
            </w:tcBorders>
            <w:noWrap/>
            <w:tcMar>
              <w:left w:w="14" w:type="dxa"/>
              <w:right w:w="-1" w:type="dxa"/>
            </w:tcMar>
            <w:vAlign w:val="center"/>
          </w:tcPr>
          <w:p w:rsidR="007F3ED6" w:rsidRPr="00F469C2" w:rsidRDefault="007F3ED6" w:rsidP="007F3ED6">
            <w:pPr>
              <w:spacing w:line="240" w:lineRule="auto"/>
              <w:jc w:val="right"/>
              <w:rPr>
                <w:rFonts w:ascii="Arial Narrow" w:hAnsi="Arial Narrow"/>
                <w:sz w:val="16"/>
                <w:szCs w:val="16"/>
              </w:rPr>
            </w:pPr>
          </w:p>
        </w:tc>
      </w:tr>
      <w:tr w:rsidR="007F3ED6">
        <w:trPr>
          <w:trHeight w:val="100"/>
        </w:trPr>
        <w:tc>
          <w:tcPr>
            <w:tcW w:w="10166" w:type="dxa"/>
            <w:gridSpan w:val="14"/>
            <w:tcBorders>
              <w:top w:val="single" w:sz="12" w:space="0" w:color="002D72"/>
              <w:left w:val="nil"/>
              <w:right w:val="nil"/>
            </w:tcBorders>
            <w:shd w:val="clear" w:color="auto" w:fill="auto"/>
            <w:noWrap/>
            <w:tcMar>
              <w:left w:w="14" w:type="dxa"/>
              <w:right w:w="-1" w:type="dxa"/>
            </w:tcMar>
          </w:tcPr>
          <w:p w:rsidR="007F3ED6" w:rsidRPr="00260EDA" w:rsidRDefault="007F3ED6" w:rsidP="007F3ED6">
            <w:pPr>
              <w:pStyle w:val="NormalWeb"/>
              <w:spacing w:before="0" w:beforeAutospacing="0" w:after="0" w:afterAutospacing="0"/>
              <w:rPr>
                <w:rFonts w:ascii="Arial Narrow" w:hAnsi="Arial Narrow"/>
                <w:bCs/>
                <w:noProof/>
                <w:sz w:val="16"/>
                <w:szCs w:val="16"/>
                <w:lang w:eastAsia="zh-TW"/>
              </w:rPr>
            </w:pPr>
          </w:p>
        </w:tc>
      </w:tr>
      <w:tr w:rsidR="007F3ED6">
        <w:trPr>
          <w:trHeight w:hRule="exact" w:val="342"/>
        </w:trPr>
        <w:tc>
          <w:tcPr>
            <w:tcW w:w="10166" w:type="dxa"/>
            <w:gridSpan w:val="14"/>
            <w:tcBorders>
              <w:left w:val="nil"/>
              <w:right w:val="nil"/>
            </w:tcBorders>
            <w:shd w:val="clear" w:color="auto" w:fill="auto"/>
            <w:noWrap/>
            <w:tcMar>
              <w:left w:w="14" w:type="dxa"/>
              <w:right w:w="-1" w:type="dxa"/>
            </w:tcMar>
          </w:tcPr>
          <w:p w:rsidR="007F3ED6" w:rsidRDefault="007F3ED6" w:rsidP="007F3ED6">
            <w:pPr>
              <w:spacing w:line="240" w:lineRule="auto"/>
              <w:rPr>
                <w:rFonts w:ascii="Arial Narrow" w:hAnsi="Arial Narrow"/>
                <w:sz w:val="13"/>
                <w:szCs w:val="13"/>
              </w:rPr>
            </w:pPr>
            <w:r>
              <w:rPr>
                <w:rFonts w:ascii="Arial Narrow" w:hAnsi="Arial Narrow"/>
                <w:bCs/>
                <w:noProof/>
                <w:sz w:val="13"/>
                <w:szCs w:val="13"/>
              </w:rPr>
              <w:drawing>
                <wp:anchor distT="0" distB="0" distL="114300" distR="114300" simplePos="0" relativeHeight="251670528" behindDoc="0" locked="0" layoutInCell="1" allowOverlap="1" wp14:anchorId="33379A66" wp14:editId="772B0F45">
                  <wp:simplePos x="0" y="0"/>
                  <wp:positionH relativeFrom="column">
                    <wp:posOffset>5650865</wp:posOffset>
                  </wp:positionH>
                  <wp:positionV relativeFrom="paragraph">
                    <wp:posOffset>57785</wp:posOffset>
                  </wp:positionV>
                  <wp:extent cx="731520" cy="233680"/>
                  <wp:effectExtent l="0" t="0" r="0" b="0"/>
                  <wp:wrapNone/>
                  <wp:docPr id="4" name="Picture 4" title="dataCentr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1520" cy="233680"/>
                          </a:xfrm>
                          <a:prstGeom prst="rect">
                            <a:avLst/>
                          </a:prstGeom>
                          <a:noFill/>
                        </pic:spPr>
                      </pic:pic>
                    </a:graphicData>
                  </a:graphic>
                  <wp14:sizeRelH relativeFrom="page">
                    <wp14:pctWidth>0</wp14:pctWidth>
                  </wp14:sizeRelH>
                  <wp14:sizeRelV relativeFrom="page">
                    <wp14:pctHeight>0</wp14:pctHeight>
                  </wp14:sizeRelV>
                </wp:anchor>
              </w:drawing>
            </w:r>
            <w:r>
              <w:rPr>
                <w:rFonts w:ascii="Arial Narrow" w:hAnsi="Arial Narrow"/>
                <w:sz w:val="13"/>
                <w:szCs w:val="13"/>
              </w:rPr>
              <w:t xml:space="preserve">For definitions of the items in this table, please click </w:t>
            </w:r>
            <w:hyperlink r:id="rId17" w:tooltip="https://ir.citi.com/f00GW%2bvUDr0rkBEPUVrWOKbMaU5Xj1JESy9eJUXbikbUxo4LkYymrt6hPl7OKIdoyErKKC77YbUpF1sAI8l8yA%3d%3d|Research Document|PDF|10008965" w:history="1">
              <w:r>
                <w:rPr>
                  <w:rStyle w:val="Hyperlink"/>
                  <w:rFonts w:ascii="Arial Narrow" w:hAnsi="Arial Narrow"/>
                  <w:sz w:val="13"/>
                  <w:szCs w:val="13"/>
                </w:rPr>
                <w:t>here</w:t>
              </w:r>
            </w:hyperlink>
            <w:r>
              <w:rPr>
                <w:rFonts w:ascii="Arial Narrow" w:hAnsi="Arial Narrow"/>
                <w:sz w:val="13"/>
                <w:szCs w:val="13"/>
              </w:rPr>
              <w:t>.</w:t>
            </w:r>
          </w:p>
          <w:p w:rsidR="007F3ED6" w:rsidRDefault="007F3ED6" w:rsidP="007F3ED6">
            <w:pPr>
              <w:spacing w:line="240" w:lineRule="auto"/>
              <w:rPr>
                <w:rFonts w:ascii="Arial Narrow" w:hAnsi="Arial Narrow"/>
                <w:bCs/>
                <w:noProof/>
                <w:sz w:val="13"/>
                <w:szCs w:val="13"/>
                <w:lang w:eastAsia="zh-CN"/>
              </w:rPr>
            </w:pPr>
          </w:p>
        </w:tc>
      </w:tr>
    </w:tbl>
    <w:p w:rsidR="00A0169C" w:rsidRDefault="00A0169C">
      <w:pPr>
        <w:pStyle w:val="CIRFigure"/>
      </w:pPr>
    </w:p>
    <w:p w:rsidR="00A0169C" w:rsidRDefault="00A0169C">
      <w:pPr>
        <w:sectPr w:rsidR="00A0169C">
          <w:headerReference w:type="default" r:id="rId18"/>
          <w:footerReference w:type="default" r:id="rId19"/>
          <w:pgSz w:w="12240" w:h="15840" w:code="1"/>
          <w:pgMar w:top="1440" w:right="1008" w:bottom="720" w:left="1008" w:header="288" w:footer="346" w:gutter="0"/>
          <w:cols w:space="720"/>
          <w:docGrid w:linePitch="360"/>
        </w:sectPr>
      </w:pPr>
      <w:permStart w:id="433088896" w:edGrp="everyone"/>
    </w:p>
    <w:permEnd w:id="433088896" w:displacedByCustomXml="next"/>
    <w:sdt>
      <w:sdtPr>
        <w:rPr>
          <w:rFonts w:eastAsia="PMingLiU"/>
        </w:rPr>
        <w:tag w:val="bodyText"/>
        <w:id w:val="-908761791"/>
        <w:placeholder>
          <w:docPart w:val="D967E9EEB6494CFB8C0BC4D33B7EDA15"/>
        </w:placeholder>
      </w:sdtPr>
      <w:sdtEndPr>
        <w:rPr>
          <w:rFonts w:eastAsiaTheme="minorEastAsia"/>
        </w:rPr>
      </w:sdtEndPr>
      <w:sdtContent>
        <w:p w:rsidR="00A0169C" w:rsidRDefault="00A0169C">
          <w:pPr>
            <w:spacing w:line="14" w:lineRule="auto"/>
            <w:rPr>
              <w:rFonts w:eastAsia="PMingLiU"/>
            </w:rPr>
          </w:pPr>
        </w:p>
        <w:p w:rsidR="00A0169C" w:rsidRDefault="00A0169C">
          <w:pPr>
            <w:pStyle w:val="CIRChapter"/>
            <w:pageBreakBefore w:val="0"/>
            <w:framePr w:wrap="around" w:hAnchor="page" w:x="4535" w:anchorLock="0"/>
            <w:rPr>
              <w:rFonts w:cs="Times New Roman"/>
            </w:rPr>
          </w:pPr>
          <w:bookmarkStart w:id="34" w:name="bkm_TextBegin"/>
          <w:bookmarkEnd w:id="34"/>
          <w:permStart w:id="1205564782" w:edGrp="everyone"/>
        </w:p>
        <w:p w:rsidR="00A0169C" w:rsidRDefault="00A0169C">
          <w:pPr>
            <w:pStyle w:val="CIRBodyText"/>
          </w:pPr>
        </w:p>
        <w:sdt>
          <w:sdtPr>
            <w:rPr>
              <w:rFonts w:eastAsia="PMingLiU"/>
            </w:rPr>
            <w:tag w:val="bodyText"/>
            <w:id w:val="281996167"/>
            <w:placeholder>
              <w:docPart w:val="DF0296E61E4C4428A1B432C8AEBE7A5A"/>
            </w:placeholder>
          </w:sdtPr>
          <w:sdtEndPr>
            <w:rPr>
              <w:rFonts w:eastAsiaTheme="minorEastAsia"/>
            </w:rPr>
          </w:sdtEndPr>
          <w:sdtContent>
            <w:p w:rsidR="007F3ED6" w:rsidRPr="00136C1C" w:rsidRDefault="007F3ED6" w:rsidP="007F3ED6">
              <w:pPr>
                <w:spacing w:line="14" w:lineRule="auto"/>
                <w:rPr>
                  <w:rFonts w:eastAsia="PMingLiU"/>
                </w:rPr>
              </w:pPr>
            </w:p>
            <w:p w:rsidR="007F3ED6" w:rsidRDefault="007F3ED6" w:rsidP="007F3ED6">
              <w:pPr>
                <w:pStyle w:val="CIRTOCTitle"/>
                <w:framePr w:wrap="around"/>
              </w:pPr>
              <w:r>
                <w:t>Contents</w:t>
              </w:r>
            </w:p>
            <w:p w:rsidR="007F3ED6" w:rsidRDefault="007F3ED6" w:rsidP="007F3ED6">
              <w:pPr>
                <w:pStyle w:val="TOC1"/>
                <w:rPr>
                  <w:rFonts w:asciiTheme="minorHAnsi" w:eastAsiaTheme="minorEastAsia" w:hAnsiTheme="minorHAnsi" w:cstheme="minorBidi"/>
                  <w:b w:val="0"/>
                  <w:bCs w:val="0"/>
                  <w:kern w:val="0"/>
                  <w:szCs w:val="22"/>
                  <w:lang w:val="en-GB" w:eastAsia="en-GB"/>
                </w:rPr>
              </w:pPr>
              <w:r>
                <w:fldChar w:fldCharType="begin"/>
              </w:r>
              <w:r>
                <w:instrText xml:space="preserve"> TOC \t "CIR Chapter,1,Heading 1,2,Heading 2,3" </w:instrText>
              </w:r>
              <w:r>
                <w:fldChar w:fldCharType="separate"/>
              </w:r>
              <w:r>
                <w:t>Investment Summary</w:t>
              </w:r>
              <w:r>
                <w:tab/>
              </w:r>
              <w:r>
                <w:fldChar w:fldCharType="begin"/>
              </w:r>
              <w:r>
                <w:instrText xml:space="preserve"> PAGEREF _Toc406509687 \h </w:instrText>
              </w:r>
              <w:r>
                <w:fldChar w:fldCharType="separate"/>
              </w:r>
              <w:r>
                <w:t>4</w:t>
              </w:r>
              <w: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Initiate with a Buy and a DKr158 TP (+23.8% ETR)</w:t>
              </w:r>
              <w:r>
                <w:rPr>
                  <w:noProof/>
                </w:rPr>
                <w:tab/>
              </w:r>
              <w:r>
                <w:rPr>
                  <w:noProof/>
                </w:rPr>
                <w:fldChar w:fldCharType="begin"/>
              </w:r>
              <w:r>
                <w:rPr>
                  <w:noProof/>
                </w:rPr>
                <w:instrText xml:space="preserve"> PAGEREF _Toc406509688 \h </w:instrText>
              </w:r>
              <w:r>
                <w:rPr>
                  <w:noProof/>
                </w:rPr>
              </w:r>
              <w:r>
                <w:rPr>
                  <w:noProof/>
                </w:rPr>
                <w:fldChar w:fldCharType="separate"/>
              </w:r>
              <w:r>
                <w:rPr>
                  <w:noProof/>
                </w:rPr>
                <w:t>4</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Unified Communications to accelerate headset growth</w:t>
              </w:r>
              <w:r>
                <w:rPr>
                  <w:noProof/>
                </w:rPr>
                <w:tab/>
              </w:r>
              <w:r>
                <w:rPr>
                  <w:noProof/>
                </w:rPr>
                <w:fldChar w:fldCharType="begin"/>
              </w:r>
              <w:r>
                <w:rPr>
                  <w:noProof/>
                </w:rPr>
                <w:instrText xml:space="preserve"> PAGEREF _Toc406509689 \h </w:instrText>
              </w:r>
              <w:r>
                <w:rPr>
                  <w:noProof/>
                </w:rPr>
              </w:r>
              <w:r>
                <w:rPr>
                  <w:noProof/>
                </w:rPr>
                <w:fldChar w:fldCharType="separate"/>
              </w:r>
              <w:r>
                <w:rPr>
                  <w:noProof/>
                </w:rPr>
                <w:t>4</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Hearing aid share gains should last until at least 2016-17</w:t>
              </w:r>
              <w:r>
                <w:rPr>
                  <w:noProof/>
                </w:rPr>
                <w:tab/>
              </w:r>
              <w:r>
                <w:rPr>
                  <w:noProof/>
                </w:rPr>
                <w:fldChar w:fldCharType="begin"/>
              </w:r>
              <w:r>
                <w:rPr>
                  <w:noProof/>
                </w:rPr>
                <w:instrText xml:space="preserve"> PAGEREF _Toc406509690 \h </w:instrText>
              </w:r>
              <w:r>
                <w:rPr>
                  <w:noProof/>
                </w:rPr>
              </w:r>
              <w:r>
                <w:rPr>
                  <w:noProof/>
                </w:rPr>
                <w:fldChar w:fldCharType="separate"/>
              </w:r>
              <w:r>
                <w:rPr>
                  <w:noProof/>
                </w:rPr>
                <w:t>5</w:t>
              </w:r>
              <w:r>
                <w:rPr>
                  <w:noProof/>
                </w:rPr>
                <w:fldChar w:fldCharType="end"/>
              </w:r>
            </w:p>
            <w:p w:rsidR="007F3ED6" w:rsidRDefault="007F3ED6" w:rsidP="007F3ED6">
              <w:pPr>
                <w:pStyle w:val="TOC1"/>
                <w:rPr>
                  <w:rFonts w:asciiTheme="minorHAnsi" w:eastAsiaTheme="minorEastAsia" w:hAnsiTheme="minorHAnsi" w:cstheme="minorBidi"/>
                  <w:b w:val="0"/>
                  <w:bCs w:val="0"/>
                  <w:kern w:val="0"/>
                  <w:szCs w:val="22"/>
                  <w:lang w:val="en-GB" w:eastAsia="en-GB"/>
                </w:rPr>
              </w:pPr>
              <w:r w:rsidRPr="003607DC">
                <w:rPr>
                  <w:lang w:val="en-GB"/>
                </w:rPr>
                <w:t>Valuation</w:t>
              </w:r>
              <w:r>
                <w:tab/>
              </w:r>
              <w:r>
                <w:fldChar w:fldCharType="begin"/>
              </w:r>
              <w:r>
                <w:instrText xml:space="preserve"> PAGEREF _Toc406509691 \h </w:instrText>
              </w:r>
              <w:r>
                <w:fldChar w:fldCharType="separate"/>
              </w:r>
              <w:r>
                <w:t>7</w:t>
              </w:r>
              <w:r>
                <w:fldChar w:fldCharType="end"/>
              </w:r>
            </w:p>
            <w:p w:rsidR="007F3ED6" w:rsidRDefault="007F3ED6" w:rsidP="007F3ED6">
              <w:pPr>
                <w:pStyle w:val="TOC1"/>
                <w:rPr>
                  <w:rFonts w:asciiTheme="minorHAnsi" w:eastAsiaTheme="minorEastAsia" w:hAnsiTheme="minorHAnsi" w:cstheme="minorBidi"/>
                  <w:b w:val="0"/>
                  <w:bCs w:val="0"/>
                  <w:kern w:val="0"/>
                  <w:szCs w:val="22"/>
                  <w:lang w:val="en-GB" w:eastAsia="en-GB"/>
                </w:rPr>
              </w:pPr>
              <w:r w:rsidRPr="003607DC">
                <w:rPr>
                  <w:lang w:val="en-GB"/>
                </w:rPr>
                <w:t>Company Overview</w:t>
              </w:r>
              <w:r>
                <w:tab/>
              </w:r>
              <w:r>
                <w:fldChar w:fldCharType="begin"/>
              </w:r>
              <w:r>
                <w:instrText xml:space="preserve"> PAGEREF _Toc406509692 \h </w:instrText>
              </w:r>
              <w:r>
                <w:fldChar w:fldCharType="separate"/>
              </w:r>
              <w:r>
                <w:t>9</w:t>
              </w:r>
              <w: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2014-16 strategy shifted focus towards growth</w:t>
              </w:r>
              <w:r>
                <w:rPr>
                  <w:noProof/>
                </w:rPr>
                <w:tab/>
              </w:r>
              <w:r>
                <w:rPr>
                  <w:noProof/>
                </w:rPr>
                <w:fldChar w:fldCharType="begin"/>
              </w:r>
              <w:r>
                <w:rPr>
                  <w:noProof/>
                </w:rPr>
                <w:instrText xml:space="preserve"> PAGEREF _Toc406509693 \h </w:instrText>
              </w:r>
              <w:r>
                <w:rPr>
                  <w:noProof/>
                </w:rPr>
              </w:r>
              <w:r>
                <w:rPr>
                  <w:noProof/>
                </w:rPr>
                <w:fldChar w:fldCharType="separate"/>
              </w:r>
              <w:r>
                <w:rPr>
                  <w:noProof/>
                </w:rPr>
                <w:t>10</w:t>
              </w:r>
              <w:r>
                <w:rPr>
                  <w:noProof/>
                </w:rPr>
                <w:fldChar w:fldCharType="end"/>
              </w:r>
            </w:p>
            <w:p w:rsidR="007F3ED6" w:rsidRDefault="007F3ED6" w:rsidP="007F3ED6">
              <w:pPr>
                <w:pStyle w:val="TOC1"/>
                <w:rPr>
                  <w:rFonts w:asciiTheme="minorHAnsi" w:eastAsiaTheme="minorEastAsia" w:hAnsiTheme="minorHAnsi" w:cstheme="minorBidi"/>
                  <w:b w:val="0"/>
                  <w:bCs w:val="0"/>
                  <w:kern w:val="0"/>
                  <w:szCs w:val="22"/>
                  <w:lang w:val="en-GB" w:eastAsia="en-GB"/>
                </w:rPr>
              </w:pPr>
              <w:r w:rsidRPr="003607DC">
                <w:rPr>
                  <w:lang w:val="en-GB"/>
                </w:rPr>
                <w:t>GN ReSound (62% of sales, 64% of EBITA)</w:t>
              </w:r>
              <w:r>
                <w:tab/>
              </w:r>
              <w:r>
                <w:fldChar w:fldCharType="begin"/>
              </w:r>
              <w:r>
                <w:instrText xml:space="preserve"> PAGEREF _Toc406509694 \h </w:instrText>
              </w:r>
              <w:r>
                <w:fldChar w:fldCharType="separate"/>
              </w:r>
              <w:r>
                <w:t>12</w:t>
              </w:r>
              <w: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EBITA margin should expand despite investments</w:t>
              </w:r>
              <w:r>
                <w:rPr>
                  <w:noProof/>
                </w:rPr>
                <w:tab/>
              </w:r>
              <w:r>
                <w:rPr>
                  <w:noProof/>
                </w:rPr>
                <w:fldChar w:fldCharType="begin"/>
              </w:r>
              <w:r>
                <w:rPr>
                  <w:noProof/>
                </w:rPr>
                <w:instrText xml:space="preserve"> PAGEREF _Toc406509695 \h </w:instrText>
              </w:r>
              <w:r>
                <w:rPr>
                  <w:noProof/>
                </w:rPr>
              </w:r>
              <w:r>
                <w:rPr>
                  <w:noProof/>
                </w:rPr>
                <w:fldChar w:fldCharType="separate"/>
              </w:r>
              <w:r>
                <w:rPr>
                  <w:noProof/>
                </w:rPr>
                <w:t>12</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Hearing aids (54% of Group sales)</w:t>
              </w:r>
              <w:r>
                <w:rPr>
                  <w:noProof/>
                </w:rPr>
                <w:tab/>
              </w:r>
              <w:r>
                <w:rPr>
                  <w:noProof/>
                </w:rPr>
                <w:fldChar w:fldCharType="begin"/>
              </w:r>
              <w:r>
                <w:rPr>
                  <w:noProof/>
                </w:rPr>
                <w:instrText xml:space="preserve"> PAGEREF _Toc406509696 \h </w:instrText>
              </w:r>
              <w:r>
                <w:rPr>
                  <w:noProof/>
                </w:rPr>
              </w:r>
              <w:r>
                <w:rPr>
                  <w:noProof/>
                </w:rPr>
                <w:fldChar w:fldCharType="separate"/>
              </w:r>
              <w:r>
                <w:rPr>
                  <w:noProof/>
                </w:rPr>
                <w:t>13</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iPhone connectivity a driver of market share gains</w:t>
              </w:r>
              <w:r>
                <w:rPr>
                  <w:noProof/>
                </w:rPr>
                <w:tab/>
              </w:r>
              <w:r>
                <w:rPr>
                  <w:noProof/>
                </w:rPr>
                <w:fldChar w:fldCharType="begin"/>
              </w:r>
              <w:r>
                <w:rPr>
                  <w:noProof/>
                </w:rPr>
                <w:instrText xml:space="preserve"> PAGEREF _Toc406509697 \h </w:instrText>
              </w:r>
              <w:r>
                <w:rPr>
                  <w:noProof/>
                </w:rPr>
              </w:r>
              <w:r>
                <w:rPr>
                  <w:noProof/>
                </w:rPr>
                <w:fldChar w:fldCharType="separate"/>
              </w:r>
              <w:r>
                <w:rPr>
                  <w:noProof/>
                </w:rPr>
                <w:t>14</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Technological advantage should last until at least 2016-17</w:t>
              </w:r>
              <w:r>
                <w:rPr>
                  <w:noProof/>
                </w:rPr>
                <w:tab/>
              </w:r>
              <w:r>
                <w:rPr>
                  <w:noProof/>
                </w:rPr>
                <w:fldChar w:fldCharType="begin"/>
              </w:r>
              <w:r>
                <w:rPr>
                  <w:noProof/>
                </w:rPr>
                <w:instrText xml:space="preserve"> PAGEREF _Toc406509698 \h </w:instrText>
              </w:r>
              <w:r>
                <w:rPr>
                  <w:noProof/>
                </w:rPr>
              </w:r>
              <w:r>
                <w:rPr>
                  <w:noProof/>
                </w:rPr>
                <w:fldChar w:fldCharType="separate"/>
              </w:r>
              <w:r>
                <w:rPr>
                  <w:noProof/>
                </w:rPr>
                <w:t>15</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New VA contract – GN should maintain share gains</w:t>
              </w:r>
              <w:r>
                <w:rPr>
                  <w:noProof/>
                </w:rPr>
                <w:tab/>
              </w:r>
              <w:r>
                <w:rPr>
                  <w:noProof/>
                </w:rPr>
                <w:fldChar w:fldCharType="begin"/>
              </w:r>
              <w:r>
                <w:rPr>
                  <w:noProof/>
                </w:rPr>
                <w:instrText xml:space="preserve"> PAGEREF _Toc406509699 \h </w:instrText>
              </w:r>
              <w:r>
                <w:rPr>
                  <w:noProof/>
                </w:rPr>
              </w:r>
              <w:r>
                <w:rPr>
                  <w:noProof/>
                </w:rPr>
                <w:fldChar w:fldCharType="separate"/>
              </w:r>
              <w:r>
                <w:rPr>
                  <w:noProof/>
                </w:rPr>
                <w:t>15</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Upcoming Amplifon and Costco hearing aid contracts:</w:t>
              </w:r>
              <w:r>
                <w:rPr>
                  <w:noProof/>
                </w:rPr>
                <w:tab/>
              </w:r>
              <w:r>
                <w:rPr>
                  <w:noProof/>
                </w:rPr>
                <w:fldChar w:fldCharType="begin"/>
              </w:r>
              <w:r>
                <w:rPr>
                  <w:noProof/>
                </w:rPr>
                <w:instrText xml:space="preserve"> PAGEREF _Toc406509700 \h </w:instrText>
              </w:r>
              <w:r>
                <w:rPr>
                  <w:noProof/>
                </w:rPr>
              </w:r>
              <w:r>
                <w:rPr>
                  <w:noProof/>
                </w:rPr>
                <w:fldChar w:fldCharType="separate"/>
              </w:r>
              <w:r>
                <w:rPr>
                  <w:noProof/>
                </w:rPr>
                <w:t>16</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Hearing Diagnostics (8% of Group sales)</w:t>
              </w:r>
              <w:r>
                <w:rPr>
                  <w:noProof/>
                </w:rPr>
                <w:tab/>
              </w:r>
              <w:r>
                <w:rPr>
                  <w:noProof/>
                </w:rPr>
                <w:fldChar w:fldCharType="begin"/>
              </w:r>
              <w:r>
                <w:rPr>
                  <w:noProof/>
                </w:rPr>
                <w:instrText xml:space="preserve"> PAGEREF _Toc406509701 \h </w:instrText>
              </w:r>
              <w:r>
                <w:rPr>
                  <w:noProof/>
                </w:rPr>
              </w:r>
              <w:r>
                <w:rPr>
                  <w:noProof/>
                </w:rPr>
                <w:fldChar w:fldCharType="separate"/>
              </w:r>
              <w:r>
                <w:rPr>
                  <w:noProof/>
                </w:rPr>
                <w:t>17</w:t>
              </w:r>
              <w:r>
                <w:rPr>
                  <w:noProof/>
                </w:rPr>
                <w:fldChar w:fldCharType="end"/>
              </w:r>
            </w:p>
            <w:p w:rsidR="007F3ED6" w:rsidRDefault="007F3ED6" w:rsidP="007F3ED6">
              <w:pPr>
                <w:pStyle w:val="TOC1"/>
                <w:rPr>
                  <w:rFonts w:asciiTheme="minorHAnsi" w:eastAsiaTheme="minorEastAsia" w:hAnsiTheme="minorHAnsi" w:cstheme="minorBidi"/>
                  <w:b w:val="0"/>
                  <w:bCs w:val="0"/>
                  <w:kern w:val="0"/>
                  <w:szCs w:val="22"/>
                  <w:lang w:val="en-GB" w:eastAsia="en-GB"/>
                </w:rPr>
              </w:pPr>
              <w:r w:rsidRPr="003607DC">
                <w:rPr>
                  <w:lang w:val="en-GB"/>
                </w:rPr>
                <w:t>GN Netcom (38% of sales, 36% of EBITA)</w:t>
              </w:r>
              <w:r>
                <w:tab/>
              </w:r>
              <w:r>
                <w:fldChar w:fldCharType="begin"/>
              </w:r>
              <w:r>
                <w:instrText xml:space="preserve"> PAGEREF _Toc406509702 \h </w:instrText>
              </w:r>
              <w:r>
                <w:fldChar w:fldCharType="separate"/>
              </w:r>
              <w:r>
                <w:t>19</w:t>
              </w:r>
              <w: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Unified Communications to accelerate Netcom’s growth</w:t>
              </w:r>
              <w:r>
                <w:rPr>
                  <w:noProof/>
                </w:rPr>
                <w:tab/>
              </w:r>
              <w:r>
                <w:rPr>
                  <w:noProof/>
                </w:rPr>
                <w:fldChar w:fldCharType="begin"/>
              </w:r>
              <w:r>
                <w:rPr>
                  <w:noProof/>
                </w:rPr>
                <w:instrText xml:space="preserve"> PAGEREF _Toc406509703 \h </w:instrText>
              </w:r>
              <w:r>
                <w:rPr>
                  <w:noProof/>
                </w:rPr>
              </w:r>
              <w:r>
                <w:rPr>
                  <w:noProof/>
                </w:rPr>
                <w:fldChar w:fldCharType="separate"/>
              </w:r>
              <w:r>
                <w:rPr>
                  <w:noProof/>
                </w:rPr>
                <w:t>19</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Margin should recover to top 18-19% target range</w:t>
              </w:r>
              <w:r>
                <w:rPr>
                  <w:noProof/>
                </w:rPr>
                <w:tab/>
              </w:r>
              <w:r>
                <w:rPr>
                  <w:noProof/>
                </w:rPr>
                <w:fldChar w:fldCharType="begin"/>
              </w:r>
              <w:r>
                <w:rPr>
                  <w:noProof/>
                </w:rPr>
                <w:instrText xml:space="preserve"> PAGEREF _Toc406509704 \h </w:instrText>
              </w:r>
              <w:r>
                <w:rPr>
                  <w:noProof/>
                </w:rPr>
              </w:r>
              <w:r>
                <w:rPr>
                  <w:noProof/>
                </w:rPr>
                <w:fldChar w:fldCharType="separate"/>
              </w:r>
              <w:r>
                <w:rPr>
                  <w:noProof/>
                </w:rPr>
                <w:t>20</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CC&amp;O Headsets (23% of Group sales)</w:t>
              </w:r>
              <w:r>
                <w:rPr>
                  <w:noProof/>
                </w:rPr>
                <w:tab/>
              </w:r>
              <w:r>
                <w:rPr>
                  <w:noProof/>
                </w:rPr>
                <w:fldChar w:fldCharType="begin"/>
              </w:r>
              <w:r>
                <w:rPr>
                  <w:noProof/>
                </w:rPr>
                <w:instrText xml:space="preserve"> PAGEREF _Toc406509705 \h </w:instrText>
              </w:r>
              <w:r>
                <w:rPr>
                  <w:noProof/>
                </w:rPr>
              </w:r>
              <w:r>
                <w:rPr>
                  <w:noProof/>
                </w:rPr>
                <w:fldChar w:fldCharType="separate"/>
              </w:r>
              <w:r>
                <w:rPr>
                  <w:noProof/>
                </w:rPr>
                <w:t>22</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Mobile Headsets (15% of Group sales)</w:t>
              </w:r>
              <w:r>
                <w:rPr>
                  <w:noProof/>
                </w:rPr>
                <w:tab/>
              </w:r>
              <w:r>
                <w:rPr>
                  <w:noProof/>
                </w:rPr>
                <w:fldChar w:fldCharType="begin"/>
              </w:r>
              <w:r>
                <w:rPr>
                  <w:noProof/>
                </w:rPr>
                <w:instrText xml:space="preserve"> PAGEREF _Toc406509706 \h </w:instrText>
              </w:r>
              <w:r>
                <w:rPr>
                  <w:noProof/>
                </w:rPr>
              </w:r>
              <w:r>
                <w:rPr>
                  <w:noProof/>
                </w:rPr>
                <w:fldChar w:fldCharType="separate"/>
              </w:r>
              <w:r>
                <w:rPr>
                  <w:noProof/>
                </w:rPr>
                <w:t>25</w:t>
              </w:r>
              <w:r>
                <w:rPr>
                  <w:noProof/>
                </w:rPr>
                <w:fldChar w:fldCharType="end"/>
              </w:r>
            </w:p>
            <w:p w:rsidR="007F3ED6" w:rsidRDefault="007F3ED6" w:rsidP="007F3ED6">
              <w:pPr>
                <w:pStyle w:val="TOC2"/>
                <w:rPr>
                  <w:rFonts w:asciiTheme="minorHAnsi" w:eastAsiaTheme="minorEastAsia" w:hAnsiTheme="minorHAnsi" w:cstheme="minorBidi"/>
                  <w:b w:val="0"/>
                  <w:noProof/>
                  <w:kern w:val="0"/>
                  <w:sz w:val="22"/>
                  <w:szCs w:val="22"/>
                  <w:lang w:val="en-GB" w:eastAsia="en-GB"/>
                </w:rPr>
              </w:pPr>
              <w:r w:rsidRPr="003607DC">
                <w:rPr>
                  <w:noProof/>
                  <w:lang w:val="en-GB"/>
                </w:rPr>
                <w:t>Management</w:t>
              </w:r>
              <w:r>
                <w:rPr>
                  <w:noProof/>
                </w:rPr>
                <w:tab/>
              </w:r>
              <w:r>
                <w:rPr>
                  <w:noProof/>
                </w:rPr>
                <w:fldChar w:fldCharType="begin"/>
              </w:r>
              <w:r>
                <w:rPr>
                  <w:noProof/>
                </w:rPr>
                <w:instrText xml:space="preserve"> PAGEREF _Toc406509707 \h </w:instrText>
              </w:r>
              <w:r>
                <w:rPr>
                  <w:noProof/>
                </w:rPr>
              </w:r>
              <w:r>
                <w:rPr>
                  <w:noProof/>
                </w:rPr>
                <w:fldChar w:fldCharType="separate"/>
              </w:r>
              <w:r>
                <w:rPr>
                  <w:noProof/>
                </w:rPr>
                <w:t>26</w:t>
              </w:r>
              <w:r>
                <w:rPr>
                  <w:noProof/>
                </w:rPr>
                <w:fldChar w:fldCharType="end"/>
              </w:r>
            </w:p>
            <w:p w:rsidR="007F3ED6" w:rsidRDefault="007F3ED6" w:rsidP="007F3ED6">
              <w:pPr>
                <w:pStyle w:val="TOC2"/>
                <w:rPr>
                  <w:rFonts w:asciiTheme="minorHAnsi" w:eastAsiaTheme="minorEastAsia" w:hAnsiTheme="minorHAnsi" w:cstheme="minorBidi"/>
                  <w:b w:val="0"/>
                  <w:noProof/>
                  <w:kern w:val="0"/>
                  <w:sz w:val="22"/>
                  <w:szCs w:val="22"/>
                  <w:lang w:val="en-GB" w:eastAsia="en-GB"/>
                </w:rPr>
              </w:pPr>
              <w:r w:rsidRPr="003607DC">
                <w:rPr>
                  <w:noProof/>
                  <w:lang w:val="en-GB"/>
                </w:rPr>
                <w:t>Shareholder Structure</w:t>
              </w:r>
              <w:r>
                <w:rPr>
                  <w:noProof/>
                </w:rPr>
                <w:tab/>
              </w:r>
              <w:r>
                <w:rPr>
                  <w:noProof/>
                </w:rPr>
                <w:fldChar w:fldCharType="begin"/>
              </w:r>
              <w:r>
                <w:rPr>
                  <w:noProof/>
                </w:rPr>
                <w:instrText xml:space="preserve"> PAGEREF _Toc406509708 \h </w:instrText>
              </w:r>
              <w:r>
                <w:rPr>
                  <w:noProof/>
                </w:rPr>
              </w:r>
              <w:r>
                <w:rPr>
                  <w:noProof/>
                </w:rPr>
                <w:fldChar w:fldCharType="separate"/>
              </w:r>
              <w:r>
                <w:rPr>
                  <w:noProof/>
                </w:rPr>
                <w:t>27</w:t>
              </w:r>
              <w:r>
                <w:rPr>
                  <w:noProof/>
                </w:rPr>
                <w:fldChar w:fldCharType="end"/>
              </w:r>
            </w:p>
            <w:p w:rsidR="007F3ED6" w:rsidRDefault="007F3ED6" w:rsidP="007F3ED6">
              <w:pPr>
                <w:pStyle w:val="TOC1"/>
                <w:rPr>
                  <w:rFonts w:asciiTheme="minorHAnsi" w:eastAsiaTheme="minorEastAsia" w:hAnsiTheme="minorHAnsi" w:cstheme="minorBidi"/>
                  <w:b w:val="0"/>
                  <w:bCs w:val="0"/>
                  <w:kern w:val="0"/>
                  <w:szCs w:val="22"/>
                  <w:lang w:val="en-GB" w:eastAsia="en-GB"/>
                </w:rPr>
              </w:pPr>
              <w:r w:rsidRPr="003607DC">
                <w:rPr>
                  <w:lang w:val="en-GB"/>
                </w:rPr>
                <w:t>Forecasts and Assumptions</w:t>
              </w:r>
              <w:r>
                <w:tab/>
              </w:r>
              <w:r>
                <w:fldChar w:fldCharType="begin"/>
              </w:r>
              <w:r>
                <w:instrText xml:space="preserve"> PAGEREF _Toc406509709 \h </w:instrText>
              </w:r>
              <w:r>
                <w:fldChar w:fldCharType="separate"/>
              </w:r>
              <w:r>
                <w:t>28</w:t>
              </w:r>
              <w: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Pr>
                  <w:noProof/>
                </w:rPr>
                <w:t>Sales: 9.8% CAGR FY14-17E</w:t>
              </w:r>
              <w:r>
                <w:rPr>
                  <w:noProof/>
                </w:rPr>
                <w:tab/>
              </w:r>
              <w:r>
                <w:rPr>
                  <w:noProof/>
                </w:rPr>
                <w:fldChar w:fldCharType="begin"/>
              </w:r>
              <w:r>
                <w:rPr>
                  <w:noProof/>
                </w:rPr>
                <w:instrText xml:space="preserve"> PAGEREF _Toc406509710 \h </w:instrText>
              </w:r>
              <w:r>
                <w:rPr>
                  <w:noProof/>
                </w:rPr>
              </w:r>
              <w:r>
                <w:rPr>
                  <w:noProof/>
                </w:rPr>
                <w:fldChar w:fldCharType="separate"/>
              </w:r>
              <w:r>
                <w:rPr>
                  <w:noProof/>
                </w:rPr>
                <w:t>28</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Pr>
                  <w:noProof/>
                </w:rPr>
                <w:t>Adj. EBITA margin: 180bp improvement FY14E-17E</w:t>
              </w:r>
              <w:r>
                <w:rPr>
                  <w:noProof/>
                </w:rPr>
                <w:tab/>
              </w:r>
              <w:r>
                <w:rPr>
                  <w:noProof/>
                </w:rPr>
                <w:fldChar w:fldCharType="begin"/>
              </w:r>
              <w:r>
                <w:rPr>
                  <w:noProof/>
                </w:rPr>
                <w:instrText xml:space="preserve"> PAGEREF _Toc406509711 \h </w:instrText>
              </w:r>
              <w:r>
                <w:rPr>
                  <w:noProof/>
                </w:rPr>
              </w:r>
              <w:r>
                <w:rPr>
                  <w:noProof/>
                </w:rPr>
                <w:fldChar w:fldCharType="separate"/>
              </w:r>
              <w:r>
                <w:rPr>
                  <w:noProof/>
                </w:rPr>
                <w:t>29</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Pr>
                  <w:noProof/>
                </w:rPr>
                <w:t>Adj. EPS: 20% CAGR FY14E-17E</w:t>
              </w:r>
              <w:r>
                <w:rPr>
                  <w:noProof/>
                </w:rPr>
                <w:tab/>
              </w:r>
              <w:r>
                <w:rPr>
                  <w:noProof/>
                </w:rPr>
                <w:fldChar w:fldCharType="begin"/>
              </w:r>
              <w:r>
                <w:rPr>
                  <w:noProof/>
                </w:rPr>
                <w:instrText xml:space="preserve"> PAGEREF _Toc406509712 \h </w:instrText>
              </w:r>
              <w:r>
                <w:rPr>
                  <w:noProof/>
                </w:rPr>
              </w:r>
              <w:r>
                <w:rPr>
                  <w:noProof/>
                </w:rPr>
                <w:fldChar w:fldCharType="separate"/>
              </w:r>
              <w:r>
                <w:rPr>
                  <w:noProof/>
                </w:rPr>
                <w:t>30</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Pr>
                  <w:noProof/>
                </w:rPr>
                <w:t>Risks</w:t>
              </w:r>
              <w:r>
                <w:rPr>
                  <w:noProof/>
                </w:rPr>
                <w:tab/>
              </w:r>
              <w:r>
                <w:rPr>
                  <w:noProof/>
                </w:rPr>
                <w:fldChar w:fldCharType="begin"/>
              </w:r>
              <w:r>
                <w:rPr>
                  <w:noProof/>
                </w:rPr>
                <w:instrText xml:space="preserve"> PAGEREF _Toc406509713 \h </w:instrText>
              </w:r>
              <w:r>
                <w:rPr>
                  <w:noProof/>
                </w:rPr>
              </w:r>
              <w:r>
                <w:rPr>
                  <w:noProof/>
                </w:rPr>
                <w:fldChar w:fldCharType="separate"/>
              </w:r>
              <w:r>
                <w:rPr>
                  <w:noProof/>
                </w:rPr>
                <w:t>31</w:t>
              </w:r>
              <w:r>
                <w:rPr>
                  <w:noProof/>
                </w:rPr>
                <w:fldChar w:fldCharType="end"/>
              </w:r>
            </w:p>
            <w:p w:rsidR="007F3ED6" w:rsidRDefault="007F3ED6" w:rsidP="007F3ED6">
              <w:pPr>
                <w:pStyle w:val="TOC1"/>
                <w:rPr>
                  <w:rFonts w:asciiTheme="minorHAnsi" w:eastAsiaTheme="minorEastAsia" w:hAnsiTheme="minorHAnsi" w:cstheme="minorBidi"/>
                  <w:b w:val="0"/>
                  <w:bCs w:val="0"/>
                  <w:kern w:val="0"/>
                  <w:szCs w:val="22"/>
                  <w:lang w:val="en-GB" w:eastAsia="en-GB"/>
                </w:rPr>
              </w:pPr>
              <w:r>
                <w:t>Citi forecasts vs consensus</w:t>
              </w:r>
              <w:r>
                <w:tab/>
              </w:r>
              <w:r>
                <w:fldChar w:fldCharType="begin"/>
              </w:r>
              <w:r>
                <w:instrText xml:space="preserve"> PAGEREF _Toc406509714 \h </w:instrText>
              </w:r>
              <w:r>
                <w:fldChar w:fldCharType="separate"/>
              </w:r>
              <w:r>
                <w:t>32</w:t>
              </w:r>
              <w:r>
                <w:fldChar w:fldCharType="end"/>
              </w:r>
            </w:p>
            <w:p w:rsidR="007F3ED6" w:rsidRDefault="007F3ED6" w:rsidP="007F3ED6">
              <w:pPr>
                <w:pStyle w:val="TOC1"/>
                <w:rPr>
                  <w:rFonts w:asciiTheme="minorHAnsi" w:eastAsiaTheme="minorEastAsia" w:hAnsiTheme="minorHAnsi" w:cstheme="minorBidi"/>
                  <w:b w:val="0"/>
                  <w:bCs w:val="0"/>
                  <w:kern w:val="0"/>
                  <w:szCs w:val="22"/>
                  <w:lang w:val="en-GB" w:eastAsia="en-GB"/>
                </w:rPr>
              </w:pPr>
              <w:r>
                <w:t>Industry Events and Catalysts</w:t>
              </w:r>
              <w:r>
                <w:tab/>
              </w:r>
              <w:r>
                <w:fldChar w:fldCharType="begin"/>
              </w:r>
              <w:r>
                <w:instrText xml:space="preserve"> PAGEREF _Toc406509715 \h </w:instrText>
              </w:r>
              <w:r>
                <w:fldChar w:fldCharType="separate"/>
              </w:r>
              <w:r>
                <w:t>33</w:t>
              </w:r>
              <w:r>
                <w:fldChar w:fldCharType="end"/>
              </w:r>
            </w:p>
            <w:p w:rsidR="007F3ED6" w:rsidRDefault="007F3ED6" w:rsidP="007F3ED6">
              <w:pPr>
                <w:pStyle w:val="TOC1"/>
                <w:rPr>
                  <w:rFonts w:asciiTheme="minorHAnsi" w:eastAsiaTheme="minorEastAsia" w:hAnsiTheme="minorHAnsi" w:cstheme="minorBidi"/>
                  <w:b w:val="0"/>
                  <w:bCs w:val="0"/>
                  <w:kern w:val="0"/>
                  <w:szCs w:val="22"/>
                  <w:lang w:val="en-GB" w:eastAsia="en-GB"/>
                </w:rPr>
              </w:pPr>
              <w:r w:rsidRPr="003607DC">
                <w:rPr>
                  <w:lang w:val="en-GB"/>
                </w:rPr>
                <w:t>Financial Statements</w:t>
              </w:r>
              <w:r>
                <w:tab/>
              </w:r>
              <w:r>
                <w:fldChar w:fldCharType="begin"/>
              </w:r>
              <w:r>
                <w:instrText xml:space="preserve"> PAGEREF _Toc406509716 \h </w:instrText>
              </w:r>
              <w:r>
                <w:fldChar w:fldCharType="separate"/>
              </w:r>
              <w:r>
                <w:t>34</w:t>
              </w:r>
              <w:r>
                <w:fldChar w:fldCharType="end"/>
              </w:r>
            </w:p>
            <w:p w:rsidR="007F3ED6" w:rsidRDefault="007F3ED6" w:rsidP="007F3ED6">
              <w:pPr>
                <w:pStyle w:val="TOC1"/>
                <w:rPr>
                  <w:rFonts w:asciiTheme="minorHAnsi" w:eastAsiaTheme="minorEastAsia" w:hAnsiTheme="minorHAnsi" w:cstheme="minorBidi"/>
                  <w:b w:val="0"/>
                  <w:bCs w:val="0"/>
                  <w:kern w:val="0"/>
                  <w:szCs w:val="22"/>
                  <w:lang w:val="en-GB" w:eastAsia="en-GB"/>
                </w:rPr>
              </w:pPr>
              <w:r w:rsidRPr="003607DC">
                <w:rPr>
                  <w:lang w:val="en-GB"/>
                </w:rPr>
                <w:t>Appendix</w:t>
              </w:r>
              <w:r>
                <w:tab/>
              </w:r>
              <w:r>
                <w:fldChar w:fldCharType="begin"/>
              </w:r>
              <w:r>
                <w:instrText xml:space="preserve"> PAGEREF _Toc406509717 \h </w:instrText>
              </w:r>
              <w:r>
                <w:fldChar w:fldCharType="separate"/>
              </w:r>
              <w:r>
                <w:t>37</w:t>
              </w:r>
              <w: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sidRPr="003607DC">
                <w:rPr>
                  <w:noProof/>
                  <w:lang w:val="en-GB"/>
                </w:rPr>
                <w:t>Miracle-Ear and Kirkland Signature contract analysis</w:t>
              </w:r>
              <w:r>
                <w:rPr>
                  <w:noProof/>
                </w:rPr>
                <w:tab/>
              </w:r>
              <w:r>
                <w:rPr>
                  <w:noProof/>
                </w:rPr>
                <w:fldChar w:fldCharType="begin"/>
              </w:r>
              <w:r>
                <w:rPr>
                  <w:noProof/>
                </w:rPr>
                <w:instrText xml:space="preserve"> PAGEREF _Toc406509718 \h </w:instrText>
              </w:r>
              <w:r>
                <w:rPr>
                  <w:noProof/>
                </w:rPr>
              </w:r>
              <w:r>
                <w:rPr>
                  <w:noProof/>
                </w:rPr>
                <w:fldChar w:fldCharType="separate"/>
              </w:r>
              <w:r>
                <w:rPr>
                  <w:noProof/>
                </w:rPr>
                <w:t>37</w:t>
              </w:r>
              <w:r>
                <w:rPr>
                  <w:noProof/>
                </w:rPr>
                <w:fldChar w:fldCharType="end"/>
              </w:r>
            </w:p>
            <w:p w:rsidR="007F3ED6" w:rsidRDefault="007F3ED6" w:rsidP="007F3ED6">
              <w:pPr>
                <w:pStyle w:val="TOC2"/>
                <w:rPr>
                  <w:rFonts w:asciiTheme="minorHAnsi" w:eastAsiaTheme="minorEastAsia" w:hAnsiTheme="minorHAnsi" w:cstheme="minorBidi"/>
                  <w:b w:val="0"/>
                  <w:noProof/>
                  <w:kern w:val="0"/>
                  <w:sz w:val="22"/>
                  <w:szCs w:val="22"/>
                  <w:lang w:val="en-GB" w:eastAsia="en-GB"/>
                </w:rPr>
              </w:pPr>
              <w:r>
                <w:rPr>
                  <w:noProof/>
                </w:rPr>
                <w:t>GN Store Nord</w:t>
              </w:r>
              <w:r>
                <w:rPr>
                  <w:noProof/>
                </w:rPr>
                <w:tab/>
              </w:r>
              <w:r>
                <w:rPr>
                  <w:noProof/>
                </w:rPr>
                <w:fldChar w:fldCharType="begin"/>
              </w:r>
              <w:r>
                <w:rPr>
                  <w:noProof/>
                </w:rPr>
                <w:instrText xml:space="preserve"> PAGEREF _Toc406509719 \h </w:instrText>
              </w:r>
              <w:r>
                <w:rPr>
                  <w:noProof/>
                </w:rPr>
              </w:r>
              <w:r>
                <w:rPr>
                  <w:noProof/>
                </w:rPr>
                <w:fldChar w:fldCharType="separate"/>
              </w:r>
              <w:r>
                <w:rPr>
                  <w:noProof/>
                </w:rPr>
                <w:t>39</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Pr>
                  <w:noProof/>
                </w:rPr>
                <w:t>Company description</w:t>
              </w:r>
              <w:r>
                <w:rPr>
                  <w:noProof/>
                </w:rPr>
                <w:tab/>
              </w:r>
              <w:r>
                <w:rPr>
                  <w:noProof/>
                </w:rPr>
                <w:fldChar w:fldCharType="begin"/>
              </w:r>
              <w:r>
                <w:rPr>
                  <w:noProof/>
                </w:rPr>
                <w:instrText xml:space="preserve"> PAGEREF _Toc406509720 \h </w:instrText>
              </w:r>
              <w:r>
                <w:rPr>
                  <w:noProof/>
                </w:rPr>
              </w:r>
              <w:r>
                <w:rPr>
                  <w:noProof/>
                </w:rPr>
                <w:fldChar w:fldCharType="separate"/>
              </w:r>
              <w:r>
                <w:rPr>
                  <w:noProof/>
                </w:rPr>
                <w:t>39</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Pr>
                  <w:noProof/>
                </w:rPr>
                <w:t>Investment strategy</w:t>
              </w:r>
              <w:r>
                <w:rPr>
                  <w:noProof/>
                </w:rPr>
                <w:tab/>
              </w:r>
              <w:r>
                <w:rPr>
                  <w:noProof/>
                </w:rPr>
                <w:fldChar w:fldCharType="begin"/>
              </w:r>
              <w:r>
                <w:rPr>
                  <w:noProof/>
                </w:rPr>
                <w:instrText xml:space="preserve"> PAGEREF _Toc406509721 \h </w:instrText>
              </w:r>
              <w:r>
                <w:rPr>
                  <w:noProof/>
                </w:rPr>
              </w:r>
              <w:r>
                <w:rPr>
                  <w:noProof/>
                </w:rPr>
                <w:fldChar w:fldCharType="separate"/>
              </w:r>
              <w:r>
                <w:rPr>
                  <w:noProof/>
                </w:rPr>
                <w:t>39</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Pr>
                  <w:noProof/>
                </w:rPr>
                <w:t>Valuation</w:t>
              </w:r>
              <w:r>
                <w:rPr>
                  <w:noProof/>
                </w:rPr>
                <w:tab/>
              </w:r>
              <w:r>
                <w:rPr>
                  <w:noProof/>
                </w:rPr>
                <w:fldChar w:fldCharType="begin"/>
              </w:r>
              <w:r>
                <w:rPr>
                  <w:noProof/>
                </w:rPr>
                <w:instrText xml:space="preserve"> PAGEREF _Toc406509722 \h </w:instrText>
              </w:r>
              <w:r>
                <w:rPr>
                  <w:noProof/>
                </w:rPr>
              </w:r>
              <w:r>
                <w:rPr>
                  <w:noProof/>
                </w:rPr>
                <w:fldChar w:fldCharType="separate"/>
              </w:r>
              <w:r>
                <w:rPr>
                  <w:noProof/>
                </w:rPr>
                <w:t>39</w:t>
              </w:r>
              <w:r>
                <w:rPr>
                  <w:noProof/>
                </w:rPr>
                <w:fldChar w:fldCharType="end"/>
              </w:r>
            </w:p>
            <w:p w:rsidR="007F3ED6" w:rsidRDefault="007F3ED6" w:rsidP="007F3ED6">
              <w:pPr>
                <w:pStyle w:val="TOC3"/>
                <w:rPr>
                  <w:rFonts w:asciiTheme="minorHAnsi" w:eastAsiaTheme="minorEastAsia" w:hAnsiTheme="minorHAnsi" w:cstheme="minorBidi"/>
                  <w:noProof/>
                  <w:kern w:val="0"/>
                  <w:sz w:val="22"/>
                  <w:szCs w:val="22"/>
                  <w:lang w:val="en-GB" w:eastAsia="en-GB"/>
                </w:rPr>
              </w:pPr>
              <w:r>
                <w:rPr>
                  <w:noProof/>
                </w:rPr>
                <w:t>Risks</w:t>
              </w:r>
              <w:r>
                <w:rPr>
                  <w:noProof/>
                </w:rPr>
                <w:tab/>
              </w:r>
              <w:r>
                <w:rPr>
                  <w:noProof/>
                </w:rPr>
                <w:fldChar w:fldCharType="begin"/>
              </w:r>
              <w:r>
                <w:rPr>
                  <w:noProof/>
                </w:rPr>
                <w:instrText xml:space="preserve"> PAGEREF _Toc406509723 \h </w:instrText>
              </w:r>
              <w:r>
                <w:rPr>
                  <w:noProof/>
                </w:rPr>
              </w:r>
              <w:r>
                <w:rPr>
                  <w:noProof/>
                </w:rPr>
                <w:fldChar w:fldCharType="separate"/>
              </w:r>
              <w:r>
                <w:rPr>
                  <w:noProof/>
                </w:rPr>
                <w:t>39</w:t>
              </w:r>
              <w:r>
                <w:rPr>
                  <w:noProof/>
                </w:rPr>
                <w:fldChar w:fldCharType="end"/>
              </w:r>
            </w:p>
            <w:p w:rsidR="007F3ED6" w:rsidRDefault="007F3ED6" w:rsidP="007F3ED6">
              <w:pPr>
                <w:pStyle w:val="TOC1"/>
                <w:rPr>
                  <w:rFonts w:asciiTheme="minorHAnsi" w:eastAsiaTheme="minorEastAsia" w:hAnsiTheme="minorHAnsi" w:cstheme="minorBidi"/>
                  <w:b w:val="0"/>
                  <w:bCs w:val="0"/>
                  <w:kern w:val="0"/>
                  <w:szCs w:val="22"/>
                  <w:lang w:val="en-GB" w:eastAsia="en-GB"/>
                </w:rPr>
              </w:pPr>
              <w:r>
                <w:t>Appendix A-1</w:t>
              </w:r>
              <w:r>
                <w:tab/>
              </w:r>
              <w:r>
                <w:fldChar w:fldCharType="begin"/>
              </w:r>
              <w:r>
                <w:instrText xml:space="preserve"> PAGEREF _Toc406509724 \h </w:instrText>
              </w:r>
              <w:r>
                <w:fldChar w:fldCharType="separate"/>
              </w:r>
              <w:r>
                <w:t>39</w:t>
              </w:r>
              <w:r>
                <w:fldChar w:fldCharType="end"/>
              </w:r>
            </w:p>
            <w:p w:rsidR="007F3ED6" w:rsidRDefault="007F3ED6" w:rsidP="007F3ED6">
              <w:pPr>
                <w:pStyle w:val="CIRBodyText"/>
                <w:sectPr w:rsidR="007F3ED6" w:rsidSect="00A6746B">
                  <w:headerReference w:type="default" r:id="rId20"/>
                  <w:footerReference w:type="default" r:id="rId21"/>
                  <w:pgSz w:w="12240" w:h="15840" w:code="1"/>
                  <w:pgMar w:top="1728" w:right="1008" w:bottom="720" w:left="4536" w:header="288" w:footer="346" w:gutter="0"/>
                  <w:cols w:space="720"/>
                  <w:docGrid w:linePitch="360"/>
                </w:sectPr>
              </w:pPr>
              <w:r>
                <w:fldChar w:fldCharType="end"/>
              </w:r>
            </w:p>
            <w:p w:rsidR="007F3ED6" w:rsidRDefault="007F3ED6" w:rsidP="007F3ED6">
              <w:pPr>
                <w:pStyle w:val="CIRChapter"/>
                <w:framePr w:wrap="around"/>
                <w:rPr>
                  <w:rFonts w:cs="Times New Roman"/>
                </w:rPr>
              </w:pPr>
              <w:bookmarkStart w:id="35" w:name="_Toc406403970"/>
              <w:bookmarkStart w:id="36" w:name="_Toc406509687"/>
              <w:r>
                <w:t>Investment Summary</w:t>
              </w:r>
              <w:bookmarkEnd w:id="35"/>
              <w:bookmarkEnd w:id="36"/>
            </w:p>
            <w:p w:rsidR="007F3ED6" w:rsidRDefault="007F3ED6" w:rsidP="007F3ED6">
              <w:pPr>
                <w:pStyle w:val="Heading2"/>
                <w:rPr>
                  <w:lang w:val="en-GB"/>
                </w:rPr>
              </w:pPr>
              <w:bookmarkStart w:id="37" w:name="_Toc406403971"/>
              <w:bookmarkStart w:id="38" w:name="_Toc406509688"/>
              <w:r w:rsidRPr="00406CA3">
                <w:rPr>
                  <w:lang w:val="en-GB"/>
                </w:rPr>
                <w:t xml:space="preserve">Initiate with a Buy and a </w:t>
              </w:r>
              <w:r w:rsidRPr="00CD4883">
                <w:rPr>
                  <w:lang w:val="en-GB"/>
                </w:rPr>
                <w:t>DKr158 TP (+23.8% ETR)</w:t>
              </w:r>
              <w:bookmarkEnd w:id="37"/>
              <w:bookmarkEnd w:id="38"/>
              <w:r w:rsidRPr="00406CA3">
                <w:rPr>
                  <w:lang w:val="en-GB"/>
                </w:rPr>
                <w:t xml:space="preserve"> </w:t>
              </w:r>
            </w:p>
            <w:p w:rsidR="007F3ED6" w:rsidRDefault="007F3ED6" w:rsidP="007F3ED6">
              <w:pPr>
                <w:pStyle w:val="CIRBodyText"/>
                <w:rPr>
                  <w:lang w:val="en-GB"/>
                </w:rPr>
              </w:pPr>
              <w:r>
                <w:t xml:space="preserve">We believe that GN </w:t>
              </w:r>
              <w:r w:rsidRPr="00042CC6">
                <w:t>can deliver a FY14-17E sales CAGR of 9.8% and an EPS CAGR of 19.7%, supported</w:t>
              </w:r>
              <w:r>
                <w:t xml:space="preserve"> by a DKr1bn (&gt;4%) annual share buyback. GN’s wireless connectivity advantage in hearing aids (Made for iPhone, etc) should last </w:t>
              </w:r>
              <w:r w:rsidRPr="00D91186">
                <w:t>until 2016-17E, while the increasing uptake of Unified Communications (UC) technology should accelerate growth and margin for its headset business, Netcom, in our view</w:t>
              </w:r>
              <w:r w:rsidRPr="00D91186">
                <w:rPr>
                  <w:lang w:val="en-GB"/>
                </w:rPr>
                <w:t>.</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5040" w:type="dxa"/>
                  </w:tcPr>
                  <w:p w:rsidR="007F3ED6" w:rsidRDefault="007F3ED6" w:rsidP="00326326">
                    <w:pPr>
                      <w:pStyle w:val="CIRCaption"/>
                    </w:pPr>
                    <w:r>
                      <w:t xml:space="preserve">Figure </w:t>
                    </w:r>
                    <w:fldSimple w:instr=" SEQ Figure \* ARABIC ">
                      <w:r>
                        <w:rPr>
                          <w:noProof/>
                        </w:rPr>
                        <w:t>1</w:t>
                      </w:r>
                    </w:fldSimple>
                    <w:r>
                      <w:t>. GN Store Nord – Sales (DKrbn) and adj. EBITA margin</w:t>
                    </w:r>
                  </w:p>
                </w:tc>
                <w:tc>
                  <w:tcPr>
                    <w:tcW w:w="140" w:type="dxa"/>
                  </w:tcPr>
                  <w:p w:rsidR="007F3ED6" w:rsidRDefault="007F3ED6" w:rsidP="00326326">
                    <w:pPr>
                      <w:pStyle w:val="CIRT-Left"/>
                    </w:pPr>
                  </w:p>
                </w:tc>
                <w:tc>
                  <w:tcPr>
                    <w:tcW w:w="5040" w:type="dxa"/>
                  </w:tcPr>
                  <w:p w:rsidR="007F3ED6" w:rsidRDefault="007F3ED6" w:rsidP="00326326">
                    <w:pPr>
                      <w:pStyle w:val="CIRCaption"/>
                    </w:pPr>
                    <w:r>
                      <w:t xml:space="preserve">Figure </w:t>
                    </w:r>
                    <w:fldSimple w:instr=" SEQ Figure \* ARABIC ">
                      <w:r>
                        <w:rPr>
                          <w:noProof/>
                        </w:rPr>
                        <w:t>2</w:t>
                      </w:r>
                    </w:fldSimple>
                    <w:r>
                      <w:t>. GN Store Nord – organic sales growth</w:t>
                    </w:r>
                  </w:p>
                </w:tc>
              </w:tr>
              <w:tr w:rsidR="007F3ED6" w:rsidRPr="00A61D0D" w:rsidTr="00326326">
                <w:trPr>
                  <w:cantSplit/>
                </w:trPr>
                <w:tc>
                  <w:tcPr>
                    <w:tcW w:w="5040" w:type="dxa"/>
                  </w:tcPr>
                  <w:p w:rsidR="007F3ED6" w:rsidRPr="00A61D0D" w:rsidRDefault="007F3ED6" w:rsidP="00326326">
                    <w:pPr>
                      <w:pStyle w:val="CIRFigure"/>
                    </w:pPr>
                    <w:r>
                      <w:rPr>
                        <w:lang w:eastAsia="en-US"/>
                      </w:rPr>
                      <w:object w:dxaOrig="6600"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1pt;height:141.9pt" o:ole="">
                          <v:imagedata r:id="rId22" o:title=""/>
                        </v:shape>
                        <o:OLEObject Type="Link" ProgID="Excel.SheetMacroEnabled.12" ShapeID="_x0000_i1025" DrawAspect="Content" r:id="rId23" UpdateMode="OnCall">
                          <o:LinkType>EnhancedMetaFile</o:LinkType>
                          <o:LockedField/>
                          <o:FieldCodes>\* MERGEFORMAT</o:FieldCodes>
                        </o:OLEObject>
                      </w:object>
                    </w:r>
                  </w:p>
                </w:tc>
                <w:tc>
                  <w:tcPr>
                    <w:tcW w:w="140" w:type="dxa"/>
                  </w:tcPr>
                  <w:p w:rsidR="007F3ED6" w:rsidRPr="00A61D0D" w:rsidRDefault="007F3ED6" w:rsidP="00326326">
                    <w:pPr>
                      <w:pStyle w:val="CIRFigure"/>
                    </w:pPr>
                  </w:p>
                </w:tc>
                <w:tc>
                  <w:tcPr>
                    <w:tcW w:w="5040" w:type="dxa"/>
                  </w:tcPr>
                  <w:p w:rsidR="007F3ED6" w:rsidRPr="00A61D0D" w:rsidRDefault="007F3ED6" w:rsidP="00326326">
                    <w:pPr>
                      <w:pStyle w:val="CIRFigure"/>
                    </w:pPr>
                    <w:r>
                      <w:rPr>
                        <w:lang w:eastAsia="en-US"/>
                      </w:rPr>
                      <w:object w:dxaOrig="6600" w:dyaOrig="3720">
                        <v:shape id="_x0000_i1026" type="#_x0000_t75" style="width:252.1pt;height:141.9pt" o:ole="">
                          <v:imagedata r:id="rId24" o:title=""/>
                        </v:shape>
                        <o:OLEObject Type="Link" ProgID="Excel.SheetMacroEnabled.12" ShapeID="_x0000_i1026" DrawAspect="Content" r:id="rId25" UpdateMode="OnCall">
                          <o:LinkType>EnhancedMetaFile</o:LinkType>
                          <o:LockedField/>
                          <o:FieldCodes>\* MERGEFORMAT</o:FieldCodes>
                        </o:OLEObject>
                      </w:object>
                    </w:r>
                  </w:p>
                </w:tc>
              </w:tr>
              <w:tr w:rsidR="007F3ED6" w:rsidTr="00326326">
                <w:trPr>
                  <w:cantSplit/>
                </w:trPr>
                <w:tc>
                  <w:tcPr>
                    <w:tcW w:w="5040" w:type="dxa"/>
                  </w:tcPr>
                  <w:p w:rsidR="007F3ED6" w:rsidRDefault="007F3ED6" w:rsidP="00326326">
                    <w:pPr>
                      <w:pStyle w:val="CIRSourceNote"/>
                    </w:pPr>
                    <w:r>
                      <w:t>Source: Company data, Citi Research estimates</w:t>
                    </w:r>
                  </w:p>
                </w:tc>
                <w:tc>
                  <w:tcPr>
                    <w:tcW w:w="140" w:type="dxa"/>
                  </w:tcPr>
                  <w:p w:rsidR="007F3ED6" w:rsidRDefault="007F3ED6" w:rsidP="00326326">
                    <w:pPr>
                      <w:pStyle w:val="CIRSourceNote"/>
                    </w:pPr>
                  </w:p>
                </w:tc>
                <w:tc>
                  <w:tcPr>
                    <w:tcW w:w="5040" w:type="dxa"/>
                  </w:tcPr>
                  <w:p w:rsidR="007F3ED6" w:rsidRDefault="007F3ED6" w:rsidP="00326326">
                    <w:pPr>
                      <w:pStyle w:val="CIRSourceNote"/>
                    </w:pPr>
                    <w:r>
                      <w:t>Source: Company data, Citi Research estimates</w:t>
                    </w:r>
                  </w:p>
                </w:tc>
              </w:tr>
            </w:tbl>
            <w:p w:rsidR="007F3ED6" w:rsidRDefault="007F3ED6" w:rsidP="007F3ED6">
              <w:pPr>
                <w:pStyle w:val="Heading2"/>
                <w:rPr>
                  <w:lang w:val="en-GB"/>
                </w:rPr>
              </w:pPr>
            </w:p>
            <w:p w:rsidR="007F3ED6" w:rsidRPr="004325B3" w:rsidRDefault="007F3ED6" w:rsidP="007F3ED6">
              <w:pPr>
                <w:pStyle w:val="Heading2"/>
                <w:rPr>
                  <w:lang w:val="en-GB"/>
                </w:rPr>
              </w:pPr>
              <w:bookmarkStart w:id="39" w:name="_Toc406403972"/>
              <w:bookmarkStart w:id="40" w:name="_Toc406509689"/>
              <w:r w:rsidRPr="00F27210">
                <w:rPr>
                  <w:lang w:val="en-GB"/>
                </w:rPr>
                <w:t>Unified Communicatio</w:t>
              </w:r>
              <w:r>
                <w:rPr>
                  <w:lang w:val="en-GB"/>
                </w:rPr>
                <w:t xml:space="preserve">ns </w:t>
              </w:r>
              <w:r w:rsidRPr="00F27210">
                <w:rPr>
                  <w:lang w:val="en-GB"/>
                </w:rPr>
                <w:t xml:space="preserve">to </w:t>
              </w:r>
              <w:r>
                <w:rPr>
                  <w:lang w:val="en-GB"/>
                </w:rPr>
                <w:t>accelerate headset growth</w:t>
              </w:r>
              <w:bookmarkEnd w:id="39"/>
              <w:bookmarkEnd w:id="40"/>
            </w:p>
            <w:p w:rsidR="007F3ED6" w:rsidRDefault="007F3ED6" w:rsidP="007F3ED6">
              <w:pPr>
                <w:pStyle w:val="CIRBodyText"/>
                <w:rPr>
                  <w:lang w:val="en-GB"/>
                </w:rPr>
              </w:pPr>
              <w:r>
                <w:rPr>
                  <w:lang w:val="en-GB"/>
                </w:rPr>
                <w:t>Unified Communications (UC) is the integration of office communication services (email, telephony, audio/video conferencing) onto one common technology platform. When UC is deployed in an office, a far greater proportion of communication takes place through a computer and headset vs a desk phone. Hence, feedback from the key market participants suggests t</w:t>
              </w:r>
              <w:r w:rsidRPr="00CA77DF">
                <w:rPr>
                  <w:lang w:val="en-GB"/>
                </w:rPr>
                <w:t xml:space="preserve">he average headset attachment rate for </w:t>
              </w:r>
              <w:r>
                <w:rPr>
                  <w:lang w:val="en-GB"/>
                </w:rPr>
                <w:t xml:space="preserve">offices with </w:t>
              </w:r>
              <w:r w:rsidRPr="00CA77DF">
                <w:rPr>
                  <w:lang w:val="en-GB"/>
                </w:rPr>
                <w:t>UC</w:t>
              </w:r>
              <w:r>
                <w:rPr>
                  <w:lang w:val="en-GB"/>
                </w:rPr>
                <w:t xml:space="preserve"> is c40-</w:t>
              </w:r>
              <w:r w:rsidRPr="00CA77DF">
                <w:rPr>
                  <w:lang w:val="en-GB"/>
                </w:rPr>
                <w:t xml:space="preserve">45% </w:t>
              </w:r>
              <w:r>
                <w:rPr>
                  <w:lang w:val="en-GB"/>
                </w:rPr>
                <w:t>vs &lt;5% for those without UC</w:t>
              </w:r>
              <w:r w:rsidRPr="00CA77DF">
                <w:rPr>
                  <w:lang w:val="en-GB"/>
                </w:rPr>
                <w:t>.</w:t>
              </w:r>
            </w:p>
            <w:tbl>
              <w:tblPr>
                <w:tblStyle w:val="CIRTable"/>
                <w:tblW w:w="6700" w:type="dxa"/>
                <w:tblLayout w:type="fixed"/>
                <w:tblLook w:val="04A0" w:firstRow="1" w:lastRow="0" w:firstColumn="1" w:lastColumn="0" w:noHBand="0" w:noVBand="1"/>
                <w:tblCaption w:val="EmbedTable"/>
                <w:tblDescription w:val="1|Body|0"/>
              </w:tblPr>
              <w:tblGrid>
                <w:gridCol w:w="670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6700" w:type="dxa"/>
                  </w:tcPr>
                  <w:p w:rsidR="007F3ED6" w:rsidRDefault="007F3ED6" w:rsidP="00326326">
                    <w:pPr>
                      <w:pStyle w:val="CIRCaption"/>
                    </w:pPr>
                    <w:r>
                      <w:t xml:space="preserve">Figure </w:t>
                    </w:r>
                    <w:fldSimple w:instr=" SEQ Figure \* ARABIC ">
                      <w:r>
                        <w:rPr>
                          <w:noProof/>
                        </w:rPr>
                        <w:t>3</w:t>
                      </w:r>
                    </w:fldSimple>
                    <w:r>
                      <w:t>. Headset attachment rate significantly higher in UC equipped offices</w:t>
                    </w:r>
                  </w:p>
                </w:tc>
              </w:tr>
              <w:tr w:rsidR="007F3ED6" w:rsidTr="00326326">
                <w:trPr>
                  <w:trHeight w:val="160"/>
                </w:trPr>
                <w:tc>
                  <w:tcPr>
                    <w:tcW w:w="6700" w:type="dxa"/>
                  </w:tcPr>
                  <w:tbl>
                    <w:tblPr>
                      <w:tblStyle w:val="CIRTableNoLines"/>
                      <w:tblW w:w="6700" w:type="dxa"/>
                      <w:tblLayout w:type="fixed"/>
                      <w:tblLook w:val="04A0" w:firstRow="1" w:lastRow="0" w:firstColumn="1" w:lastColumn="0" w:noHBand="0" w:noVBand="1"/>
                      <w:tblCaption w:val="EmbedTable"/>
                      <w:tblDescription w:val="1|Body|0"/>
                    </w:tblPr>
                    <w:tblGrid>
                      <w:gridCol w:w="3350"/>
                      <w:gridCol w:w="3350"/>
                    </w:tblGrid>
                    <w:tr w:rsidR="007F3ED6" w:rsidRPr="007A2EF4" w:rsidTr="00326326">
                      <w:trPr>
                        <w:cnfStyle w:val="100000000000" w:firstRow="1" w:lastRow="0" w:firstColumn="0" w:lastColumn="0" w:oddVBand="0" w:evenVBand="0" w:oddHBand="0" w:evenHBand="0" w:firstRowFirstColumn="0" w:firstRowLastColumn="0" w:lastRowFirstColumn="0" w:lastRowLastColumn="0"/>
                      </w:trPr>
                      <w:tc>
                        <w:tcPr>
                          <w:tcW w:w="3350" w:type="dxa"/>
                          <w:tcBorders>
                            <w:top w:val="single" w:sz="4" w:space="0" w:color="FFFFFF"/>
                            <w:left w:val="single" w:sz="4" w:space="0" w:color="FFFFFF"/>
                            <w:bottom w:val="single" w:sz="4" w:space="0" w:color="FFFFFF"/>
                            <w:right w:val="single" w:sz="4" w:space="0" w:color="FFFFFF"/>
                          </w:tcBorders>
                          <w:shd w:val="clear" w:color="auto" w:fill="002D72"/>
                        </w:tcPr>
                        <w:p w:rsidR="007F3ED6" w:rsidRPr="007A2EF4" w:rsidRDefault="007F3ED6" w:rsidP="00326326">
                          <w:pPr>
                            <w:pStyle w:val="CIRT-LeftBold"/>
                            <w:jc w:val="center"/>
                            <w:rPr>
                              <w:color w:val="FFFFFF"/>
                            </w:rPr>
                          </w:pPr>
                          <w:r>
                            <w:rPr>
                              <w:color w:val="FFFFFF"/>
                            </w:rPr>
                            <w:t>Office type</w:t>
                          </w:r>
                        </w:p>
                      </w:tc>
                      <w:tc>
                        <w:tcPr>
                          <w:tcW w:w="3350" w:type="dxa"/>
                          <w:tcBorders>
                            <w:top w:val="single" w:sz="4" w:space="0" w:color="FFFFFF"/>
                            <w:left w:val="single" w:sz="4" w:space="0" w:color="FFFFFF"/>
                            <w:bottom w:val="single" w:sz="4" w:space="0" w:color="FFFFFF"/>
                            <w:right w:val="single" w:sz="4" w:space="0" w:color="FFFFFF"/>
                          </w:tcBorders>
                          <w:shd w:val="clear" w:color="auto" w:fill="002D72"/>
                        </w:tcPr>
                        <w:p w:rsidR="007F3ED6" w:rsidRPr="007A2EF4" w:rsidRDefault="007F3ED6" w:rsidP="00326326">
                          <w:pPr>
                            <w:pStyle w:val="CIRT-RightBold"/>
                            <w:jc w:val="center"/>
                            <w:rPr>
                              <w:color w:val="FFFFFF"/>
                            </w:rPr>
                          </w:pPr>
                          <w:r>
                            <w:rPr>
                              <w:color w:val="FFFFFF"/>
                            </w:rPr>
                            <w:t>Headset attachment rate</w:t>
                          </w:r>
                        </w:p>
                      </w:tc>
                    </w:tr>
                    <w:tr w:rsidR="007F3ED6" w:rsidRPr="007A2EF4" w:rsidTr="00326326">
                      <w:tc>
                        <w:tcPr>
                          <w:tcW w:w="3350" w:type="dxa"/>
                          <w:tcBorders>
                            <w:top w:val="single" w:sz="4" w:space="0" w:color="FFFFFF"/>
                          </w:tcBorders>
                          <w:shd w:val="clear" w:color="auto" w:fill="auto"/>
                        </w:tcPr>
                        <w:p w:rsidR="007F3ED6" w:rsidRPr="007A2EF4" w:rsidRDefault="007F3ED6" w:rsidP="00326326">
                          <w:pPr>
                            <w:pStyle w:val="CIRT-Left"/>
                            <w:jc w:val="center"/>
                          </w:pPr>
                          <w:r>
                            <w:t>Office with UC</w:t>
                          </w:r>
                        </w:p>
                      </w:tc>
                      <w:tc>
                        <w:tcPr>
                          <w:tcW w:w="3350" w:type="dxa"/>
                          <w:tcBorders>
                            <w:top w:val="single" w:sz="4" w:space="0" w:color="FFFFFF"/>
                          </w:tcBorders>
                          <w:shd w:val="clear" w:color="auto" w:fill="auto"/>
                        </w:tcPr>
                        <w:p w:rsidR="007F3ED6" w:rsidRPr="007A2EF4" w:rsidRDefault="007F3ED6" w:rsidP="00326326">
                          <w:pPr>
                            <w:pStyle w:val="CIRT-Right"/>
                            <w:jc w:val="center"/>
                          </w:pPr>
                          <w:r>
                            <w:t>40-45%</w:t>
                          </w:r>
                        </w:p>
                      </w:tc>
                    </w:tr>
                    <w:tr w:rsidR="007F3ED6" w:rsidRPr="007A2EF4" w:rsidTr="00326326">
                      <w:tc>
                        <w:tcPr>
                          <w:tcW w:w="3350" w:type="dxa"/>
                          <w:shd w:val="clear" w:color="auto" w:fill="auto"/>
                        </w:tcPr>
                        <w:p w:rsidR="007F3ED6" w:rsidRPr="007A2EF4" w:rsidRDefault="007F3ED6" w:rsidP="00326326">
                          <w:pPr>
                            <w:pStyle w:val="CIRT-Left"/>
                            <w:jc w:val="center"/>
                          </w:pPr>
                          <w:r>
                            <w:t>Office without UC</w:t>
                          </w:r>
                        </w:p>
                      </w:tc>
                      <w:tc>
                        <w:tcPr>
                          <w:tcW w:w="3350" w:type="dxa"/>
                          <w:shd w:val="clear" w:color="auto" w:fill="auto"/>
                        </w:tcPr>
                        <w:p w:rsidR="007F3ED6" w:rsidRPr="007A2EF4" w:rsidRDefault="007F3ED6" w:rsidP="00326326">
                          <w:pPr>
                            <w:pStyle w:val="CIRT-Right"/>
                            <w:jc w:val="center"/>
                          </w:pPr>
                          <w:r>
                            <w:t>&lt;5%</w:t>
                          </w:r>
                        </w:p>
                      </w:tc>
                    </w:tr>
                  </w:tbl>
                  <w:p w:rsidR="007F3ED6" w:rsidRDefault="007F3ED6" w:rsidP="00326326">
                    <w:pPr>
                      <w:pStyle w:val="CIRMaster"/>
                      <w:spacing w:line="14" w:lineRule="auto"/>
                    </w:pPr>
                  </w:p>
                </w:tc>
              </w:tr>
              <w:tr w:rsidR="007F3ED6" w:rsidTr="00326326">
                <w:trPr>
                  <w:cantSplit/>
                </w:trPr>
                <w:tc>
                  <w:tcPr>
                    <w:tcW w:w="6700" w:type="dxa"/>
                  </w:tcPr>
                  <w:p w:rsidR="007F3ED6" w:rsidRDefault="007F3ED6" w:rsidP="00326326">
                    <w:pPr>
                      <w:pStyle w:val="CIRSourceNote"/>
                    </w:pPr>
                    <w:r>
                      <w:t xml:space="preserve">Source: Company data, Citi Research </w:t>
                    </w:r>
                  </w:p>
                </w:tc>
              </w:tr>
            </w:tbl>
            <w:p w:rsidR="007F3ED6" w:rsidRDefault="007F3ED6" w:rsidP="007F3ED6">
              <w:pPr>
                <w:pStyle w:val="CIRBodyText"/>
                <w:rPr>
                  <w:lang w:val="en-GB"/>
                </w:rPr>
              </w:pPr>
            </w:p>
            <w:p w:rsidR="007F3ED6" w:rsidRDefault="007F3ED6" w:rsidP="007F3ED6">
              <w:pPr>
                <w:pStyle w:val="CIRBodyText"/>
                <w:rPr>
                  <w:lang w:val="en-GB"/>
                </w:rPr>
              </w:pPr>
              <w:r>
                <w:rPr>
                  <w:lang w:val="en-GB"/>
                </w:rPr>
                <w:t xml:space="preserve">The UC market has been growing rapidly since the launch of Microsoft’s Lync in 2H10 as large corporates have increasingly adopted UC technology and we estimate that the UC headset market has grown at a c40% CAGR 2011-14E.  Going forwards, </w:t>
              </w:r>
              <w:r w:rsidRPr="00D91186">
                <w:rPr>
                  <w:lang w:val="en-GB"/>
                </w:rPr>
                <w:t>we more conservatively forecast a 25% UC headset market CAGR 2014E-17E and</w:t>
              </w:r>
              <w:r w:rsidRPr="00D91186">
                <w:t xml:space="preserve"> expect GN to gain further share in the UC headset market in 2015-16 due to a recent large contract win, driving</w:t>
              </w:r>
              <w:r w:rsidRPr="00CD0FF0">
                <w:t xml:space="preserve"> a &gt;25% UC sales CAGR and accelerating Netcom’s organic growth from 10% in 2014E to 14% in 2016E vs 12% consensus. </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5040" w:type="dxa"/>
                  </w:tcPr>
                  <w:p w:rsidR="007F3ED6" w:rsidRDefault="007F3ED6" w:rsidP="00326326">
                    <w:pPr>
                      <w:pStyle w:val="CIRCaption"/>
                    </w:pPr>
                    <w:r>
                      <w:t xml:space="preserve">Figure </w:t>
                    </w:r>
                    <w:fldSimple w:instr=" SEQ Figure \* ARABIC ">
                      <w:r>
                        <w:rPr>
                          <w:noProof/>
                        </w:rPr>
                        <w:t>4</w:t>
                      </w:r>
                    </w:fldSimple>
                    <w:r>
                      <w:t xml:space="preserve">. UC headset market growth should remain strong (DKrbn) </w:t>
                    </w:r>
                  </w:p>
                </w:tc>
                <w:tc>
                  <w:tcPr>
                    <w:tcW w:w="140" w:type="dxa"/>
                  </w:tcPr>
                  <w:p w:rsidR="007F3ED6" w:rsidRDefault="007F3ED6" w:rsidP="00326326">
                    <w:pPr>
                      <w:pStyle w:val="CIRT-Left"/>
                    </w:pPr>
                  </w:p>
                </w:tc>
                <w:tc>
                  <w:tcPr>
                    <w:tcW w:w="5040" w:type="dxa"/>
                  </w:tcPr>
                  <w:p w:rsidR="007F3ED6" w:rsidRDefault="007F3ED6" w:rsidP="00326326">
                    <w:pPr>
                      <w:pStyle w:val="CIRCaption"/>
                    </w:pPr>
                    <w:r>
                      <w:t xml:space="preserve">Figure </w:t>
                    </w:r>
                    <w:fldSimple w:instr=" SEQ Figure \* ARABIC ">
                      <w:r>
                        <w:rPr>
                          <w:noProof/>
                        </w:rPr>
                        <w:t>5</w:t>
                      </w:r>
                    </w:fldSimple>
                    <w:r>
                      <w:t xml:space="preserve">. Netcom UC sales (DKKmn) and market share assumptions </w:t>
                    </w:r>
                  </w:p>
                </w:tc>
              </w:tr>
              <w:tr w:rsidR="007F3ED6" w:rsidRPr="003F55AB" w:rsidTr="00326326">
                <w:trPr>
                  <w:cantSplit/>
                </w:trPr>
                <w:tc>
                  <w:tcPr>
                    <w:tcW w:w="5040" w:type="dxa"/>
                  </w:tcPr>
                  <w:p w:rsidR="007F3ED6" w:rsidRPr="003F55AB" w:rsidRDefault="007F3ED6" w:rsidP="00326326">
                    <w:pPr>
                      <w:pStyle w:val="CIRFigure"/>
                    </w:pPr>
                    <w:r>
                      <w:rPr>
                        <w:lang w:eastAsia="en-US"/>
                      </w:rPr>
                      <w:object w:dxaOrig="6600" w:dyaOrig="3720">
                        <v:shape id="_x0000_i1027" type="#_x0000_t75" style="width:252.1pt;height:141.9pt" o:ole="">
                          <v:imagedata r:id="rId26" o:title=""/>
                        </v:shape>
                        <o:OLEObject Type="Link" ProgID="Excel.Sheet.12" ShapeID="_x0000_i1027" DrawAspect="Content" r:id="rId27" UpdateMode="OnCall">
                          <o:LinkType>EnhancedMetaFile</o:LinkType>
                          <o:LockedField/>
                          <o:FieldCodes>\* MERGEFORMAT</o:FieldCodes>
                        </o:OLEObject>
                      </w:object>
                    </w:r>
                  </w:p>
                </w:tc>
                <w:tc>
                  <w:tcPr>
                    <w:tcW w:w="140" w:type="dxa"/>
                  </w:tcPr>
                  <w:p w:rsidR="007F3ED6" w:rsidRPr="003F55AB" w:rsidRDefault="007F3ED6" w:rsidP="00326326">
                    <w:pPr>
                      <w:pStyle w:val="CIRFigure"/>
                    </w:pPr>
                  </w:p>
                </w:tc>
                <w:tc>
                  <w:tcPr>
                    <w:tcW w:w="5040" w:type="dxa"/>
                  </w:tcPr>
                  <w:p w:rsidR="007F3ED6" w:rsidRPr="003F55AB" w:rsidRDefault="007F3ED6" w:rsidP="00326326">
                    <w:pPr>
                      <w:pStyle w:val="CIRFigure"/>
                    </w:pPr>
                    <w:r>
                      <w:rPr>
                        <w:lang w:eastAsia="en-US"/>
                      </w:rPr>
                      <w:object w:dxaOrig="6600" w:dyaOrig="3720">
                        <v:shape id="_x0000_i1028" type="#_x0000_t75" style="width:252.1pt;height:141.9pt" o:ole="">
                          <v:imagedata r:id="rId28" o:title=""/>
                        </v:shape>
                        <o:OLEObject Type="Link" ProgID="Excel.Sheet.12" ShapeID="_x0000_i1028" DrawAspect="Content" r:id="rId29" UpdateMode="OnCall">
                          <o:LinkType>EnhancedMetaFile</o:LinkType>
                          <o:LockedField/>
                          <o:FieldCodes>\* MERGEFORMAT</o:FieldCodes>
                        </o:OLEObject>
                      </w:object>
                    </w:r>
                  </w:p>
                </w:tc>
              </w:tr>
              <w:tr w:rsidR="007F3ED6" w:rsidTr="00326326">
                <w:trPr>
                  <w:cantSplit/>
                </w:trPr>
                <w:tc>
                  <w:tcPr>
                    <w:tcW w:w="5040" w:type="dxa"/>
                  </w:tcPr>
                  <w:p w:rsidR="007F3ED6" w:rsidRDefault="007F3ED6" w:rsidP="00326326">
                    <w:pPr>
                      <w:pStyle w:val="CIRSourceNote"/>
                    </w:pPr>
                    <w:r>
                      <w:t>Source: Company data, Citi Research estimates</w:t>
                    </w:r>
                  </w:p>
                </w:tc>
                <w:tc>
                  <w:tcPr>
                    <w:tcW w:w="140" w:type="dxa"/>
                  </w:tcPr>
                  <w:p w:rsidR="007F3ED6" w:rsidRDefault="007F3ED6" w:rsidP="00326326">
                    <w:pPr>
                      <w:pStyle w:val="CIRSourceNote"/>
                    </w:pPr>
                  </w:p>
                </w:tc>
                <w:tc>
                  <w:tcPr>
                    <w:tcW w:w="5040" w:type="dxa"/>
                  </w:tcPr>
                  <w:p w:rsidR="007F3ED6" w:rsidRDefault="007F3ED6" w:rsidP="00326326">
                    <w:pPr>
                      <w:pStyle w:val="CIRSourceNote"/>
                    </w:pPr>
                    <w:r>
                      <w:t>Source: Company data, Citi Research estimates</w:t>
                    </w:r>
                  </w:p>
                </w:tc>
              </w:tr>
            </w:tbl>
            <w:p w:rsidR="007F3ED6" w:rsidRDefault="007F3ED6" w:rsidP="007F3ED6">
              <w:pPr>
                <w:pStyle w:val="CIRBodyText"/>
                <w:spacing w:after="0"/>
              </w:pPr>
            </w:p>
            <w:p w:rsidR="007F3ED6" w:rsidRPr="00CD0FF0" w:rsidRDefault="007F3ED6" w:rsidP="007F3ED6">
              <w:pPr>
                <w:pStyle w:val="CIRBodyText"/>
              </w:pPr>
              <w:r w:rsidRPr="00D91186">
                <w:t>Given we estimate that UC is accretive to Netcom’s margin and our expectation of a turnaround in the music-product</w:t>
              </w:r>
              <w:r w:rsidRPr="00CD0FF0">
                <w:t xml:space="preserve"> margin following a portfolio optimization in 1H14, we forecast a turnaround in Netcom’s EBITA margin from 17.8% in 2014E to 20.3% in 2017E (150bp ahead of cons</w:t>
              </w:r>
              <w:r>
                <w:t>. at 18.8%</w:t>
              </w:r>
              <w:r w:rsidRPr="00CD0FF0">
                <w:t xml:space="preserve">). </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5040" w:type="dxa"/>
                  </w:tcPr>
                  <w:p w:rsidR="007F3ED6" w:rsidRDefault="007F3ED6" w:rsidP="00326326">
                    <w:pPr>
                      <w:pStyle w:val="CIRCaption"/>
                    </w:pPr>
                    <w:r>
                      <w:t xml:space="preserve">Figure </w:t>
                    </w:r>
                    <w:fldSimple w:instr=" SEQ Figure \* ARABIC ">
                      <w:r>
                        <w:rPr>
                          <w:noProof/>
                        </w:rPr>
                        <w:t>6</w:t>
                      </w:r>
                    </w:fldSimple>
                    <w:r>
                      <w:t>. GN Netcom – Sales (DKrbn) and adj. EBITA margin</w:t>
                    </w:r>
                  </w:p>
                </w:tc>
                <w:tc>
                  <w:tcPr>
                    <w:tcW w:w="140" w:type="dxa"/>
                  </w:tcPr>
                  <w:p w:rsidR="007F3ED6" w:rsidRDefault="007F3ED6" w:rsidP="00326326">
                    <w:pPr>
                      <w:pStyle w:val="CIRT-Left"/>
                    </w:pPr>
                  </w:p>
                </w:tc>
                <w:tc>
                  <w:tcPr>
                    <w:tcW w:w="5040" w:type="dxa"/>
                  </w:tcPr>
                  <w:p w:rsidR="007F3ED6" w:rsidRDefault="007F3ED6" w:rsidP="00326326">
                    <w:pPr>
                      <w:pStyle w:val="CIRCaption"/>
                    </w:pPr>
                    <w:r>
                      <w:t xml:space="preserve">Figure </w:t>
                    </w:r>
                    <w:fldSimple w:instr=" SEQ Figure \* ARABIC ">
                      <w:r>
                        <w:rPr>
                          <w:noProof/>
                        </w:rPr>
                        <w:t>7</w:t>
                      </w:r>
                    </w:fldSimple>
                    <w:r>
                      <w:t>. GN Netcom – organic sales growth</w:t>
                    </w:r>
                  </w:p>
                </w:tc>
              </w:tr>
              <w:tr w:rsidR="007F3ED6" w:rsidRPr="00A61D0D" w:rsidTr="00326326">
                <w:trPr>
                  <w:cantSplit/>
                </w:trPr>
                <w:tc>
                  <w:tcPr>
                    <w:tcW w:w="5040" w:type="dxa"/>
                  </w:tcPr>
                  <w:p w:rsidR="007F3ED6" w:rsidRPr="00A61D0D" w:rsidRDefault="007F3ED6" w:rsidP="00326326">
                    <w:pPr>
                      <w:pStyle w:val="CIRFigure"/>
                    </w:pPr>
                    <w:r>
                      <w:rPr>
                        <w:lang w:eastAsia="en-US"/>
                      </w:rPr>
                      <w:object w:dxaOrig="6796" w:dyaOrig="3720">
                        <v:shape id="_x0000_i1029" type="#_x0000_t75" style="width:259.6pt;height:141.9pt" o:ole="">
                          <v:imagedata r:id="rId30" o:title=""/>
                        </v:shape>
                        <o:OLEObject Type="Link" ProgID="Excel.SheetMacroEnabled.12" ShapeID="_x0000_i1029" DrawAspect="Content" r:id="rId31" UpdateMode="OnCall">
                          <o:LinkType>EnhancedMetaFile</o:LinkType>
                          <o:LockedField/>
                          <o:FieldCodes>\* MERGEFORMAT</o:FieldCodes>
                        </o:OLEObject>
                      </w:object>
                    </w:r>
                  </w:p>
                </w:tc>
                <w:tc>
                  <w:tcPr>
                    <w:tcW w:w="140" w:type="dxa"/>
                  </w:tcPr>
                  <w:p w:rsidR="007F3ED6" w:rsidRPr="00A61D0D" w:rsidRDefault="007F3ED6" w:rsidP="00326326">
                    <w:pPr>
                      <w:pStyle w:val="CIRFigure"/>
                    </w:pPr>
                  </w:p>
                </w:tc>
                <w:tc>
                  <w:tcPr>
                    <w:tcW w:w="5040" w:type="dxa"/>
                  </w:tcPr>
                  <w:p w:rsidR="007F3ED6" w:rsidRPr="00A61D0D" w:rsidRDefault="007F3ED6" w:rsidP="00326326">
                    <w:pPr>
                      <w:pStyle w:val="CIRFigure"/>
                    </w:pPr>
                    <w:r>
                      <w:rPr>
                        <w:lang w:eastAsia="en-US"/>
                      </w:rPr>
                      <w:object w:dxaOrig="6600" w:dyaOrig="3720">
                        <v:shape id="_x0000_i1030" type="#_x0000_t75" style="width:252.1pt;height:141.9pt" o:ole="">
                          <v:imagedata r:id="rId32" o:title=""/>
                        </v:shape>
                        <o:OLEObject Type="Link" ProgID="Excel.SheetMacroEnabled.12" ShapeID="_x0000_i1030" DrawAspect="Content" r:id="rId33" UpdateMode="OnCall">
                          <o:LinkType>EnhancedMetaFile</o:LinkType>
                          <o:LockedField/>
                          <o:FieldCodes>\* MERGEFORMAT</o:FieldCodes>
                        </o:OLEObject>
                      </w:object>
                    </w:r>
                  </w:p>
                </w:tc>
              </w:tr>
              <w:tr w:rsidR="007F3ED6" w:rsidTr="00326326">
                <w:trPr>
                  <w:cantSplit/>
                </w:trPr>
                <w:tc>
                  <w:tcPr>
                    <w:tcW w:w="5040" w:type="dxa"/>
                  </w:tcPr>
                  <w:p w:rsidR="007F3ED6" w:rsidRDefault="007F3ED6" w:rsidP="00326326">
                    <w:pPr>
                      <w:pStyle w:val="CIRSourceNote"/>
                    </w:pPr>
                    <w:r>
                      <w:t>Source: Company data, Citi Research estimates</w:t>
                    </w:r>
                  </w:p>
                </w:tc>
                <w:tc>
                  <w:tcPr>
                    <w:tcW w:w="140" w:type="dxa"/>
                  </w:tcPr>
                  <w:p w:rsidR="007F3ED6" w:rsidRDefault="007F3ED6" w:rsidP="00326326">
                    <w:pPr>
                      <w:pStyle w:val="CIRSourceNote"/>
                    </w:pPr>
                  </w:p>
                </w:tc>
                <w:tc>
                  <w:tcPr>
                    <w:tcW w:w="5040" w:type="dxa"/>
                  </w:tcPr>
                  <w:p w:rsidR="007F3ED6" w:rsidRDefault="007F3ED6" w:rsidP="00326326">
                    <w:pPr>
                      <w:pStyle w:val="CIRSourceNote"/>
                    </w:pPr>
                    <w:r>
                      <w:t>Source: Company data, Citi Research estimates</w:t>
                    </w:r>
                  </w:p>
                </w:tc>
              </w:tr>
            </w:tbl>
            <w:p w:rsidR="007F3ED6" w:rsidRDefault="007F3ED6" w:rsidP="007F3ED6">
              <w:pPr>
                <w:pStyle w:val="Heading2"/>
                <w:spacing w:after="0"/>
                <w:rPr>
                  <w:lang w:val="en-GB"/>
                </w:rPr>
              </w:pPr>
            </w:p>
            <w:p w:rsidR="007F3ED6" w:rsidRPr="00D3575A" w:rsidRDefault="007F3ED6" w:rsidP="007F3ED6">
              <w:pPr>
                <w:pStyle w:val="Heading2"/>
                <w:rPr>
                  <w:lang w:val="en-GB"/>
                </w:rPr>
              </w:pPr>
              <w:bookmarkStart w:id="41" w:name="_Toc406403973"/>
              <w:bookmarkStart w:id="42" w:name="_Toc406509690"/>
              <w:r>
                <w:rPr>
                  <w:lang w:val="en-GB"/>
                </w:rPr>
                <w:t>Hearing aid share gains should last until at least 2016-17</w:t>
              </w:r>
              <w:bookmarkEnd w:id="41"/>
              <w:bookmarkEnd w:id="42"/>
            </w:p>
            <w:p w:rsidR="007F3ED6" w:rsidRDefault="007F3ED6" w:rsidP="007F3ED6">
              <w:pPr>
                <w:pStyle w:val="CIRBodyText"/>
                <w:rPr>
                  <w:lang w:val="en-GB"/>
                </w:rPr>
              </w:pPr>
              <w:r w:rsidRPr="000D54A5">
                <w:rPr>
                  <w:lang w:val="en-GB"/>
                </w:rPr>
                <w:t>We believe GN’s recent market share gains have been driven by the superiority of its wireless connectivity vs competitors</w:t>
              </w:r>
              <w:r>
                <w:rPr>
                  <w:lang w:val="en-GB"/>
                </w:rPr>
                <w:t xml:space="preserve"> as well as generally improved sound quality and better customer service. </w:t>
              </w:r>
              <w:r w:rsidRPr="00F314CD">
                <w:rPr>
                  <w:lang w:val="en-GB"/>
                </w:rPr>
                <w:t>This has helped ReSound to gain share-of-wallet in large chains such as Amplifon and Costco as well as in independents and government channels such as the US Veteran’s Affairs (VA).</w:t>
              </w:r>
            </w:p>
            <w:p w:rsidR="007F3ED6" w:rsidRDefault="007F3ED6" w:rsidP="007F3ED6">
              <w:pPr>
                <w:pStyle w:val="Heading3"/>
                <w:rPr>
                  <w:lang w:val="en-GB"/>
                </w:rPr>
              </w:pPr>
              <w:r>
                <w:rPr>
                  <w:lang w:val="en-GB"/>
                </w:rPr>
                <w:t>GN holds unique ability to directly stream sound from iPhones, etc</w:t>
              </w:r>
            </w:p>
            <w:p w:rsidR="007F3ED6" w:rsidRDefault="007F3ED6" w:rsidP="007F3ED6">
              <w:pPr>
                <w:pStyle w:val="CIRBodyText"/>
                <w:rPr>
                  <w:lang w:val="en-GB"/>
                </w:rPr>
              </w:pPr>
              <w:r>
                <w:rPr>
                  <w:lang w:val="en-GB"/>
                </w:rPr>
                <w:t xml:space="preserve">Since the introduction of ReSound Alera in 3Q10, GN’s hearing aids have used 2.4GHz wireless connectivity – the same frequency as WiFi and Bluetooth. The relatively long range of 2.4GHz wireless enables users to stream sound directly from TVs, Hi-Fis, iPhones (since the launch of LiNX in 1Q14), etc to their hearing aids without the need for an </w:t>
              </w:r>
              <w:r w:rsidRPr="00D91186">
                <w:rPr>
                  <w:lang w:val="en-GB"/>
                </w:rPr>
                <w:t>intermediate wireless streamer/remote control as required in SOON’s and WDH’s devices, the wireless</w:t>
              </w:r>
              <w:r>
                <w:rPr>
                  <w:lang w:val="en-GB"/>
                </w:rPr>
                <w:t xml:space="preserve"> systems of which use magnetic wireless with a frequency of &lt;15MHz as used in Telecoil systems, with a range of only c40cm. </w:t>
              </w:r>
            </w:p>
            <w:tbl>
              <w:tblPr>
                <w:tblStyle w:val="CIRTable"/>
                <w:tblW w:w="6700" w:type="dxa"/>
                <w:tblLayout w:type="fixed"/>
                <w:tblLook w:val="04A0" w:firstRow="1" w:lastRow="0" w:firstColumn="1" w:lastColumn="0" w:noHBand="0" w:noVBand="1"/>
                <w:tblDescription w:val="1|Body|0"/>
              </w:tblPr>
              <w:tblGrid>
                <w:gridCol w:w="6700"/>
              </w:tblGrid>
              <w:tr w:rsidR="007F3ED6" w:rsidTr="00326326">
                <w:trPr>
                  <w:cnfStyle w:val="100000000000" w:firstRow="1" w:lastRow="0" w:firstColumn="0" w:lastColumn="0" w:oddVBand="0" w:evenVBand="0" w:oddHBand="0" w:evenHBand="0" w:firstRowFirstColumn="0" w:firstRowLastColumn="0" w:lastRowFirstColumn="0" w:lastRowLastColumn="0"/>
                  <w:cantSplit/>
                </w:trPr>
                <w:tc>
                  <w:tcPr>
                    <w:tcW w:w="6700" w:type="dxa"/>
                  </w:tcPr>
                  <w:p w:rsidR="007F3ED6" w:rsidRDefault="007F3ED6" w:rsidP="00326326">
                    <w:pPr>
                      <w:pStyle w:val="CIRCaption"/>
                    </w:pPr>
                    <w:r>
                      <w:t xml:space="preserve">Figure </w:t>
                    </w:r>
                    <w:fldSimple w:instr=" SEQ Figure \* ARABIC ">
                      <w:r>
                        <w:rPr>
                          <w:noProof/>
                        </w:rPr>
                        <w:t>8</w:t>
                      </w:r>
                    </w:fldSimple>
                    <w:r>
                      <w:t xml:space="preserve">. GN ReSound – Key product launches vs hearing aid organic growth </w:t>
                    </w:r>
                  </w:p>
                </w:tc>
              </w:tr>
              <w:tr w:rsidR="007F3ED6" w:rsidTr="00326326">
                <w:trPr>
                  <w:cantSplit/>
                  <w:trHeight w:val="160"/>
                </w:trPr>
                <w:tc>
                  <w:tcPr>
                    <w:tcW w:w="6700" w:type="dxa"/>
                  </w:tcPr>
                  <w:p w:rsidR="007F3ED6" w:rsidRDefault="007F3ED6" w:rsidP="00326326">
                    <w:pPr>
                      <w:pStyle w:val="CIRFigure"/>
                    </w:pPr>
                    <w:r>
                      <w:rPr>
                        <w:lang w:eastAsia="en-US"/>
                      </w:rPr>
                      <w:object w:dxaOrig="8596" w:dyaOrig="2716">
                        <v:shape id="_x0000_i1031" type="#_x0000_t75" alt="CIRACHART" style="width:334.4pt;height:105.65pt" o:ole="">
                          <v:imagedata r:id="rId34" o:title=""/>
                        </v:shape>
                        <o:OLEObject Type="Link" ProgID="Excel.SheetMacroEnabled.12" ShapeID="_x0000_i1031" DrawAspect="Content" r:id="rId35" UpdateMode="OnCall">
                          <o:LinkType>EnhancedMetaFile</o:LinkType>
                          <o:LockedField/>
                          <o:FieldCodes>\* MERGEFORMAT</o:FieldCodes>
                        </o:OLEObject>
                      </w:object>
                    </w:r>
                  </w:p>
                </w:tc>
              </w:tr>
              <w:tr w:rsidR="007F3ED6" w:rsidTr="00326326">
                <w:trPr>
                  <w:cantSplit/>
                </w:trPr>
                <w:tc>
                  <w:tcPr>
                    <w:tcW w:w="6700" w:type="dxa"/>
                  </w:tcPr>
                  <w:p w:rsidR="007F3ED6" w:rsidRDefault="007F3ED6" w:rsidP="00326326">
                    <w:pPr>
                      <w:pStyle w:val="CIRSourceNote"/>
                    </w:pPr>
                    <w:r>
                      <w:t>Source: Company data, Citi Research estimates</w:t>
                    </w:r>
                  </w:p>
                </w:tc>
              </w:tr>
            </w:tbl>
            <w:p w:rsidR="007F3ED6" w:rsidRDefault="007F3ED6" w:rsidP="007F3ED6">
              <w:pPr>
                <w:pStyle w:val="CIRMaster"/>
                <w:rPr>
                  <w:lang w:val="en-GB"/>
                </w:rPr>
              </w:pPr>
            </w:p>
            <w:p w:rsidR="007F3ED6" w:rsidRPr="00D91186" w:rsidRDefault="007F3ED6" w:rsidP="007F3ED6">
              <w:pPr>
                <w:pStyle w:val="CIRBodyText"/>
                <w:rPr>
                  <w:lang w:val="en-GB"/>
                </w:rPr>
              </w:pPr>
              <w:r w:rsidRPr="00D3575A">
                <w:rPr>
                  <w:lang w:val="en-GB"/>
                </w:rPr>
                <w:t>The fact that a streamer</w:t>
              </w:r>
              <w:r>
                <w:rPr>
                  <w:lang w:val="en-GB"/>
                </w:rPr>
                <w:t xml:space="preserve">, which is </w:t>
              </w:r>
              <w:r w:rsidRPr="00D3575A">
                <w:rPr>
                  <w:lang w:val="en-GB"/>
                </w:rPr>
                <w:t>usually worn around the neck</w:t>
              </w:r>
              <w:r>
                <w:rPr>
                  <w:lang w:val="en-GB"/>
                </w:rPr>
                <w:t>,</w:t>
              </w:r>
              <w:r w:rsidRPr="00D3575A">
                <w:rPr>
                  <w:lang w:val="en-GB"/>
                </w:rPr>
                <w:t xml:space="preserve"> </w:t>
              </w:r>
              <w:r w:rsidRPr="00D91186">
                <w:rPr>
                  <w:lang w:val="en-GB"/>
                </w:rPr>
                <w:t>is not required improves ease-of-use and reduces the stigma of wearing a hearing aid. Moreover</w:t>
              </w:r>
              <w:r>
                <w:rPr>
                  <w:lang w:val="en-GB"/>
                </w:rPr>
                <w:t xml:space="preserve">, </w:t>
              </w:r>
              <w:r w:rsidRPr="00D3575A">
                <w:rPr>
                  <w:lang w:val="en-GB"/>
                </w:rPr>
                <w:t>the ability to stream sound directly from WiFi/Bluetooth devices has been shown in manufacturer surveys to be an attractive feature for end-users</w:t>
              </w:r>
              <w:r>
                <w:rPr>
                  <w:lang w:val="en-GB"/>
                </w:rPr>
                <w:t>, particularly as a way for audiologists to attract first-time users in the 40-60 age bracket</w:t>
              </w:r>
              <w:r w:rsidRPr="00D3575A">
                <w:rPr>
                  <w:lang w:val="en-GB"/>
                </w:rPr>
                <w:t xml:space="preserve"> (al</w:t>
              </w:r>
              <w:r>
                <w:rPr>
                  <w:lang w:val="en-GB"/>
                </w:rPr>
                <w:t>beit</w:t>
              </w:r>
              <w:r w:rsidRPr="00D3575A">
                <w:rPr>
                  <w:lang w:val="en-GB"/>
                </w:rPr>
                <w:t xml:space="preserve"> the magnitude of importance is </w:t>
              </w:r>
              <w:r w:rsidRPr="00D91186">
                <w:rPr>
                  <w:lang w:val="en-GB"/>
                </w:rPr>
                <w:t xml:space="preserve">disputed among the manufacturers). </w:t>
              </w:r>
            </w:p>
            <w:p w:rsidR="007F3ED6" w:rsidRPr="00D91186" w:rsidRDefault="007F3ED6" w:rsidP="007F3ED6">
              <w:pPr>
                <w:pStyle w:val="Heading3"/>
                <w:rPr>
                  <w:lang w:val="en-GB"/>
                </w:rPr>
              </w:pPr>
              <w:r w:rsidRPr="00D91186">
                <w:rPr>
                  <w:lang w:val="en-GB"/>
                </w:rPr>
                <w:t>Industry standard wireless connectivity not due until 2016-17</w:t>
              </w:r>
            </w:p>
            <w:p w:rsidR="007F3ED6" w:rsidRDefault="007F3ED6" w:rsidP="007F3ED6">
              <w:pPr>
                <w:pStyle w:val="CIRBodyText"/>
                <w:rPr>
                  <w:lang w:val="en-GB"/>
                </w:rPr>
              </w:pPr>
              <w:r w:rsidRPr="00D91186">
                <w:rPr>
                  <w:lang w:val="en-GB"/>
                </w:rPr>
                <w:t>We believe knowledge from GN’s headset division aided the development of 2.4GHz hearing aids, and competitors have struggled to achieve satisfactory battery-life with the technology and to incorporate the slightly larger antenna into an attractive product. Hence, GN’s main competitors have decided to work (along with GN) with the European Hearing Instrument Manufacturers Association (EHIMA) on the adoption of a standard Bluetooth Low Energy (LE) protocol. Feedback</w:t>
              </w:r>
              <w:r>
                <w:rPr>
                  <w:lang w:val="en-GB"/>
                </w:rPr>
                <w:t xml:space="preserve"> from the EUHA 2014 Congress suggests that this protocol is unlikely to be finalised until 2016-17, hence we believe GN should be able to continue to gain market share until at least this point in time.</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5040" w:type="dxa"/>
                  </w:tcPr>
                  <w:p w:rsidR="007F3ED6" w:rsidRDefault="007F3ED6" w:rsidP="00326326">
                    <w:pPr>
                      <w:pStyle w:val="CIRCaption"/>
                    </w:pPr>
                    <w:r>
                      <w:t xml:space="preserve">Figure </w:t>
                    </w:r>
                    <w:fldSimple w:instr=" SEQ Figure \* ARABIC ">
                      <w:r>
                        <w:rPr>
                          <w:noProof/>
                        </w:rPr>
                        <w:t>9</w:t>
                      </w:r>
                    </w:fldSimple>
                    <w:r>
                      <w:t>. Wholesale hearing aid market shares, 2013</w:t>
                    </w:r>
                  </w:p>
                </w:tc>
                <w:tc>
                  <w:tcPr>
                    <w:tcW w:w="140" w:type="dxa"/>
                  </w:tcPr>
                  <w:p w:rsidR="007F3ED6" w:rsidRDefault="007F3ED6" w:rsidP="00326326">
                    <w:pPr>
                      <w:pStyle w:val="CIRT-Left"/>
                    </w:pPr>
                  </w:p>
                </w:tc>
                <w:tc>
                  <w:tcPr>
                    <w:tcW w:w="5040" w:type="dxa"/>
                  </w:tcPr>
                  <w:p w:rsidR="007F3ED6" w:rsidRDefault="007F3ED6" w:rsidP="00326326">
                    <w:pPr>
                      <w:pStyle w:val="CIRCaption"/>
                    </w:pPr>
                    <w:r>
                      <w:t xml:space="preserve">Figure </w:t>
                    </w:r>
                    <w:fldSimple w:instr=" SEQ Figure \* ARABIC ">
                      <w:r>
                        <w:rPr>
                          <w:noProof/>
                        </w:rPr>
                        <w:t>10</w:t>
                      </w:r>
                    </w:fldSimple>
                    <w:r>
                      <w:t xml:space="preserve">. GN </w:t>
                    </w:r>
                    <w:r w:rsidRPr="0020164D">
                      <w:t>ReSound has gained c3-4ppts of</w:t>
                    </w:r>
                    <w:r>
                      <w:t xml:space="preserve"> market share since 2011</w:t>
                    </w:r>
                  </w:p>
                </w:tc>
              </w:tr>
              <w:tr w:rsidR="007F3ED6" w:rsidRPr="00A34BF0" w:rsidTr="00326326">
                <w:trPr>
                  <w:cantSplit/>
                </w:trPr>
                <w:tc>
                  <w:tcPr>
                    <w:tcW w:w="5040" w:type="dxa"/>
                  </w:tcPr>
                  <w:p w:rsidR="007F3ED6" w:rsidRPr="00A34BF0" w:rsidRDefault="007F3ED6" w:rsidP="00326326">
                    <w:pPr>
                      <w:pStyle w:val="CIRFigure"/>
                    </w:pPr>
                    <w:r>
                      <w:rPr>
                        <w:lang w:eastAsia="en-US"/>
                      </w:rPr>
                      <w:object w:dxaOrig="3345" w:dyaOrig="2491">
                        <v:shape id="_x0000_i1032" type="#_x0000_t75" style="width:231.45pt;height:171.5pt" o:ole="">
                          <v:imagedata r:id="rId36" o:title=""/>
                        </v:shape>
                        <o:OLEObject Type="Link" ProgID="Excel.Sheet.12" ShapeID="_x0000_i1032" DrawAspect="Content" r:id="rId37" UpdateMode="OnCall">
                          <o:LinkType>EnhancedMetaFile</o:LinkType>
                          <o:LockedField/>
                          <o:FieldCodes>\* MERGEFORMAT</o:FieldCodes>
                        </o:OLEObject>
                      </w:object>
                    </w:r>
                  </w:p>
                </w:tc>
                <w:tc>
                  <w:tcPr>
                    <w:tcW w:w="140" w:type="dxa"/>
                  </w:tcPr>
                  <w:p w:rsidR="007F3ED6" w:rsidRPr="00A34BF0" w:rsidRDefault="007F3ED6" w:rsidP="00326326">
                    <w:pPr>
                      <w:pStyle w:val="CIRFigure"/>
                    </w:pPr>
                  </w:p>
                </w:tc>
                <w:tc>
                  <w:tcPr>
                    <w:tcW w:w="5040" w:type="dxa"/>
                  </w:tcPr>
                  <w:p w:rsidR="007F3ED6" w:rsidRPr="00A34BF0" w:rsidRDefault="007F3ED6" w:rsidP="00326326">
                    <w:pPr>
                      <w:pStyle w:val="CIRFigure"/>
                    </w:pPr>
                    <w:r>
                      <w:rPr>
                        <w:lang w:eastAsia="en-US"/>
                      </w:rPr>
                      <w:object w:dxaOrig="6796" w:dyaOrig="4651">
                        <v:shape id="_x0000_i1033" type="#_x0000_t75" style="width:252.15pt;height:172.8pt" o:ole="">
                          <v:imagedata r:id="rId38" o:title=""/>
                        </v:shape>
                        <o:OLEObject Type="Link" ProgID="Excel.Sheet.12" ShapeID="_x0000_i1033" DrawAspect="Content" r:id="rId39" UpdateMode="OnCall">
                          <o:LinkType>EnhancedMetaFile</o:LinkType>
                          <o:LockedField/>
                          <o:FieldCodes>\* MERGEFORMAT</o:FieldCodes>
                        </o:OLEObject>
                      </w:object>
                    </w:r>
                  </w:p>
                </w:tc>
              </w:tr>
              <w:tr w:rsidR="007F3ED6" w:rsidTr="00326326">
                <w:trPr>
                  <w:cantSplit/>
                </w:trPr>
                <w:tc>
                  <w:tcPr>
                    <w:tcW w:w="5040" w:type="dxa"/>
                  </w:tcPr>
                  <w:p w:rsidR="007F3ED6" w:rsidRDefault="007F3ED6" w:rsidP="00326326">
                    <w:pPr>
                      <w:pStyle w:val="CIRSourceNote"/>
                    </w:pPr>
                    <w:r>
                      <w:t xml:space="preserve">Source: </w:t>
                    </w:r>
                    <w:r w:rsidRPr="00AE3D69">
                      <w:t xml:space="preserve">Company </w:t>
                    </w:r>
                    <w:r w:rsidRPr="00843D64">
                      <w:t>Reports, Citi Research</w:t>
                    </w:r>
                  </w:p>
                </w:tc>
                <w:tc>
                  <w:tcPr>
                    <w:tcW w:w="140" w:type="dxa"/>
                  </w:tcPr>
                  <w:p w:rsidR="007F3ED6" w:rsidRDefault="007F3ED6" w:rsidP="00326326">
                    <w:pPr>
                      <w:pStyle w:val="CIRSourceNote"/>
                    </w:pPr>
                  </w:p>
                </w:tc>
                <w:tc>
                  <w:tcPr>
                    <w:tcW w:w="5040" w:type="dxa"/>
                  </w:tcPr>
                  <w:p w:rsidR="007F3ED6" w:rsidRDefault="007F3ED6" w:rsidP="00326326">
                    <w:pPr>
                      <w:pStyle w:val="CIRSourceNote"/>
                    </w:pPr>
                    <w:r>
                      <w:t>Note: Sonova data calendarised to Dec YE.</w:t>
                    </w:r>
                    <w:r>
                      <w:br/>
                      <w:t xml:space="preserve">Source: Company data, Citi Research estimates </w:t>
                    </w:r>
                  </w:p>
                </w:tc>
              </w:tr>
            </w:tbl>
            <w:p w:rsidR="007F3ED6" w:rsidRDefault="007F3ED6" w:rsidP="007F3ED6">
              <w:pPr>
                <w:pStyle w:val="CIRBodyText"/>
                <w:rPr>
                  <w:lang w:val="en-GB"/>
                </w:rPr>
              </w:pPr>
            </w:p>
            <w:p w:rsidR="007F3ED6" w:rsidRDefault="007F3ED6" w:rsidP="007F3ED6">
              <w:pPr>
                <w:pStyle w:val="CIRChapter"/>
                <w:framePr w:wrap="around"/>
                <w:rPr>
                  <w:lang w:val="en-GB"/>
                </w:rPr>
              </w:pPr>
              <w:bookmarkStart w:id="43" w:name="_Toc406403974"/>
              <w:bookmarkStart w:id="44" w:name="_Toc406509691"/>
              <w:r>
                <w:rPr>
                  <w:lang w:val="en-GB"/>
                </w:rPr>
                <w:t>Valuation</w:t>
              </w:r>
              <w:bookmarkEnd w:id="43"/>
              <w:bookmarkEnd w:id="44"/>
            </w:p>
            <w:p w:rsidR="007F3ED6" w:rsidRDefault="007F3ED6" w:rsidP="007F3ED6">
              <w:pPr>
                <w:pStyle w:val="Heading3"/>
              </w:pPr>
              <w:r>
                <w:t>PEG of 0.8</w:t>
              </w:r>
              <w:r w:rsidRPr="00D91186">
                <w:t>x; recent</w:t>
              </w:r>
              <w:r w:rsidRPr="00FF2314">
                <w:t xml:space="preserve"> </w:t>
              </w:r>
              <w:r>
                <w:t>de-rating largely factors in near-term risks</w:t>
              </w:r>
            </w:p>
            <w:p w:rsidR="007F3ED6" w:rsidRPr="00CC1569" w:rsidRDefault="007F3ED6" w:rsidP="007F3ED6">
              <w:pPr>
                <w:pStyle w:val="CIRBodyText"/>
              </w:pPr>
              <w:r>
                <w:t xml:space="preserve">GN is trading </w:t>
              </w:r>
              <w:r w:rsidRPr="00B05C43">
                <w:t>on 16.2x our 2016E adj. EPS, which is &lt;1% above consensus, for an estimated 2014E-17E adj. EPS CAGR of 19.7% (PEG 0.8x)</w:t>
              </w:r>
              <w:r w:rsidRPr="004D51F8">
                <w:t xml:space="preserve"> vs</w:t>
              </w:r>
              <w:r>
                <w:t xml:space="preserve"> 13% for the sector (PEG 1.4x). This is a 9</w:t>
              </w:r>
              <w:r w:rsidRPr="00872704">
                <w:t xml:space="preserve">% </w:t>
              </w:r>
              <w:r w:rsidRPr="00D91186">
                <w:t>P/E d</w:t>
              </w:r>
              <w:r w:rsidRPr="00872704">
                <w:t>iscount</w:t>
              </w:r>
              <w:r>
                <w:t xml:space="preserve"> to the sector despite GN’s superior earnings growth, on our forecasts, and we therefore believe GN’s recent de-rating largely factors in near-term risks to margin and GN’s Costco Kirkland Signature contract. </w:t>
              </w:r>
            </w:p>
            <w:p w:rsidR="007F3ED6" w:rsidRDefault="007F3ED6" w:rsidP="007F3ED6">
              <w:pPr>
                <w:pStyle w:val="Heading3"/>
              </w:pPr>
              <w:r>
                <w:t>DKr158 target price assumes 5% discount to EU MedTech sector</w:t>
              </w:r>
            </w:p>
            <w:p w:rsidR="007F3ED6" w:rsidRDefault="007F3ED6" w:rsidP="007F3ED6">
              <w:r>
                <w:t xml:space="preserve">To derive our DKr158 12-month target price on GN, we apply a 20x PE to our 12-month forward EPS at this time. This </w:t>
              </w:r>
              <w:r w:rsidRPr="00D91186">
                <w:t>is a 5% discount to the EU</w:t>
              </w:r>
              <w:r>
                <w:t xml:space="preserve"> MedTech sector’s ~21x 1-yr fwd PE </w:t>
              </w:r>
              <w:r w:rsidRPr="00B05C43">
                <w:t xml:space="preserve">valuation vs a 7% 5-yr average premium as, although we see above-sector sales and earnings growth for GN, we </w:t>
              </w:r>
              <w:r w:rsidRPr="00B05C43">
                <w:rPr>
                  <w:rFonts w:cs="Arial"/>
                  <w:szCs w:val="18"/>
                </w:rPr>
                <w:t xml:space="preserve">recognise its relatively weak FCF generation given current investments and </w:t>
              </w:r>
              <w:r w:rsidRPr="00B05C43">
                <w:t>also see greater risk to our forecasts given cyclical exposure in the Netcom headset business.</w:t>
              </w:r>
              <w:r>
                <w:t xml:space="preserve"> </w:t>
              </w:r>
            </w:p>
            <w:p w:rsidR="007F3ED6" w:rsidRDefault="007F3ED6" w:rsidP="007F3ED6"/>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5040" w:type="dxa"/>
                  </w:tcPr>
                  <w:p w:rsidR="007F3ED6" w:rsidRDefault="007F3ED6" w:rsidP="00326326">
                    <w:pPr>
                      <w:pStyle w:val="CIRCaption"/>
                    </w:pPr>
                    <w:r>
                      <w:t xml:space="preserve">Figure </w:t>
                    </w:r>
                    <w:fldSimple w:instr=" SEQ Figure \* ARABIC ">
                      <w:r>
                        <w:rPr>
                          <w:noProof/>
                        </w:rPr>
                        <w:t>11</w:t>
                      </w:r>
                    </w:fldSimple>
                    <w:r>
                      <w:t>. GN Store Nord</w:t>
                    </w:r>
                    <w:r w:rsidRPr="00D30313">
                      <w:t xml:space="preserve"> – 1yr Fwd PE</w:t>
                    </w:r>
                  </w:p>
                </w:tc>
                <w:tc>
                  <w:tcPr>
                    <w:tcW w:w="140" w:type="dxa"/>
                  </w:tcPr>
                  <w:p w:rsidR="007F3ED6" w:rsidRDefault="007F3ED6" w:rsidP="00326326">
                    <w:pPr>
                      <w:pStyle w:val="CIRT-Left"/>
                    </w:pPr>
                  </w:p>
                </w:tc>
                <w:tc>
                  <w:tcPr>
                    <w:tcW w:w="5040" w:type="dxa"/>
                  </w:tcPr>
                  <w:p w:rsidR="007F3ED6" w:rsidRDefault="007F3ED6" w:rsidP="00326326">
                    <w:pPr>
                      <w:pStyle w:val="CIRCaption"/>
                    </w:pPr>
                    <w:r>
                      <w:t xml:space="preserve">Figure </w:t>
                    </w:r>
                    <w:fldSimple w:instr=" SEQ Figure \* ARABIC ">
                      <w:r>
                        <w:rPr>
                          <w:noProof/>
                        </w:rPr>
                        <w:t>12</w:t>
                      </w:r>
                    </w:fldSimple>
                    <w:r>
                      <w:t>. GN Store Nord</w:t>
                    </w:r>
                    <w:r w:rsidRPr="00D30313">
                      <w:t xml:space="preserve"> – 1yr </w:t>
                    </w:r>
                    <w:r>
                      <w:t>Fwd. PE vs EU MedTech S</w:t>
                    </w:r>
                    <w:r w:rsidRPr="00D30313">
                      <w:t>ector</w:t>
                    </w:r>
                  </w:p>
                </w:tc>
              </w:tr>
              <w:tr w:rsidR="007F3ED6" w:rsidRPr="0033432A" w:rsidTr="00326326">
                <w:trPr>
                  <w:cantSplit/>
                </w:trPr>
                <w:tc>
                  <w:tcPr>
                    <w:tcW w:w="5040" w:type="dxa"/>
                  </w:tcPr>
                  <w:p w:rsidR="007F3ED6" w:rsidRPr="0033432A" w:rsidRDefault="007F3ED6" w:rsidP="00326326">
                    <w:pPr>
                      <w:pStyle w:val="CIRFigure"/>
                    </w:pPr>
                    <w:r>
                      <w:rPr>
                        <w:lang w:eastAsia="en-US"/>
                      </w:rPr>
                      <w:object w:dxaOrig="7245" w:dyaOrig="4305">
                        <v:shape id="_x0000_i1034" type="#_x0000_t75" style="width:252.85pt;height:149.8pt" o:ole="">
                          <v:imagedata r:id="rId40" o:title=""/>
                        </v:shape>
                        <o:OLEObject Type="Link" ProgID="Excel.Sheet.12" ShapeID="_x0000_i1034" DrawAspect="Content" r:id="rId41" UpdateMode="OnCall">
                          <o:LinkType>EnhancedMetaFile</o:LinkType>
                          <o:LockedField/>
                          <o:FieldCodes>\* MERGEFORMAT</o:FieldCodes>
                        </o:OLEObject>
                      </w:object>
                    </w:r>
                  </w:p>
                </w:tc>
                <w:tc>
                  <w:tcPr>
                    <w:tcW w:w="140" w:type="dxa"/>
                  </w:tcPr>
                  <w:p w:rsidR="007F3ED6" w:rsidRPr="0033432A" w:rsidRDefault="007F3ED6" w:rsidP="00326326">
                    <w:pPr>
                      <w:pStyle w:val="CIRFigure"/>
                    </w:pPr>
                  </w:p>
                </w:tc>
                <w:tc>
                  <w:tcPr>
                    <w:tcW w:w="5040" w:type="dxa"/>
                  </w:tcPr>
                  <w:p w:rsidR="007F3ED6" w:rsidRPr="0033432A" w:rsidRDefault="007F3ED6" w:rsidP="00326326">
                    <w:pPr>
                      <w:pStyle w:val="CIRFigure"/>
                    </w:pPr>
                    <w:r>
                      <w:rPr>
                        <w:lang w:eastAsia="en-US"/>
                      </w:rPr>
                      <w:object w:dxaOrig="7230" w:dyaOrig="4305">
                        <v:shape id="_x0000_i1035" type="#_x0000_t75" style="width:251.6pt;height:149.8pt" o:ole="">
                          <v:imagedata r:id="rId42" o:title=""/>
                        </v:shape>
                        <o:OLEObject Type="Link" ProgID="Excel.Sheet.12" ShapeID="_x0000_i1035" DrawAspect="Content" r:id="rId43" UpdateMode="OnCall">
                          <o:LinkType>EnhancedMetaFile</o:LinkType>
                          <o:LockedField/>
                          <o:FieldCodes>\* MERGEFORMAT</o:FieldCodes>
                        </o:OLEObject>
                      </w:object>
                    </w:r>
                  </w:p>
                </w:tc>
              </w:tr>
              <w:tr w:rsidR="007F3ED6" w:rsidTr="00326326">
                <w:trPr>
                  <w:cantSplit/>
                </w:trPr>
                <w:tc>
                  <w:tcPr>
                    <w:tcW w:w="5040" w:type="dxa"/>
                  </w:tcPr>
                  <w:p w:rsidR="007F3ED6" w:rsidRDefault="007F3ED6" w:rsidP="00326326">
                    <w:pPr>
                      <w:pStyle w:val="CIRSourceNote"/>
                    </w:pPr>
                    <w:r>
                      <w:t xml:space="preserve">Source: </w:t>
                    </w:r>
                    <w:r w:rsidRPr="00D30313">
                      <w:t>FactSet</w:t>
                    </w:r>
                    <w:r>
                      <w:t>,</w:t>
                    </w:r>
                    <w:r w:rsidRPr="00D30313">
                      <w:t xml:space="preserve"> Citi Research </w:t>
                    </w:r>
                  </w:p>
                </w:tc>
                <w:tc>
                  <w:tcPr>
                    <w:tcW w:w="140" w:type="dxa"/>
                  </w:tcPr>
                  <w:p w:rsidR="007F3ED6" w:rsidRDefault="007F3ED6" w:rsidP="00326326">
                    <w:pPr>
                      <w:pStyle w:val="CIRSourceNote"/>
                    </w:pPr>
                  </w:p>
                </w:tc>
                <w:tc>
                  <w:tcPr>
                    <w:tcW w:w="5040" w:type="dxa"/>
                  </w:tcPr>
                  <w:p w:rsidR="007F3ED6" w:rsidRDefault="007F3ED6" w:rsidP="00326326">
                    <w:pPr>
                      <w:pStyle w:val="CIRSourceNote"/>
                    </w:pPr>
                    <w:r>
                      <w:t xml:space="preserve">Source: </w:t>
                    </w:r>
                    <w:r w:rsidRPr="00D30313">
                      <w:t>FactSet</w:t>
                    </w:r>
                    <w:r>
                      <w:t>,</w:t>
                    </w:r>
                    <w:r w:rsidRPr="00D30313">
                      <w:t xml:space="preserve"> Citi Research</w:t>
                    </w:r>
                  </w:p>
                </w:tc>
              </w:tr>
              <w:tr w:rsidR="007F3ED6" w:rsidTr="00326326">
                <w:tc>
                  <w:tcPr>
                    <w:tcW w:w="5040" w:type="dxa"/>
                  </w:tcPr>
                  <w:p w:rsidR="007F3ED6" w:rsidRDefault="007F3ED6" w:rsidP="00326326">
                    <w:pPr>
                      <w:pStyle w:val="CIRCaption"/>
                    </w:pPr>
                    <w:r>
                      <w:t xml:space="preserve">Figure </w:t>
                    </w:r>
                    <w:fldSimple w:instr=" SEQ Figure \* ARABIC ">
                      <w:r>
                        <w:rPr>
                          <w:noProof/>
                        </w:rPr>
                        <w:t>13</w:t>
                      </w:r>
                    </w:fldSimple>
                    <w:r>
                      <w:t>. GN Store Nord</w:t>
                    </w:r>
                    <w:r w:rsidRPr="00D30313">
                      <w:t xml:space="preserve"> – </w:t>
                    </w:r>
                    <w:r>
                      <w:t>Stock price and consensus EPS revisions</w:t>
                    </w:r>
                  </w:p>
                </w:tc>
                <w:tc>
                  <w:tcPr>
                    <w:tcW w:w="140" w:type="dxa"/>
                  </w:tcPr>
                  <w:p w:rsidR="007F3ED6" w:rsidRDefault="007F3ED6" w:rsidP="00326326">
                    <w:pPr>
                      <w:pStyle w:val="CIRT-Left"/>
                    </w:pPr>
                  </w:p>
                </w:tc>
                <w:tc>
                  <w:tcPr>
                    <w:tcW w:w="5040" w:type="dxa"/>
                  </w:tcPr>
                  <w:p w:rsidR="007F3ED6" w:rsidRDefault="007F3ED6" w:rsidP="00326326">
                    <w:pPr>
                      <w:pStyle w:val="CIRCaption"/>
                    </w:pPr>
                    <w:r>
                      <w:t xml:space="preserve">Figure </w:t>
                    </w:r>
                    <w:fldSimple w:instr=" SEQ Figure \* ARABIC ">
                      <w:r>
                        <w:rPr>
                          <w:noProof/>
                        </w:rPr>
                        <w:t>14</w:t>
                      </w:r>
                    </w:fldSimple>
                    <w:r>
                      <w:t>. YTD  stock price performance of Hearing Care companies (rebased to EUR)</w:t>
                    </w:r>
                  </w:p>
                </w:tc>
              </w:tr>
              <w:tr w:rsidR="007F3ED6" w:rsidRPr="008444D3" w:rsidTr="00326326">
                <w:trPr>
                  <w:cantSplit/>
                </w:trPr>
                <w:tc>
                  <w:tcPr>
                    <w:tcW w:w="5040" w:type="dxa"/>
                  </w:tcPr>
                  <w:p w:rsidR="007F3ED6" w:rsidRPr="008444D3" w:rsidRDefault="007F3ED6" w:rsidP="00326326">
                    <w:pPr>
                      <w:pStyle w:val="CIRFigure"/>
                    </w:pPr>
                    <w:r>
                      <w:rPr>
                        <w:lang w:eastAsia="en-US"/>
                      </w:rPr>
                      <w:object w:dxaOrig="5610" w:dyaOrig="3631">
                        <v:shape id="_x0000_i1036" type="#_x0000_t75" style="width:251.6pt;height:163.2pt" o:ole="">
                          <v:imagedata r:id="rId44" o:title=""/>
                        </v:shape>
                        <o:OLEObject Type="Link" ProgID="Excel.Sheet.12" ShapeID="_x0000_i1036" DrawAspect="Content" r:id="rId45" UpdateMode="OnCall">
                          <o:LinkType>EnhancedMetaFile</o:LinkType>
                          <o:LockedField/>
                          <o:FieldCodes>\* MERGEFORMAT</o:FieldCodes>
                        </o:OLEObject>
                      </w:object>
                    </w:r>
                  </w:p>
                </w:tc>
                <w:tc>
                  <w:tcPr>
                    <w:tcW w:w="140" w:type="dxa"/>
                  </w:tcPr>
                  <w:p w:rsidR="007F3ED6" w:rsidRPr="008444D3" w:rsidRDefault="007F3ED6" w:rsidP="00326326">
                    <w:pPr>
                      <w:pStyle w:val="CIRFigure"/>
                    </w:pPr>
                  </w:p>
                </w:tc>
                <w:tc>
                  <w:tcPr>
                    <w:tcW w:w="5040" w:type="dxa"/>
                  </w:tcPr>
                  <w:p w:rsidR="007F3ED6" w:rsidRPr="008444D3" w:rsidRDefault="007F3ED6" w:rsidP="00326326">
                    <w:pPr>
                      <w:pStyle w:val="CIRFigure"/>
                    </w:pPr>
                    <w:r>
                      <w:rPr>
                        <w:lang w:eastAsia="en-US"/>
                      </w:rPr>
                      <w:object w:dxaOrig="7891" w:dyaOrig="5085">
                        <v:shape id="_x0000_i1037" type="#_x0000_t75" style="width:252.1pt;height:162.45pt" o:ole="">
                          <v:imagedata r:id="rId46" o:title=""/>
                        </v:shape>
                        <o:OLEObject Type="Link" ProgID="Excel.Sheet.12" ShapeID="_x0000_i1037" DrawAspect="Content" r:id="rId47" UpdateMode="OnCall">
                          <o:LinkType>EnhancedMetaFile</o:LinkType>
                          <o:LockedField/>
                          <o:FieldCodes>\* MERGEFORMAT</o:FieldCodes>
                        </o:OLEObject>
                      </w:object>
                    </w:r>
                  </w:p>
                </w:tc>
              </w:tr>
              <w:tr w:rsidR="007F3ED6" w:rsidTr="00326326">
                <w:trPr>
                  <w:cantSplit/>
                </w:trPr>
                <w:tc>
                  <w:tcPr>
                    <w:tcW w:w="5040" w:type="dxa"/>
                  </w:tcPr>
                  <w:p w:rsidR="007F3ED6" w:rsidRDefault="007F3ED6" w:rsidP="00326326">
                    <w:pPr>
                      <w:pStyle w:val="CIRSourceNote"/>
                    </w:pPr>
                    <w:r>
                      <w:t xml:space="preserve">Source: </w:t>
                    </w:r>
                    <w:r w:rsidRPr="00D30313">
                      <w:t>FactSet</w:t>
                    </w:r>
                    <w:r>
                      <w:t>,</w:t>
                    </w:r>
                    <w:r w:rsidRPr="00D30313">
                      <w:t xml:space="preserve"> Citi Research</w:t>
                    </w:r>
                  </w:p>
                </w:tc>
                <w:tc>
                  <w:tcPr>
                    <w:tcW w:w="140" w:type="dxa"/>
                  </w:tcPr>
                  <w:p w:rsidR="007F3ED6" w:rsidRDefault="007F3ED6" w:rsidP="00326326">
                    <w:pPr>
                      <w:pStyle w:val="CIRSourceNote"/>
                    </w:pPr>
                  </w:p>
                </w:tc>
                <w:tc>
                  <w:tcPr>
                    <w:tcW w:w="5040" w:type="dxa"/>
                  </w:tcPr>
                  <w:p w:rsidR="007F3ED6" w:rsidRDefault="007F3ED6" w:rsidP="00326326">
                    <w:pPr>
                      <w:pStyle w:val="CIRSourceNote"/>
                    </w:pPr>
                    <w:r>
                      <w:t xml:space="preserve">Source: </w:t>
                    </w:r>
                    <w:r w:rsidRPr="00D30313">
                      <w:t>FactSet</w:t>
                    </w:r>
                    <w:r>
                      <w:t>,</w:t>
                    </w:r>
                    <w:r w:rsidRPr="00D30313">
                      <w:t xml:space="preserve"> Citi Research</w:t>
                    </w:r>
                  </w:p>
                </w:tc>
              </w:tr>
            </w:tbl>
            <w:p w:rsidR="007F3ED6" w:rsidRDefault="007F3ED6" w:rsidP="007F3ED6">
              <w:pPr>
                <w:pStyle w:val="CIRMaster"/>
                <w:rPr>
                  <w:lang w:val="en-GB"/>
                </w:rPr>
              </w:pPr>
            </w:p>
            <w:p w:rsidR="007F3ED6" w:rsidRDefault="007F3ED6" w:rsidP="007F3ED6">
              <w:pPr>
                <w:pStyle w:val="CIRMaster"/>
                <w:rPr>
                  <w:lang w:val="en-GB"/>
                </w:rPr>
              </w:pPr>
            </w:p>
            <w:p w:rsidR="007F3ED6" w:rsidRDefault="007F3ED6" w:rsidP="007F3ED6">
              <w:pPr>
                <w:pStyle w:val="CIRMaster"/>
                <w:rPr>
                  <w:lang w:val="en-GB"/>
                </w:rPr>
                <w:sectPr w:rsidR="007F3ED6" w:rsidSect="00136C1C">
                  <w:headerReference w:type="default" r:id="rId48"/>
                  <w:footerReference w:type="default" r:id="rId49"/>
                  <w:pgSz w:w="12240" w:h="15840" w:code="1"/>
                  <w:pgMar w:top="1728" w:right="1008" w:bottom="720" w:left="4536" w:header="288" w:footer="346" w:gutter="0"/>
                  <w:cols w:space="720"/>
                  <w:docGrid w:linePitch="360"/>
                </w:sectPr>
              </w:pPr>
            </w:p>
            <w:tbl>
              <w:tblPr>
                <w:tblStyle w:val="CIRTable"/>
                <w:tblW w:w="13120" w:type="dxa"/>
                <w:tblLayout w:type="fixed"/>
                <w:tblLook w:val="04A0" w:firstRow="1" w:lastRow="0" w:firstColumn="1" w:lastColumn="0" w:noHBand="0" w:noVBand="1"/>
                <w:tblCaption w:val="EmbedTable"/>
                <w:tblDescription w:val="1|Landscape|0"/>
              </w:tblPr>
              <w:tblGrid>
                <w:gridCol w:w="1312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13120" w:type="dxa"/>
                  </w:tcPr>
                  <w:p w:rsidR="007F3ED6" w:rsidRDefault="007F3ED6" w:rsidP="00326326">
                    <w:pPr>
                      <w:pStyle w:val="CIRCaption"/>
                    </w:pPr>
                    <w:bookmarkStart w:id="45" w:name="bkmLandscapePage"/>
                    <w:bookmarkEnd w:id="45"/>
                    <w:r>
                      <w:t xml:space="preserve">Figure </w:t>
                    </w:r>
                    <w:fldSimple w:instr=" SEQ Figure \* ARABIC ">
                      <w:r>
                        <w:rPr>
                          <w:noProof/>
                        </w:rPr>
                        <w:t>15</w:t>
                      </w:r>
                    </w:fldSimple>
                    <w:r>
                      <w:t xml:space="preserve">. European MedTech valuation table </w:t>
                    </w:r>
                  </w:p>
                </w:tc>
              </w:tr>
              <w:tr w:rsidR="007F3ED6" w:rsidTr="00326326">
                <w:trPr>
                  <w:trHeight w:val="160"/>
                </w:trPr>
                <w:tc>
                  <w:tcPr>
                    <w:tcW w:w="13120" w:type="dxa"/>
                  </w:tcPr>
                  <w:tbl>
                    <w:tblPr>
                      <w:tblW w:w="13098" w:type="dxa"/>
                      <w:tblBorders>
                        <w:top w:val="single" w:sz="4" w:space="0" w:color="auto"/>
                        <w:left w:val="single" w:sz="4" w:space="0" w:color="auto"/>
                        <w:bottom w:val="single" w:sz="4" w:space="0" w:color="auto"/>
                        <w:right w:val="single" w:sz="4" w:space="0" w:color="auto"/>
                      </w:tblBorders>
                      <w:tblLayout w:type="fixed"/>
                      <w:tblCellMar>
                        <w:left w:w="0" w:type="dxa"/>
                        <w:right w:w="36" w:type="dxa"/>
                      </w:tblCellMar>
                      <w:tblLook w:val="0000" w:firstRow="0" w:lastRow="0" w:firstColumn="0" w:lastColumn="0" w:noHBand="0" w:noVBand="0"/>
                      <w:tblCaption w:val="EmbedTable"/>
                      <w:tblDescription w:val="1|Landscape|0"/>
                    </w:tblPr>
                    <w:tblGrid>
                      <w:gridCol w:w="987"/>
                      <w:gridCol w:w="425"/>
                      <w:gridCol w:w="425"/>
                      <w:gridCol w:w="425"/>
                      <w:gridCol w:w="426"/>
                      <w:gridCol w:w="425"/>
                      <w:gridCol w:w="425"/>
                      <w:gridCol w:w="424"/>
                      <w:gridCol w:w="566"/>
                      <w:gridCol w:w="566"/>
                      <w:gridCol w:w="425"/>
                      <w:gridCol w:w="424"/>
                      <w:gridCol w:w="424"/>
                      <w:gridCol w:w="424"/>
                      <w:gridCol w:w="425"/>
                      <w:gridCol w:w="424"/>
                      <w:gridCol w:w="566"/>
                      <w:gridCol w:w="424"/>
                      <w:gridCol w:w="424"/>
                      <w:gridCol w:w="566"/>
                      <w:gridCol w:w="425"/>
                      <w:gridCol w:w="424"/>
                      <w:gridCol w:w="424"/>
                      <w:gridCol w:w="424"/>
                      <w:gridCol w:w="425"/>
                      <w:gridCol w:w="424"/>
                      <w:gridCol w:w="424"/>
                      <w:gridCol w:w="508"/>
                    </w:tblGrid>
                    <w:tr w:rsidR="007F3ED6" w:rsidRPr="00857C5F" w:rsidTr="00326326">
                      <w:tc>
                        <w:tcPr>
                          <w:tcW w:w="987" w:type="dxa"/>
                          <w:tcBorders>
                            <w:top w:val="single" w:sz="4" w:space="0" w:color="auto"/>
                            <w:bottom w:val="nil"/>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 xml:space="preserve">Company </w:t>
                          </w:r>
                        </w:p>
                      </w:tc>
                      <w:tc>
                        <w:tcPr>
                          <w:tcW w:w="425" w:type="dxa"/>
                          <w:tcBorders>
                            <w:top w:val="single" w:sz="4" w:space="0" w:color="auto"/>
                            <w:bottom w:val="nil"/>
                            <w:right w:val="single" w:sz="4" w:space="0" w:color="auto"/>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Curr</w:t>
                          </w:r>
                          <w:r>
                            <w:rPr>
                              <w:rFonts w:ascii="Arial Narrow" w:hAnsi="Arial Narrow" w:cs="Arial Narrow"/>
                              <w:b/>
                              <w:bCs/>
                              <w:color w:val="FFFFFF"/>
                              <w:sz w:val="16"/>
                              <w:lang w:val="en-GB"/>
                            </w:rPr>
                            <w:t>.</w:t>
                          </w:r>
                          <w:r w:rsidRPr="00857C5F">
                            <w:rPr>
                              <w:rFonts w:ascii="Arial Narrow" w:hAnsi="Arial Narrow" w:cs="Arial Narrow"/>
                              <w:b/>
                              <w:bCs/>
                              <w:color w:val="FFFFFF"/>
                              <w:sz w:val="16"/>
                              <w:lang w:val="en-GB"/>
                            </w:rPr>
                            <w:t xml:space="preserve"> price</w:t>
                          </w:r>
                        </w:p>
                      </w:tc>
                      <w:tc>
                        <w:tcPr>
                          <w:tcW w:w="2126" w:type="dxa"/>
                          <w:gridSpan w:val="5"/>
                          <w:tcBorders>
                            <w:top w:val="single" w:sz="4" w:space="0" w:color="auto"/>
                            <w:left w:val="single" w:sz="4" w:space="0" w:color="auto"/>
                            <w:bottom w:val="nil"/>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u w:val="single"/>
                              <w:lang w:val="en-GB"/>
                            </w:rPr>
                          </w:pPr>
                          <w:r w:rsidRPr="00857C5F">
                            <w:rPr>
                              <w:rFonts w:ascii="Arial Narrow" w:hAnsi="Arial Narrow" w:cs="Arial Narrow"/>
                              <w:b/>
                              <w:bCs/>
                              <w:color w:val="FFFFFF"/>
                              <w:sz w:val="16"/>
                              <w:u w:val="single"/>
                              <w:lang w:val="en-GB"/>
                            </w:rPr>
                            <w:t>PE</w:t>
                          </w:r>
                        </w:p>
                      </w:tc>
                      <w:tc>
                        <w:tcPr>
                          <w:tcW w:w="424" w:type="dxa"/>
                          <w:tcBorders>
                            <w:top w:val="single" w:sz="4" w:space="0" w:color="auto"/>
                            <w:bottom w:val="nil"/>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Prem/Disc.</w:t>
                          </w:r>
                        </w:p>
                      </w:tc>
                      <w:tc>
                        <w:tcPr>
                          <w:tcW w:w="566" w:type="dxa"/>
                          <w:tcBorders>
                            <w:top w:val="single" w:sz="4" w:space="0" w:color="auto"/>
                            <w:bottom w:val="nil"/>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EPS CAGR</w:t>
                          </w:r>
                        </w:p>
                      </w:tc>
                      <w:tc>
                        <w:tcPr>
                          <w:tcW w:w="566" w:type="dxa"/>
                          <w:tcBorders>
                            <w:top w:val="single" w:sz="4" w:space="0" w:color="auto"/>
                            <w:bottom w:val="nil"/>
                            <w:right w:val="single" w:sz="4" w:space="0" w:color="auto"/>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PEG</w:t>
                          </w:r>
                        </w:p>
                      </w:tc>
                      <w:tc>
                        <w:tcPr>
                          <w:tcW w:w="1697" w:type="dxa"/>
                          <w:gridSpan w:val="4"/>
                          <w:tcBorders>
                            <w:top w:val="single" w:sz="4" w:space="0" w:color="auto"/>
                            <w:left w:val="single" w:sz="4" w:space="0" w:color="auto"/>
                            <w:bottom w:val="nil"/>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857C5F">
                            <w:rPr>
                              <w:rFonts w:ascii="Arial Narrow" w:hAnsi="Arial Narrow" w:cs="Arial Narrow"/>
                              <w:b/>
                              <w:bCs/>
                              <w:color w:val="FFFFFF"/>
                              <w:sz w:val="16"/>
                              <w:u w:val="single"/>
                              <w:lang w:val="en-GB"/>
                            </w:rPr>
                            <w:t>EV/EBITDA</w:t>
                          </w:r>
                        </w:p>
                      </w:tc>
                      <w:tc>
                        <w:tcPr>
                          <w:tcW w:w="425" w:type="dxa"/>
                          <w:tcBorders>
                            <w:top w:val="single" w:sz="4" w:space="0" w:color="auto"/>
                            <w:bottom w:val="nil"/>
                            <w:right w:val="single" w:sz="4" w:space="0" w:color="auto"/>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Prem/Disc.</w:t>
                          </w:r>
                        </w:p>
                      </w:tc>
                      <w:tc>
                        <w:tcPr>
                          <w:tcW w:w="1838" w:type="dxa"/>
                          <w:gridSpan w:val="4"/>
                          <w:tcBorders>
                            <w:top w:val="single" w:sz="4" w:space="0" w:color="auto"/>
                            <w:left w:val="single" w:sz="4" w:space="0" w:color="auto"/>
                            <w:bottom w:val="nil"/>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u w:val="single"/>
                              <w:lang w:val="en-GB"/>
                            </w:rPr>
                          </w:pPr>
                          <w:r w:rsidRPr="00857C5F">
                            <w:rPr>
                              <w:rFonts w:ascii="Arial Narrow" w:hAnsi="Arial Narrow" w:cs="Arial Narrow"/>
                              <w:b/>
                              <w:bCs/>
                              <w:color w:val="FFFFFF"/>
                              <w:sz w:val="16"/>
                              <w:u w:val="single"/>
                              <w:lang w:val="en-GB"/>
                            </w:rPr>
                            <w:t>EV/Sales</w:t>
                          </w:r>
                        </w:p>
                      </w:tc>
                      <w:tc>
                        <w:tcPr>
                          <w:tcW w:w="566" w:type="dxa"/>
                          <w:tcBorders>
                            <w:top w:val="single" w:sz="4" w:space="0" w:color="auto"/>
                            <w:bottom w:val="nil"/>
                            <w:right w:val="single" w:sz="4" w:space="0" w:color="auto"/>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Sales CAGR</w:t>
                          </w:r>
                        </w:p>
                      </w:tc>
                      <w:tc>
                        <w:tcPr>
                          <w:tcW w:w="1697" w:type="dxa"/>
                          <w:gridSpan w:val="4"/>
                          <w:tcBorders>
                            <w:top w:val="single" w:sz="4" w:space="0" w:color="auto"/>
                            <w:left w:val="single" w:sz="4" w:space="0" w:color="auto"/>
                            <w:bottom w:val="nil"/>
                            <w:right w:val="single" w:sz="4" w:space="0" w:color="auto"/>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857C5F">
                            <w:rPr>
                              <w:rFonts w:ascii="Arial Narrow" w:hAnsi="Arial Narrow" w:cs="Arial Narrow"/>
                              <w:b/>
                              <w:bCs/>
                              <w:color w:val="FFFFFF"/>
                              <w:sz w:val="16"/>
                              <w:u w:val="single"/>
                              <w:lang w:val="en-GB"/>
                            </w:rPr>
                            <w:t>Dividend Yield</w:t>
                          </w:r>
                        </w:p>
                      </w:tc>
                      <w:tc>
                        <w:tcPr>
                          <w:tcW w:w="1781" w:type="dxa"/>
                          <w:gridSpan w:val="4"/>
                          <w:tcBorders>
                            <w:top w:val="single" w:sz="4" w:space="0" w:color="auto"/>
                            <w:left w:val="single" w:sz="4" w:space="0" w:color="auto"/>
                            <w:bottom w:val="nil"/>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857C5F">
                            <w:rPr>
                              <w:rFonts w:ascii="Arial Narrow" w:hAnsi="Arial Narrow" w:cs="Arial Narrow"/>
                              <w:b/>
                              <w:bCs/>
                              <w:color w:val="FFFFFF"/>
                              <w:sz w:val="16"/>
                              <w:u w:val="single"/>
                              <w:lang w:val="en-GB"/>
                            </w:rPr>
                            <w:t>FCF Yield</w:t>
                          </w:r>
                        </w:p>
                      </w:tc>
                    </w:tr>
                    <w:tr w:rsidR="007F3ED6" w:rsidRPr="00857C5F" w:rsidTr="00326326">
                      <w:tc>
                        <w:tcPr>
                          <w:tcW w:w="987"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rPr>
                              <w:rFonts w:ascii="Arial Narrow" w:hAnsi="Arial Narrow" w:cs="Arial Narrow"/>
                              <w:b/>
                              <w:bCs/>
                              <w:color w:val="000000"/>
                              <w:sz w:val="16"/>
                              <w:lang w:val="en-GB"/>
                            </w:rPr>
                          </w:pPr>
                          <w:r>
                            <w:rPr>
                              <w:rFonts w:ascii="Arial Narrow" w:hAnsi="Arial Narrow" w:cs="Arial Narrow"/>
                              <w:b/>
                              <w:bCs/>
                              <w:color w:val="000000"/>
                              <w:sz w:val="16"/>
                              <w:lang w:val="en-GB"/>
                            </w:rPr>
                            <w:t xml:space="preserve">Eur. </w:t>
                          </w:r>
                          <w:r w:rsidRPr="00857C5F">
                            <w:rPr>
                              <w:rFonts w:ascii="Arial Narrow" w:hAnsi="Arial Narrow" w:cs="Arial Narrow"/>
                              <w:b/>
                              <w:bCs/>
                              <w:color w:val="000000"/>
                              <w:sz w:val="16"/>
                              <w:lang w:val="en-GB"/>
                            </w:rPr>
                            <w:t>MedTech</w:t>
                          </w:r>
                        </w:p>
                      </w:tc>
                      <w:tc>
                        <w:tcPr>
                          <w:tcW w:w="425" w:type="dxa"/>
                          <w:tcBorders>
                            <w:top w:val="nil"/>
                            <w:bottom w:val="nil"/>
                            <w:right w:val="single" w:sz="4" w:space="0" w:color="auto"/>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p>
                      </w:tc>
                      <w:tc>
                        <w:tcPr>
                          <w:tcW w:w="425" w:type="dxa"/>
                          <w:tcBorders>
                            <w:top w:val="nil"/>
                            <w:left w:val="single" w:sz="4" w:space="0" w:color="auto"/>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5"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6"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5"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5"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2017E</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566"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14-17E</w:t>
                          </w:r>
                        </w:p>
                      </w:tc>
                      <w:tc>
                        <w:tcPr>
                          <w:tcW w:w="566" w:type="dxa"/>
                          <w:tcBorders>
                            <w:top w:val="nil"/>
                            <w:bottom w:val="nil"/>
                            <w:right w:val="single" w:sz="4" w:space="0" w:color="auto"/>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Pr>
                              <w:rFonts w:ascii="Arial Narrow" w:hAnsi="Arial Narrow" w:cs="Arial Narrow"/>
                              <w:b/>
                              <w:bCs/>
                              <w:color w:val="000000"/>
                              <w:sz w:val="16"/>
                              <w:lang w:val="en-GB"/>
                            </w:rPr>
                            <w:t>2016</w:t>
                          </w:r>
                          <w:r w:rsidRPr="00857C5F">
                            <w:rPr>
                              <w:rFonts w:ascii="Arial Narrow" w:hAnsi="Arial Narrow" w:cs="Arial Narrow"/>
                              <w:b/>
                              <w:bCs/>
                              <w:color w:val="000000"/>
                              <w:sz w:val="16"/>
                              <w:lang w:val="en-GB"/>
                            </w:rPr>
                            <w:t>E</w:t>
                          </w:r>
                        </w:p>
                      </w:tc>
                      <w:tc>
                        <w:tcPr>
                          <w:tcW w:w="425" w:type="dxa"/>
                          <w:tcBorders>
                            <w:top w:val="nil"/>
                            <w:left w:val="single" w:sz="4" w:space="0" w:color="auto"/>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5" w:type="dxa"/>
                          <w:tcBorders>
                            <w:top w:val="nil"/>
                            <w:bottom w:val="nil"/>
                            <w:right w:val="single" w:sz="4" w:space="0" w:color="auto"/>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4" w:type="dxa"/>
                          <w:tcBorders>
                            <w:top w:val="nil"/>
                            <w:left w:val="single" w:sz="4" w:space="0" w:color="auto"/>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566"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566" w:type="dxa"/>
                          <w:tcBorders>
                            <w:top w:val="nil"/>
                            <w:bottom w:val="nil"/>
                            <w:right w:val="single" w:sz="4" w:space="0" w:color="auto"/>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14-17E</w:t>
                          </w:r>
                        </w:p>
                      </w:tc>
                      <w:tc>
                        <w:tcPr>
                          <w:tcW w:w="425" w:type="dxa"/>
                          <w:tcBorders>
                            <w:top w:val="nil"/>
                            <w:left w:val="single" w:sz="4" w:space="0" w:color="auto"/>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4" w:type="dxa"/>
                          <w:tcBorders>
                            <w:top w:val="nil"/>
                            <w:bottom w:val="nil"/>
                            <w:right w:val="single" w:sz="4" w:space="0" w:color="auto"/>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5" w:type="dxa"/>
                          <w:tcBorders>
                            <w:top w:val="nil"/>
                            <w:left w:val="single" w:sz="4" w:space="0" w:color="auto"/>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508"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r>
                    <w:tr w:rsidR="007F3ED6" w:rsidRPr="00857C5F" w:rsidTr="00326326">
                      <w:tc>
                        <w:tcPr>
                          <w:tcW w:w="987" w:type="dxa"/>
                          <w:tcBorders>
                            <w:top w:val="nil"/>
                            <w:bottom w:val="nil"/>
                          </w:tcBorders>
                          <w:shd w:val="solid" w:color="FFFFFF" w:fill="auto"/>
                        </w:tcPr>
                        <w:p w:rsidR="007F3ED6" w:rsidRPr="00786D2E" w:rsidRDefault="007F3ED6" w:rsidP="00326326">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Amplifon SpA</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4.86</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46.0x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27.9x</w:t>
                          </w:r>
                        </w:p>
                      </w:tc>
                      <w:tc>
                        <w:tcPr>
                          <w:tcW w:w="42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21.4x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17.8x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15.7x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21.2%</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0.8x</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10.9x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9.8x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8.7x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7.9x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-25%</w:t>
                          </w:r>
                        </w:p>
                      </w:tc>
                      <w:tc>
                        <w:tcPr>
                          <w:tcW w:w="424"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1.6x</w:t>
                          </w:r>
                        </w:p>
                      </w:tc>
                      <w:tc>
                        <w:tcPr>
                          <w:tcW w:w="56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1.5x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1.4x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1.3x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5.2%</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0.9%</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0.9%</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1.0%</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1.1%</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4.9%</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5.2%</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5.7%</w:t>
                          </w:r>
                        </w:p>
                      </w:tc>
                      <w:tc>
                        <w:tcPr>
                          <w:tcW w:w="508"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6.4%</w:t>
                          </w:r>
                        </w:p>
                      </w:tc>
                    </w:tr>
                    <w:tr w:rsidR="007F3ED6" w:rsidRPr="00857C5F" w:rsidTr="00326326">
                      <w:tc>
                        <w:tcPr>
                          <w:tcW w:w="987" w:type="dxa"/>
                          <w:tcBorders>
                            <w:top w:val="nil"/>
                            <w:bottom w:val="nil"/>
                          </w:tcBorders>
                          <w:shd w:val="solid" w:color="FFFFFF" w:fill="auto"/>
                        </w:tcPr>
                        <w:p w:rsidR="007F3ED6" w:rsidRPr="00786D2E" w:rsidRDefault="007F3ED6" w:rsidP="00326326">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Coloplast*</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501.5</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38.1x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32.7x</w:t>
                          </w:r>
                        </w:p>
                      </w:tc>
                      <w:tc>
                        <w:tcPr>
                          <w:tcW w:w="42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28.5x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24.9x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22.1x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40%</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13.9%</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1.8x</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23.5x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21.2x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18.9x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16.9x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61%</w:t>
                          </w:r>
                        </w:p>
                      </w:tc>
                      <w:tc>
                        <w:tcPr>
                          <w:tcW w:w="424"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8.5x</w:t>
                          </w:r>
                        </w:p>
                      </w:tc>
                      <w:tc>
                        <w:tcPr>
                          <w:tcW w:w="56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7.9x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7.1x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6.6x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9.0%</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2.1%</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2.4%</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2.8%</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3.3%</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r>
                    <w:tr w:rsidR="007F3ED6" w:rsidRPr="00857C5F" w:rsidTr="00326326">
                      <w:tc>
                        <w:tcPr>
                          <w:tcW w:w="987" w:type="dxa"/>
                          <w:tcBorders>
                            <w:top w:val="nil"/>
                            <w:bottom w:val="nil"/>
                          </w:tcBorders>
                          <w:shd w:val="solid" w:color="FFFFFF" w:fill="auto"/>
                        </w:tcPr>
                        <w:p w:rsidR="007F3ED6" w:rsidRPr="00786D2E" w:rsidRDefault="007F3ED6" w:rsidP="00326326">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Elekta*</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77.00</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22.7x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21.7x</w:t>
                          </w:r>
                        </w:p>
                      </w:tc>
                      <w:tc>
                        <w:tcPr>
                          <w:tcW w:w="42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18.7x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16.4x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16.3x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-8%</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10.0%</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1.6x</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13.0x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12.6x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11.4x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10.3x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w:t>
                          </w:r>
                        </w:p>
                      </w:tc>
                      <w:tc>
                        <w:tcPr>
                          <w:tcW w:w="424"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2.9x</w:t>
                          </w:r>
                        </w:p>
                      </w:tc>
                      <w:tc>
                        <w:tcPr>
                          <w:tcW w:w="56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2.7x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2.4x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2.3x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7.0%</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2.4%</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2.7%</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2.9%</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3.1%</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r>
                    <w:tr w:rsidR="007F3ED6" w:rsidRPr="00857C5F" w:rsidTr="00326326">
                      <w:tc>
                        <w:tcPr>
                          <w:tcW w:w="987" w:type="dxa"/>
                          <w:tcBorders>
                            <w:top w:val="nil"/>
                            <w:bottom w:val="nil"/>
                          </w:tcBorders>
                          <w:shd w:val="solid" w:color="FFFFFF" w:fill="auto"/>
                        </w:tcPr>
                        <w:p w:rsidR="007F3ED6" w:rsidRPr="00786D2E" w:rsidRDefault="007F3ED6" w:rsidP="00326326">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Essilor</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85.83</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29.4x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27.7x</w:t>
                          </w:r>
                        </w:p>
                      </w:tc>
                      <w:tc>
                        <w:tcPr>
                          <w:tcW w:w="42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24.7x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21.6x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19.5x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21%</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12.3%</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1.8x</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17.5x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15.9x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14.2x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12.8x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22%</w:t>
                          </w:r>
                        </w:p>
                      </w:tc>
                      <w:tc>
                        <w:tcPr>
                          <w:tcW w:w="424"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4.0x</w:t>
                          </w:r>
                        </w:p>
                      </w:tc>
                      <w:tc>
                        <w:tcPr>
                          <w:tcW w:w="56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3.6x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3.3x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3.0x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9.5%</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1.1%</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1.2%</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1.5%</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2.4%</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4.3%</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4.4%</w:t>
                          </w:r>
                        </w:p>
                      </w:tc>
                      <w:tc>
                        <w:tcPr>
                          <w:tcW w:w="508"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4.8%</w:t>
                          </w:r>
                        </w:p>
                      </w:tc>
                    </w:tr>
                    <w:tr w:rsidR="007F3ED6" w:rsidRPr="00857C5F" w:rsidTr="00326326">
                      <w:tc>
                        <w:tcPr>
                          <w:tcW w:w="987" w:type="dxa"/>
                          <w:tcBorders>
                            <w:top w:val="nil"/>
                            <w:bottom w:val="nil"/>
                          </w:tcBorders>
                          <w:shd w:val="solid" w:color="FFFFFF" w:fill="auto"/>
                        </w:tcPr>
                        <w:p w:rsidR="007F3ED6" w:rsidRPr="00786D2E" w:rsidRDefault="007F3ED6" w:rsidP="00326326">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Fresenius*</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42.20</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21.7x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20.8x</w:t>
                          </w:r>
                        </w:p>
                      </w:tc>
                      <w:tc>
                        <w:tcPr>
                          <w:tcW w:w="42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18.0x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15.8x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14.1x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-11%</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13.9%</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1.1x</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9.3x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8.9x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7.9x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7.2x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-31%</w:t>
                          </w:r>
                        </w:p>
                      </w:tc>
                      <w:tc>
                        <w:tcPr>
                          <w:tcW w:w="424"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1.8x</w:t>
                          </w:r>
                        </w:p>
                      </w:tc>
                      <w:tc>
                        <w:tcPr>
                          <w:tcW w:w="56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1.6x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1.4x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1.3x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7.3%</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1.0%</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1.1%</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1.2%</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r>
                    <w:tr w:rsidR="007F3ED6" w:rsidRPr="00857C5F" w:rsidTr="00326326">
                      <w:tc>
                        <w:tcPr>
                          <w:tcW w:w="987" w:type="dxa"/>
                          <w:tcBorders>
                            <w:top w:val="nil"/>
                            <w:bottom w:val="nil"/>
                          </w:tcBorders>
                          <w:shd w:val="solid" w:color="FFFFFF" w:fill="auto"/>
                        </w:tcPr>
                        <w:p w:rsidR="007F3ED6" w:rsidRPr="00786D2E" w:rsidRDefault="007F3ED6" w:rsidP="00326326">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Fresenius Medi*</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59.25</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19.6x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21.1x</w:t>
                          </w:r>
                        </w:p>
                      </w:tc>
                      <w:tc>
                        <w:tcPr>
                          <w:tcW w:w="42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18.7x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16.9x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15.3x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-5%</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11.1%</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1.5x</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9.1x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9.1x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8.4x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7.8x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-26%</w:t>
                          </w:r>
                        </w:p>
                      </w:tc>
                      <w:tc>
                        <w:tcPr>
                          <w:tcW w:w="424"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1.8x</w:t>
                          </w:r>
                        </w:p>
                      </w:tc>
                      <w:tc>
                        <w:tcPr>
                          <w:tcW w:w="56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1.7x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1.6x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1.5x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7.1%</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1.0%</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1.2%</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1.4%</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r>
                    <w:tr w:rsidR="007F3ED6" w:rsidRPr="00857C5F" w:rsidTr="00326326">
                      <w:tc>
                        <w:tcPr>
                          <w:tcW w:w="987" w:type="dxa"/>
                          <w:tcBorders>
                            <w:top w:val="nil"/>
                            <w:bottom w:val="nil"/>
                          </w:tcBorders>
                          <w:shd w:val="solid" w:color="FFFFFF" w:fill="auto"/>
                        </w:tcPr>
                        <w:p w:rsidR="007F3ED6" w:rsidRPr="00786D2E" w:rsidRDefault="007F3ED6" w:rsidP="00326326">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Getinge*</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166.3</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14.1x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16.2x</w:t>
                          </w:r>
                        </w:p>
                      </w:tc>
                      <w:tc>
                        <w:tcPr>
                          <w:tcW w:w="42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13.5x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11.9x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9.1x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-33%</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21.2%</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0.6x</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9.3x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10.7x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8.9x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8.1x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-23%</w:t>
                          </w:r>
                        </w:p>
                      </w:tc>
                      <w:tc>
                        <w:tcPr>
                          <w:tcW w:w="424"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2.2x</w:t>
                          </w:r>
                        </w:p>
                      </w:tc>
                      <w:tc>
                        <w:tcPr>
                          <w:tcW w:w="56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2.1x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2.0x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1.9x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5.8%</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2.5%</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2.3%</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2.7%</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2.9%</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r>
                    <w:tr w:rsidR="007F3ED6" w:rsidRPr="00857C5F" w:rsidTr="00326326">
                      <w:tc>
                        <w:tcPr>
                          <w:tcW w:w="987" w:type="dxa"/>
                          <w:tcBorders>
                            <w:top w:val="nil"/>
                            <w:bottom w:val="nil"/>
                          </w:tcBorders>
                          <w:shd w:val="solid" w:color="FFFFFF" w:fill="auto"/>
                        </w:tcPr>
                        <w:p w:rsidR="007F3ED6" w:rsidRPr="00786D2E" w:rsidRDefault="007F3ED6" w:rsidP="00326326">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GN Store Nord</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128.5</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28.0x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24.1x</w:t>
                          </w:r>
                        </w:p>
                      </w:tc>
                      <w:tc>
                        <w:tcPr>
                          <w:tcW w:w="42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19.8x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16.2x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14.0x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-9%</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19.7%</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0.8x</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16.8x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15.0x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13.2x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11.6x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11%</w:t>
                          </w:r>
                        </w:p>
                      </w:tc>
                      <w:tc>
                        <w:tcPr>
                          <w:tcW w:w="424"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3.4x</w:t>
                          </w:r>
                        </w:p>
                      </w:tc>
                      <w:tc>
                        <w:tcPr>
                          <w:tcW w:w="56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3.1x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2.8x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2.5x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9.8%</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0.7%</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0.8%</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1.0%</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0.4%</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1.8%</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2.7%</w:t>
                          </w:r>
                        </w:p>
                      </w:tc>
                      <w:tc>
                        <w:tcPr>
                          <w:tcW w:w="508"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4.1%</w:t>
                          </w:r>
                        </w:p>
                      </w:tc>
                    </w:tr>
                    <w:tr w:rsidR="007F3ED6" w:rsidRPr="00857C5F" w:rsidTr="00326326">
                      <w:tc>
                        <w:tcPr>
                          <w:tcW w:w="987" w:type="dxa"/>
                          <w:tcBorders>
                            <w:top w:val="nil"/>
                            <w:bottom w:val="nil"/>
                          </w:tcBorders>
                          <w:shd w:val="solid" w:color="FFFFFF" w:fill="auto"/>
                        </w:tcPr>
                        <w:p w:rsidR="007F3ED6" w:rsidRPr="00786D2E" w:rsidRDefault="007F3ED6" w:rsidP="00326326">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Grifols A*</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30.54</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23.2x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19.0x</w:t>
                          </w:r>
                        </w:p>
                      </w:tc>
                      <w:tc>
                        <w:tcPr>
                          <w:tcW w:w="42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17.4x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15.7x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13.9x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-12%</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10.8%</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1.5x</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14.2x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12.2x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11.6x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10.8x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w:t>
                          </w:r>
                        </w:p>
                      </w:tc>
                      <w:tc>
                        <w:tcPr>
                          <w:tcW w:w="424"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4.8x</w:t>
                          </w:r>
                        </w:p>
                      </w:tc>
                      <w:tc>
                        <w:tcPr>
                          <w:tcW w:w="56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3.9x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3.7x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3.5x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6.1%</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1.6%</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1.7%</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2.0%</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2.3%</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r>
                    <w:tr w:rsidR="007F3ED6" w:rsidRPr="00857C5F" w:rsidTr="00326326">
                      <w:tc>
                        <w:tcPr>
                          <w:tcW w:w="987" w:type="dxa"/>
                          <w:tcBorders>
                            <w:top w:val="nil"/>
                            <w:bottom w:val="nil"/>
                          </w:tcBorders>
                          <w:shd w:val="solid" w:color="FFFFFF" w:fill="auto"/>
                        </w:tcPr>
                        <w:p w:rsidR="007F3ED6" w:rsidRPr="00786D2E" w:rsidRDefault="007F3ED6" w:rsidP="00326326">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Grifols B*</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25.66</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19.5x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15.1x</w:t>
                          </w:r>
                        </w:p>
                      </w:tc>
                      <w:tc>
                        <w:tcPr>
                          <w:tcW w:w="42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13.4x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11.7x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10.7x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-34%</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12.3%</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1.0x</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14.2x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12.1x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11.5x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10.4x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w:t>
                          </w:r>
                        </w:p>
                      </w:tc>
                      <w:tc>
                        <w:tcPr>
                          <w:tcW w:w="424"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4.7x</w:t>
                          </w:r>
                        </w:p>
                      </w:tc>
                      <w:tc>
                        <w:tcPr>
                          <w:tcW w:w="56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3.9x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3.6x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3.4x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5.8%</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1.9%</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2.2%</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2.6%</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3.2%</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r>
                    <w:tr w:rsidR="007F3ED6" w:rsidRPr="00857C5F" w:rsidTr="00326326">
                      <w:tc>
                        <w:tcPr>
                          <w:tcW w:w="987" w:type="dxa"/>
                          <w:tcBorders>
                            <w:top w:val="nil"/>
                            <w:bottom w:val="nil"/>
                          </w:tcBorders>
                          <w:shd w:val="solid" w:color="FFFFFF" w:fill="auto"/>
                        </w:tcPr>
                        <w:p w:rsidR="007F3ED6" w:rsidRPr="00786D2E" w:rsidRDefault="007F3ED6" w:rsidP="00326326">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Nobel Biocare*</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17.15</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40.8x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33.4x</w:t>
                          </w:r>
                        </w:p>
                      </w:tc>
                      <w:tc>
                        <w:tcPr>
                          <w:tcW w:w="42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27.9x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23.9x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19.7x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34%</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19.4%</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1.2x</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22.3x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20.0x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17.6x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15.9x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51%</w:t>
                          </w:r>
                        </w:p>
                      </w:tc>
                      <w:tc>
                        <w:tcPr>
                          <w:tcW w:w="424"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3.6x</w:t>
                          </w:r>
                        </w:p>
                      </w:tc>
                      <w:tc>
                        <w:tcPr>
                          <w:tcW w:w="56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3.6x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3.4x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3.2x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5.9%</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1.1%</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1.5%</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1.7%</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1.8%</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r>
                    <w:tr w:rsidR="007F3ED6" w:rsidRPr="00857C5F" w:rsidTr="00326326">
                      <w:tc>
                        <w:tcPr>
                          <w:tcW w:w="987" w:type="dxa"/>
                          <w:tcBorders>
                            <w:top w:val="nil"/>
                            <w:bottom w:val="nil"/>
                          </w:tcBorders>
                          <w:shd w:val="solid" w:color="FFFFFF" w:fill="auto"/>
                        </w:tcPr>
                        <w:p w:rsidR="007F3ED6" w:rsidRPr="00786D2E" w:rsidRDefault="007F3ED6" w:rsidP="00326326">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Smith &amp; Nephew*</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10.29</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21.1x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19.8x</w:t>
                          </w:r>
                        </w:p>
                      </w:tc>
                      <w:tc>
                        <w:tcPr>
                          <w:tcW w:w="42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17.8x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16.0x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14.5x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-10%</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10.9%</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1.5x</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7.6x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8.1x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7.2x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6.5x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-38%</w:t>
                          </w:r>
                        </w:p>
                      </w:tc>
                      <w:tc>
                        <w:tcPr>
                          <w:tcW w:w="424"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2.4x</w:t>
                          </w:r>
                        </w:p>
                      </w:tc>
                      <w:tc>
                        <w:tcPr>
                          <w:tcW w:w="56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2.3x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2.1x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2.0x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6.1%</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2.3%</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1.8%</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2.0%</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2.2%</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r>
                    <w:tr w:rsidR="007F3ED6" w:rsidRPr="00857C5F" w:rsidTr="00326326">
                      <w:tc>
                        <w:tcPr>
                          <w:tcW w:w="987" w:type="dxa"/>
                          <w:tcBorders>
                            <w:top w:val="nil"/>
                            <w:bottom w:val="nil"/>
                          </w:tcBorders>
                          <w:shd w:val="solid" w:color="FFFFFF" w:fill="auto"/>
                        </w:tcPr>
                        <w:p w:rsidR="007F3ED6" w:rsidRPr="00786D2E" w:rsidRDefault="007F3ED6" w:rsidP="00326326">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Sonova Hldg</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138.4</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27.8x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25.5x</w:t>
                          </w:r>
                        </w:p>
                      </w:tc>
                      <w:tc>
                        <w:tcPr>
                          <w:tcW w:w="42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22.4x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20.3x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18.5x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14%</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11.2%</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1.8x</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20.9x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16.9x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15.0x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13.7x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31%</w:t>
                          </w:r>
                        </w:p>
                      </w:tc>
                      <w:tc>
                        <w:tcPr>
                          <w:tcW w:w="424"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4.7x</w:t>
                          </w:r>
                        </w:p>
                      </w:tc>
                      <w:tc>
                        <w:tcPr>
                          <w:tcW w:w="56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4.3x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3.9x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3.7x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7.0%</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1.5%</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1.7%</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2.0%</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3.4%</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3.4%</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3.8%</w:t>
                          </w:r>
                        </w:p>
                      </w:tc>
                      <w:tc>
                        <w:tcPr>
                          <w:tcW w:w="508"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4.5%</w:t>
                          </w:r>
                        </w:p>
                      </w:tc>
                    </w:tr>
                    <w:tr w:rsidR="007F3ED6" w:rsidRPr="00857C5F" w:rsidTr="00326326">
                      <w:tc>
                        <w:tcPr>
                          <w:tcW w:w="987" w:type="dxa"/>
                          <w:tcBorders>
                            <w:top w:val="nil"/>
                            <w:bottom w:val="nil"/>
                          </w:tcBorders>
                          <w:shd w:val="solid" w:color="FFFFFF" w:fill="auto"/>
                        </w:tcPr>
                        <w:p w:rsidR="007F3ED6" w:rsidRPr="00786D2E" w:rsidRDefault="007F3ED6" w:rsidP="00326326">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Straumann*</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241.8</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34.2x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28.6x</w:t>
                          </w:r>
                        </w:p>
                      </w:tc>
                      <w:tc>
                        <w:tcPr>
                          <w:tcW w:w="42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24.0x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21.0x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18.2x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18%</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16.4%</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1.3x</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23.6x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21.1x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16.5x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14.4x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37%</w:t>
                          </w:r>
                        </w:p>
                      </w:tc>
                      <w:tc>
                        <w:tcPr>
                          <w:tcW w:w="424"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5.4x</w:t>
                          </w:r>
                        </w:p>
                      </w:tc>
                      <w:tc>
                        <w:tcPr>
                          <w:tcW w:w="56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5.3x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4.4x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4.0x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12.1%</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1.6%</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1.6%</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1.7%</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1.9%</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c>
                        <w:tcPr>
                          <w:tcW w:w="508"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 </w:t>
                          </w:r>
                        </w:p>
                      </w:tc>
                    </w:tr>
                    <w:tr w:rsidR="007F3ED6" w:rsidRPr="00857C5F" w:rsidTr="00326326">
                      <w:tc>
                        <w:tcPr>
                          <w:tcW w:w="987" w:type="dxa"/>
                          <w:tcBorders>
                            <w:top w:val="nil"/>
                            <w:bottom w:val="nil"/>
                          </w:tcBorders>
                          <w:shd w:val="solid" w:color="FFFFFF" w:fill="auto"/>
                        </w:tcPr>
                        <w:p w:rsidR="007F3ED6" w:rsidRPr="00786D2E" w:rsidRDefault="007F3ED6" w:rsidP="00326326">
                          <w:pPr>
                            <w:keepNext/>
                            <w:autoSpaceDE w:val="0"/>
                            <w:autoSpaceDN w:val="0"/>
                            <w:adjustRightInd w:val="0"/>
                            <w:spacing w:before="40" w:line="160" w:lineRule="exact"/>
                            <w:rPr>
                              <w:rFonts w:ascii="Arial Narrow" w:hAnsi="Arial Narrow" w:cs="Arial Narrow"/>
                              <w:color w:val="000000"/>
                              <w:sz w:val="16"/>
                              <w:lang w:val="en-GB"/>
                            </w:rPr>
                          </w:pPr>
                          <w:r w:rsidRPr="00786D2E">
                            <w:rPr>
                              <w:rFonts w:ascii="Arial Narrow" w:hAnsi="Arial Narrow" w:cs="Arial Narrow"/>
                              <w:color w:val="000000"/>
                              <w:sz w:val="16"/>
                              <w:lang w:val="en-GB"/>
                            </w:rPr>
                            <w:t>William Demant</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431.6</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18.6x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18.1x</w:t>
                          </w:r>
                        </w:p>
                      </w:tc>
                      <w:tc>
                        <w:tcPr>
                          <w:tcW w:w="42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15.9x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14.1x</w:t>
                          </w:r>
                        </w:p>
                      </w:tc>
                      <w:tc>
                        <w:tcPr>
                          <w:tcW w:w="425"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12.4x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-21%</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13.5%</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1.0x</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13.5x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13.6x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12.5x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11.4x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9%</w:t>
                          </w:r>
                        </w:p>
                      </w:tc>
                      <w:tc>
                        <w:tcPr>
                          <w:tcW w:w="424"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3.0x</w:t>
                          </w:r>
                        </w:p>
                      </w:tc>
                      <w:tc>
                        <w:tcPr>
                          <w:tcW w:w="566"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2.9x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2.7x</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2.5x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6.9%</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0.0%</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0.0%</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0.0%</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0.0%</w:t>
                          </w:r>
                        </w:p>
                      </w:tc>
                      <w:tc>
                        <w:tcPr>
                          <w:tcW w:w="425" w:type="dxa"/>
                          <w:tcBorders>
                            <w:top w:val="nil"/>
                            <w:left w:val="single" w:sz="4" w:space="0" w:color="auto"/>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2.9%</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3.8%</w:t>
                          </w:r>
                        </w:p>
                      </w:tc>
                      <w:tc>
                        <w:tcPr>
                          <w:tcW w:w="424"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4.0%</w:t>
                          </w:r>
                        </w:p>
                      </w:tc>
                      <w:tc>
                        <w:tcPr>
                          <w:tcW w:w="508" w:type="dxa"/>
                          <w:tcBorders>
                            <w:top w:val="nil"/>
                            <w:bottom w:val="nil"/>
                          </w:tcBorders>
                          <w:shd w:val="solid" w:color="FFFFFF" w:fill="auto"/>
                          <w:vAlign w:val="center"/>
                        </w:tcPr>
                        <w:p w:rsidR="007F3ED6" w:rsidRDefault="007F3ED6" w:rsidP="00326326">
                          <w:pPr>
                            <w:jc w:val="right"/>
                            <w:rPr>
                              <w:rFonts w:ascii="Arial Narrow" w:hAnsi="Arial Narrow" w:cs="Calibri"/>
                              <w:sz w:val="16"/>
                              <w:szCs w:val="16"/>
                            </w:rPr>
                          </w:pPr>
                          <w:r>
                            <w:rPr>
                              <w:rFonts w:ascii="Arial Narrow" w:hAnsi="Arial Narrow" w:cs="Calibri"/>
                              <w:sz w:val="16"/>
                              <w:szCs w:val="16"/>
                            </w:rPr>
                            <w:t>5.0%</w:t>
                          </w:r>
                        </w:p>
                      </w:tc>
                    </w:tr>
                    <w:tr w:rsidR="007F3ED6" w:rsidRPr="00857C5F" w:rsidTr="00326326">
                      <w:tc>
                        <w:tcPr>
                          <w:tcW w:w="987" w:type="dxa"/>
                          <w:tcBorders>
                            <w:top w:val="nil"/>
                            <w:left w:val="single" w:sz="4" w:space="0" w:color="auto"/>
                            <w:bottom w:val="single" w:sz="4" w:space="0" w:color="auto"/>
                            <w:right w:val="nil"/>
                          </w:tcBorders>
                          <w:shd w:val="clear" w:color="auto" w:fill="002D72"/>
                        </w:tcPr>
                        <w:p w:rsidR="007F3ED6" w:rsidRPr="00387A08" w:rsidRDefault="007F3ED6" w:rsidP="00326326">
                          <w:pPr>
                            <w:keepNext/>
                            <w:autoSpaceDE w:val="0"/>
                            <w:autoSpaceDN w:val="0"/>
                            <w:adjustRightInd w:val="0"/>
                            <w:spacing w:before="40" w:line="160" w:lineRule="exact"/>
                            <w:rPr>
                              <w:rFonts w:ascii="Arial Narrow" w:hAnsi="Arial Narrow" w:cs="Arial Narrow"/>
                              <w:b/>
                              <w:color w:val="FFFFFF"/>
                              <w:sz w:val="16"/>
                              <w:lang w:val="en-GB"/>
                            </w:rPr>
                          </w:pPr>
                          <w:r w:rsidRPr="00387A08">
                            <w:rPr>
                              <w:rFonts w:ascii="Arial Narrow" w:hAnsi="Arial Narrow" w:cs="Arial Narrow"/>
                              <w:b/>
                              <w:color w:val="FFFFFF"/>
                              <w:sz w:val="16"/>
                              <w:lang w:val="en-GB"/>
                            </w:rPr>
                            <w:t>Weighted Av</w:t>
                          </w:r>
                          <w:r>
                            <w:rPr>
                              <w:rFonts w:ascii="Arial Narrow" w:hAnsi="Arial Narrow" w:cs="Arial Narrow"/>
                              <w:b/>
                              <w:color w:val="FFFFFF"/>
                              <w:sz w:val="16"/>
                              <w:lang w:val="en-GB"/>
                            </w:rPr>
                            <w:t>g.</w:t>
                          </w:r>
                        </w:p>
                      </w:tc>
                      <w:tc>
                        <w:tcPr>
                          <w:tcW w:w="425" w:type="dxa"/>
                          <w:tcBorders>
                            <w:top w:val="nil"/>
                            <w:left w:val="nil"/>
                            <w:bottom w:val="single" w:sz="4" w:space="0" w:color="auto"/>
                            <w:right w:val="single" w:sz="4" w:space="0" w:color="auto"/>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 </w:t>
                          </w:r>
                        </w:p>
                      </w:tc>
                      <w:tc>
                        <w:tcPr>
                          <w:tcW w:w="425" w:type="dxa"/>
                          <w:tcBorders>
                            <w:top w:val="nil"/>
                            <w:left w:val="single" w:sz="4" w:space="0" w:color="auto"/>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25.1x</w:t>
                          </w:r>
                        </w:p>
                      </w:tc>
                      <w:tc>
                        <w:tcPr>
                          <w:tcW w:w="425" w:type="dxa"/>
                          <w:tcBorders>
                            <w:top w:val="nil"/>
                            <w:left w:val="nil"/>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23.0x</w:t>
                          </w:r>
                        </w:p>
                      </w:tc>
                      <w:tc>
                        <w:tcPr>
                          <w:tcW w:w="426" w:type="dxa"/>
                          <w:tcBorders>
                            <w:top w:val="nil"/>
                            <w:left w:val="nil"/>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20.1x</w:t>
                          </w:r>
                        </w:p>
                      </w:tc>
                      <w:tc>
                        <w:tcPr>
                          <w:tcW w:w="425" w:type="dxa"/>
                          <w:tcBorders>
                            <w:top w:val="nil"/>
                            <w:left w:val="nil"/>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17.8x</w:t>
                          </w:r>
                        </w:p>
                      </w:tc>
                      <w:tc>
                        <w:tcPr>
                          <w:tcW w:w="425" w:type="dxa"/>
                          <w:tcBorders>
                            <w:top w:val="nil"/>
                            <w:left w:val="nil"/>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15.9x</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 </w:t>
                          </w:r>
                        </w:p>
                      </w:tc>
                      <w:tc>
                        <w:tcPr>
                          <w:tcW w:w="566"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13.0%</w:t>
                          </w:r>
                        </w:p>
                      </w:tc>
                      <w:tc>
                        <w:tcPr>
                          <w:tcW w:w="566" w:type="dxa"/>
                          <w:tcBorders>
                            <w:top w:val="nil"/>
                            <w:left w:val="nil"/>
                            <w:bottom w:val="single" w:sz="4" w:space="0" w:color="auto"/>
                            <w:right w:val="single" w:sz="4" w:space="0" w:color="auto"/>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1.4x</w:t>
                          </w:r>
                        </w:p>
                      </w:tc>
                      <w:tc>
                        <w:tcPr>
                          <w:tcW w:w="425" w:type="dxa"/>
                          <w:tcBorders>
                            <w:top w:val="nil"/>
                            <w:left w:val="single" w:sz="4" w:space="0" w:color="auto"/>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14.1x</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12.9x</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11.6x</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10.5x</w:t>
                          </w:r>
                        </w:p>
                      </w:tc>
                      <w:tc>
                        <w:tcPr>
                          <w:tcW w:w="425" w:type="dxa"/>
                          <w:tcBorders>
                            <w:top w:val="nil"/>
                            <w:left w:val="nil"/>
                            <w:bottom w:val="single" w:sz="4" w:space="0" w:color="auto"/>
                            <w:right w:val="single" w:sz="4" w:space="0" w:color="auto"/>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 </w:t>
                          </w:r>
                        </w:p>
                      </w:tc>
                      <w:tc>
                        <w:tcPr>
                          <w:tcW w:w="424" w:type="dxa"/>
                          <w:tcBorders>
                            <w:top w:val="nil"/>
                            <w:left w:val="single" w:sz="4" w:space="0" w:color="auto"/>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3.7x</w:t>
                          </w:r>
                        </w:p>
                      </w:tc>
                      <w:tc>
                        <w:tcPr>
                          <w:tcW w:w="566" w:type="dxa"/>
                          <w:tcBorders>
                            <w:top w:val="nil"/>
                            <w:left w:val="nil"/>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3.3x</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3.1x</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2.8x</w:t>
                          </w:r>
                        </w:p>
                      </w:tc>
                      <w:tc>
                        <w:tcPr>
                          <w:tcW w:w="566" w:type="dxa"/>
                          <w:tcBorders>
                            <w:top w:val="nil"/>
                            <w:left w:val="nil"/>
                            <w:bottom w:val="single" w:sz="4" w:space="0" w:color="auto"/>
                            <w:right w:val="single" w:sz="4" w:space="0" w:color="auto"/>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7.5%</w:t>
                          </w:r>
                        </w:p>
                      </w:tc>
                      <w:tc>
                        <w:tcPr>
                          <w:tcW w:w="425" w:type="dxa"/>
                          <w:tcBorders>
                            <w:top w:val="nil"/>
                            <w:left w:val="single" w:sz="4" w:space="0" w:color="auto"/>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1.4%</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1.5%</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1.7%</w:t>
                          </w:r>
                        </w:p>
                      </w:tc>
                      <w:tc>
                        <w:tcPr>
                          <w:tcW w:w="424" w:type="dxa"/>
                          <w:tcBorders>
                            <w:top w:val="nil"/>
                            <w:left w:val="nil"/>
                            <w:bottom w:val="single" w:sz="4" w:space="0" w:color="auto"/>
                            <w:right w:val="single" w:sz="4" w:space="0" w:color="auto"/>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2.0%</w:t>
                          </w:r>
                        </w:p>
                      </w:tc>
                      <w:tc>
                        <w:tcPr>
                          <w:tcW w:w="425" w:type="dxa"/>
                          <w:tcBorders>
                            <w:top w:val="nil"/>
                            <w:left w:val="single" w:sz="4" w:space="0" w:color="auto"/>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 </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 </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 </w:t>
                          </w:r>
                        </w:p>
                      </w:tc>
                      <w:tc>
                        <w:tcPr>
                          <w:tcW w:w="508" w:type="dxa"/>
                          <w:tcBorders>
                            <w:top w:val="nil"/>
                            <w:left w:val="nil"/>
                            <w:bottom w:val="single" w:sz="4" w:space="0" w:color="auto"/>
                            <w:right w:val="single" w:sz="4" w:space="0" w:color="auto"/>
                          </w:tcBorders>
                          <w:shd w:val="clear" w:color="auto" w:fill="002D72"/>
                          <w:vAlign w:val="center"/>
                        </w:tcPr>
                        <w:p w:rsidR="007F3ED6" w:rsidRDefault="007F3ED6" w:rsidP="00326326">
                          <w:pPr>
                            <w:jc w:val="right"/>
                            <w:rPr>
                              <w:rFonts w:ascii="Arial Narrow" w:hAnsi="Arial Narrow" w:cs="Calibri"/>
                              <w:b/>
                              <w:bCs/>
                              <w:color w:val="FFFFFF"/>
                              <w:sz w:val="16"/>
                              <w:szCs w:val="16"/>
                            </w:rPr>
                          </w:pPr>
                          <w:r>
                            <w:rPr>
                              <w:rFonts w:ascii="Arial Narrow" w:hAnsi="Arial Narrow" w:cs="Calibri"/>
                              <w:b/>
                              <w:bCs/>
                              <w:color w:val="FFFFFF"/>
                              <w:sz w:val="16"/>
                              <w:szCs w:val="16"/>
                            </w:rPr>
                            <w:t> </w:t>
                          </w:r>
                        </w:p>
                      </w:tc>
                    </w:tr>
                  </w:tbl>
                  <w:p w:rsidR="007F3ED6" w:rsidRDefault="007F3ED6" w:rsidP="00326326">
                    <w:pPr>
                      <w:pStyle w:val="CIRMaster"/>
                      <w:spacing w:line="14" w:lineRule="auto"/>
                    </w:pPr>
                  </w:p>
                </w:tc>
              </w:tr>
              <w:tr w:rsidR="007F3ED6" w:rsidTr="00326326">
                <w:trPr>
                  <w:cantSplit/>
                </w:trPr>
                <w:tc>
                  <w:tcPr>
                    <w:tcW w:w="13120" w:type="dxa"/>
                  </w:tcPr>
                  <w:p w:rsidR="007F3ED6" w:rsidRPr="0028242A" w:rsidRDefault="007F3ED6" w:rsidP="00326326">
                    <w:pPr>
                      <w:pStyle w:val="NoSpacing"/>
                      <w:rPr>
                        <w:rFonts w:ascii="Arial Narrow" w:hAnsi="Arial Narrow"/>
                        <w:sz w:val="16"/>
                        <w:szCs w:val="16"/>
                      </w:rPr>
                    </w:pPr>
                    <w:r w:rsidRPr="00B05C43">
                      <w:rPr>
                        <w:rFonts w:ascii="Arial Narrow" w:hAnsi="Arial Narrow"/>
                        <w:sz w:val="16"/>
                        <w:szCs w:val="16"/>
                      </w:rPr>
                      <w:t>Note: Priced 15 Dec 2014. Calendarised</w:t>
                    </w:r>
                    <w:r w:rsidRPr="00843D64">
                      <w:rPr>
                        <w:rFonts w:ascii="Arial Narrow" w:hAnsi="Arial Narrow"/>
                        <w:sz w:val="16"/>
                        <w:szCs w:val="16"/>
                      </w:rPr>
                      <w:t xml:space="preserve"> data. E = Citi Research estimates, except for names marked * for which consensus data used.</w:t>
                    </w:r>
                    <w:r>
                      <w:rPr>
                        <w:rFonts w:ascii="Arial Narrow" w:hAnsi="Arial Narrow"/>
                        <w:sz w:val="16"/>
                        <w:szCs w:val="16"/>
                      </w:rPr>
                      <w:t xml:space="preserve">    Source: Powered by dataCentral</w:t>
                    </w:r>
                  </w:p>
                </w:tc>
              </w:tr>
            </w:tbl>
            <w:p w:rsidR="007F3ED6" w:rsidRDefault="007F3ED6" w:rsidP="007F3ED6">
              <w:pPr>
                <w:pStyle w:val="CIRMaster"/>
                <w:rPr>
                  <w:lang w:val="en-GB"/>
                </w:rPr>
              </w:pPr>
            </w:p>
            <w:p w:rsidR="007F3ED6" w:rsidRDefault="007F3ED6" w:rsidP="007F3ED6">
              <w:pPr>
                <w:pStyle w:val="CIRMaster"/>
                <w:rPr>
                  <w:lang w:val="en-GB"/>
                </w:rPr>
              </w:pPr>
            </w:p>
            <w:tbl>
              <w:tblPr>
                <w:tblStyle w:val="CIRTable"/>
                <w:tblW w:w="13120" w:type="dxa"/>
                <w:tblLayout w:type="fixed"/>
                <w:tblLook w:val="04A0" w:firstRow="1" w:lastRow="0" w:firstColumn="1" w:lastColumn="0" w:noHBand="0" w:noVBand="1"/>
                <w:tblCaption w:val="EmbedTable"/>
                <w:tblDescription w:val="1|Landscape|0"/>
              </w:tblPr>
              <w:tblGrid>
                <w:gridCol w:w="1312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13120" w:type="dxa"/>
                  </w:tcPr>
                  <w:p w:rsidR="007F3ED6" w:rsidRDefault="007F3ED6" w:rsidP="00326326">
                    <w:pPr>
                      <w:pStyle w:val="CIRCaption"/>
                    </w:pPr>
                    <w:r>
                      <w:t xml:space="preserve">Figure </w:t>
                    </w:r>
                    <w:fldSimple w:instr=" SEQ Figure \* ARABIC ">
                      <w:r>
                        <w:rPr>
                          <w:noProof/>
                        </w:rPr>
                        <w:t>16</w:t>
                      </w:r>
                    </w:fldSimple>
                    <w:r>
                      <w:t>. Hearing Care Valuation Table</w:t>
                    </w:r>
                  </w:p>
                </w:tc>
              </w:tr>
              <w:tr w:rsidR="007F3ED6" w:rsidTr="00326326">
                <w:trPr>
                  <w:trHeight w:val="160"/>
                </w:trPr>
                <w:tc>
                  <w:tcPr>
                    <w:tcW w:w="13120" w:type="dxa"/>
                  </w:tcPr>
                  <w:tbl>
                    <w:tblPr>
                      <w:tblW w:w="13098" w:type="dxa"/>
                      <w:tblBorders>
                        <w:top w:val="single" w:sz="4" w:space="0" w:color="auto"/>
                        <w:left w:val="single" w:sz="4" w:space="0" w:color="auto"/>
                        <w:bottom w:val="single" w:sz="4" w:space="0" w:color="auto"/>
                        <w:right w:val="single" w:sz="4" w:space="0" w:color="auto"/>
                      </w:tblBorders>
                      <w:tblLayout w:type="fixed"/>
                      <w:tblCellMar>
                        <w:left w:w="0" w:type="dxa"/>
                        <w:right w:w="36" w:type="dxa"/>
                      </w:tblCellMar>
                      <w:tblLook w:val="0000" w:firstRow="0" w:lastRow="0" w:firstColumn="0" w:lastColumn="0" w:noHBand="0" w:noVBand="0"/>
                      <w:tblCaption w:val="EmbedTable"/>
                      <w:tblDescription w:val="1|Landscape|0"/>
                    </w:tblPr>
                    <w:tblGrid>
                      <w:gridCol w:w="987"/>
                      <w:gridCol w:w="425"/>
                      <w:gridCol w:w="425"/>
                      <w:gridCol w:w="425"/>
                      <w:gridCol w:w="426"/>
                      <w:gridCol w:w="425"/>
                      <w:gridCol w:w="425"/>
                      <w:gridCol w:w="424"/>
                      <w:gridCol w:w="566"/>
                      <w:gridCol w:w="566"/>
                      <w:gridCol w:w="425"/>
                      <w:gridCol w:w="424"/>
                      <w:gridCol w:w="424"/>
                      <w:gridCol w:w="424"/>
                      <w:gridCol w:w="425"/>
                      <w:gridCol w:w="424"/>
                      <w:gridCol w:w="566"/>
                      <w:gridCol w:w="424"/>
                      <w:gridCol w:w="424"/>
                      <w:gridCol w:w="566"/>
                      <w:gridCol w:w="425"/>
                      <w:gridCol w:w="424"/>
                      <w:gridCol w:w="424"/>
                      <w:gridCol w:w="424"/>
                      <w:gridCol w:w="425"/>
                      <w:gridCol w:w="424"/>
                      <w:gridCol w:w="424"/>
                      <w:gridCol w:w="508"/>
                    </w:tblGrid>
                    <w:tr w:rsidR="007F3ED6" w:rsidRPr="00857C5F" w:rsidTr="00326326">
                      <w:tc>
                        <w:tcPr>
                          <w:tcW w:w="987" w:type="dxa"/>
                          <w:tcBorders>
                            <w:top w:val="single" w:sz="4" w:space="0" w:color="auto"/>
                            <w:bottom w:val="nil"/>
                          </w:tcBorders>
                          <w:shd w:val="solid" w:color="002D72" w:fill="auto"/>
                        </w:tcPr>
                        <w:p w:rsidR="007F3ED6" w:rsidRPr="00857C5F" w:rsidRDefault="007F3ED6" w:rsidP="00326326">
                          <w:pPr>
                            <w:keepNext/>
                            <w:autoSpaceDE w:val="0"/>
                            <w:autoSpaceDN w:val="0"/>
                            <w:adjustRightInd w:val="0"/>
                            <w:spacing w:before="40" w:line="160" w:lineRule="exact"/>
                            <w:rPr>
                              <w:rFonts w:ascii="Arial Narrow" w:hAnsi="Arial Narrow" w:cs="Arial Narrow"/>
                              <w:b/>
                              <w:bCs/>
                              <w:color w:val="FFFFFF"/>
                              <w:sz w:val="16"/>
                              <w:lang w:val="en-GB"/>
                            </w:rPr>
                          </w:pPr>
                          <w:r w:rsidRPr="00857C5F">
                            <w:rPr>
                              <w:rFonts w:ascii="Arial Narrow" w:hAnsi="Arial Narrow" w:cs="Arial Narrow"/>
                              <w:b/>
                              <w:bCs/>
                              <w:color w:val="FFFFFF"/>
                              <w:sz w:val="16"/>
                              <w:lang w:val="en-GB"/>
                            </w:rPr>
                            <w:t xml:space="preserve">Company </w:t>
                          </w:r>
                        </w:p>
                      </w:tc>
                      <w:tc>
                        <w:tcPr>
                          <w:tcW w:w="425" w:type="dxa"/>
                          <w:tcBorders>
                            <w:top w:val="single" w:sz="4" w:space="0" w:color="auto"/>
                            <w:bottom w:val="nil"/>
                            <w:right w:val="single" w:sz="4" w:space="0" w:color="auto"/>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Curr</w:t>
                          </w:r>
                          <w:r>
                            <w:rPr>
                              <w:rFonts w:ascii="Arial Narrow" w:hAnsi="Arial Narrow" w:cs="Arial Narrow"/>
                              <w:b/>
                              <w:bCs/>
                              <w:color w:val="FFFFFF"/>
                              <w:sz w:val="16"/>
                              <w:lang w:val="en-GB"/>
                            </w:rPr>
                            <w:t>.</w:t>
                          </w:r>
                          <w:r w:rsidRPr="00857C5F">
                            <w:rPr>
                              <w:rFonts w:ascii="Arial Narrow" w:hAnsi="Arial Narrow" w:cs="Arial Narrow"/>
                              <w:b/>
                              <w:bCs/>
                              <w:color w:val="FFFFFF"/>
                              <w:sz w:val="16"/>
                              <w:lang w:val="en-GB"/>
                            </w:rPr>
                            <w:t xml:space="preserve"> price</w:t>
                          </w:r>
                        </w:p>
                      </w:tc>
                      <w:tc>
                        <w:tcPr>
                          <w:tcW w:w="2126" w:type="dxa"/>
                          <w:gridSpan w:val="5"/>
                          <w:tcBorders>
                            <w:top w:val="single" w:sz="4" w:space="0" w:color="auto"/>
                            <w:left w:val="single" w:sz="4" w:space="0" w:color="auto"/>
                            <w:bottom w:val="nil"/>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u w:val="single"/>
                              <w:lang w:val="en-GB"/>
                            </w:rPr>
                          </w:pPr>
                          <w:r w:rsidRPr="00857C5F">
                            <w:rPr>
                              <w:rFonts w:ascii="Arial Narrow" w:hAnsi="Arial Narrow" w:cs="Arial Narrow"/>
                              <w:b/>
                              <w:bCs/>
                              <w:color w:val="FFFFFF"/>
                              <w:sz w:val="16"/>
                              <w:u w:val="single"/>
                              <w:lang w:val="en-GB"/>
                            </w:rPr>
                            <w:t>PE</w:t>
                          </w:r>
                        </w:p>
                      </w:tc>
                      <w:tc>
                        <w:tcPr>
                          <w:tcW w:w="424" w:type="dxa"/>
                          <w:tcBorders>
                            <w:top w:val="single" w:sz="4" w:space="0" w:color="auto"/>
                            <w:bottom w:val="nil"/>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Prem/Disc.</w:t>
                          </w:r>
                        </w:p>
                      </w:tc>
                      <w:tc>
                        <w:tcPr>
                          <w:tcW w:w="566" w:type="dxa"/>
                          <w:tcBorders>
                            <w:top w:val="single" w:sz="4" w:space="0" w:color="auto"/>
                            <w:bottom w:val="nil"/>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EPS CAGR</w:t>
                          </w:r>
                        </w:p>
                      </w:tc>
                      <w:tc>
                        <w:tcPr>
                          <w:tcW w:w="566" w:type="dxa"/>
                          <w:tcBorders>
                            <w:top w:val="single" w:sz="4" w:space="0" w:color="auto"/>
                            <w:bottom w:val="nil"/>
                            <w:right w:val="single" w:sz="4" w:space="0" w:color="auto"/>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PEG</w:t>
                          </w:r>
                        </w:p>
                      </w:tc>
                      <w:tc>
                        <w:tcPr>
                          <w:tcW w:w="1697" w:type="dxa"/>
                          <w:gridSpan w:val="4"/>
                          <w:tcBorders>
                            <w:top w:val="single" w:sz="4" w:space="0" w:color="auto"/>
                            <w:left w:val="single" w:sz="4" w:space="0" w:color="auto"/>
                            <w:bottom w:val="nil"/>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857C5F">
                            <w:rPr>
                              <w:rFonts w:ascii="Arial Narrow" w:hAnsi="Arial Narrow" w:cs="Arial Narrow"/>
                              <w:b/>
                              <w:bCs/>
                              <w:color w:val="FFFFFF"/>
                              <w:sz w:val="16"/>
                              <w:u w:val="single"/>
                              <w:lang w:val="en-GB"/>
                            </w:rPr>
                            <w:t>EV/EBITDA</w:t>
                          </w:r>
                        </w:p>
                      </w:tc>
                      <w:tc>
                        <w:tcPr>
                          <w:tcW w:w="425" w:type="dxa"/>
                          <w:tcBorders>
                            <w:top w:val="single" w:sz="4" w:space="0" w:color="auto"/>
                            <w:bottom w:val="nil"/>
                            <w:right w:val="single" w:sz="4" w:space="0" w:color="auto"/>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Prem/Disc.</w:t>
                          </w:r>
                        </w:p>
                      </w:tc>
                      <w:tc>
                        <w:tcPr>
                          <w:tcW w:w="1838" w:type="dxa"/>
                          <w:gridSpan w:val="4"/>
                          <w:tcBorders>
                            <w:top w:val="single" w:sz="4" w:space="0" w:color="auto"/>
                            <w:left w:val="single" w:sz="4" w:space="0" w:color="auto"/>
                            <w:bottom w:val="nil"/>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u w:val="single"/>
                              <w:lang w:val="en-GB"/>
                            </w:rPr>
                          </w:pPr>
                          <w:r w:rsidRPr="00857C5F">
                            <w:rPr>
                              <w:rFonts w:ascii="Arial Narrow" w:hAnsi="Arial Narrow" w:cs="Arial Narrow"/>
                              <w:b/>
                              <w:bCs/>
                              <w:color w:val="FFFFFF"/>
                              <w:sz w:val="16"/>
                              <w:u w:val="single"/>
                              <w:lang w:val="en-GB"/>
                            </w:rPr>
                            <w:t>EV/Sales</w:t>
                          </w:r>
                        </w:p>
                      </w:tc>
                      <w:tc>
                        <w:tcPr>
                          <w:tcW w:w="566" w:type="dxa"/>
                          <w:tcBorders>
                            <w:top w:val="single" w:sz="4" w:space="0" w:color="auto"/>
                            <w:bottom w:val="nil"/>
                            <w:right w:val="single" w:sz="4" w:space="0" w:color="auto"/>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FFFFFF"/>
                              <w:sz w:val="16"/>
                              <w:lang w:val="en-GB"/>
                            </w:rPr>
                          </w:pPr>
                          <w:r w:rsidRPr="00857C5F">
                            <w:rPr>
                              <w:rFonts w:ascii="Arial Narrow" w:hAnsi="Arial Narrow" w:cs="Arial Narrow"/>
                              <w:b/>
                              <w:bCs/>
                              <w:color w:val="FFFFFF"/>
                              <w:sz w:val="16"/>
                              <w:lang w:val="en-GB"/>
                            </w:rPr>
                            <w:t>Sales CAGR</w:t>
                          </w:r>
                        </w:p>
                      </w:tc>
                      <w:tc>
                        <w:tcPr>
                          <w:tcW w:w="1697" w:type="dxa"/>
                          <w:gridSpan w:val="4"/>
                          <w:tcBorders>
                            <w:top w:val="single" w:sz="4" w:space="0" w:color="auto"/>
                            <w:left w:val="single" w:sz="4" w:space="0" w:color="auto"/>
                            <w:bottom w:val="nil"/>
                            <w:right w:val="single" w:sz="4" w:space="0" w:color="auto"/>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857C5F">
                            <w:rPr>
                              <w:rFonts w:ascii="Arial Narrow" w:hAnsi="Arial Narrow" w:cs="Arial Narrow"/>
                              <w:b/>
                              <w:bCs/>
                              <w:color w:val="FFFFFF"/>
                              <w:sz w:val="16"/>
                              <w:u w:val="single"/>
                              <w:lang w:val="en-GB"/>
                            </w:rPr>
                            <w:t>Dividend Yield</w:t>
                          </w:r>
                        </w:p>
                      </w:tc>
                      <w:tc>
                        <w:tcPr>
                          <w:tcW w:w="1781" w:type="dxa"/>
                          <w:gridSpan w:val="4"/>
                          <w:tcBorders>
                            <w:top w:val="single" w:sz="4" w:space="0" w:color="auto"/>
                            <w:left w:val="single" w:sz="4" w:space="0" w:color="auto"/>
                            <w:bottom w:val="nil"/>
                          </w:tcBorders>
                          <w:shd w:val="solid" w:color="002D72" w:fill="auto"/>
                        </w:tcPr>
                        <w:p w:rsidR="007F3ED6" w:rsidRPr="00857C5F"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857C5F">
                            <w:rPr>
                              <w:rFonts w:ascii="Arial Narrow" w:hAnsi="Arial Narrow" w:cs="Arial Narrow"/>
                              <w:b/>
                              <w:bCs/>
                              <w:color w:val="FFFFFF"/>
                              <w:sz w:val="16"/>
                              <w:u w:val="single"/>
                              <w:lang w:val="en-GB"/>
                            </w:rPr>
                            <w:t>FCF Yield</w:t>
                          </w:r>
                        </w:p>
                      </w:tc>
                    </w:tr>
                    <w:tr w:rsidR="007F3ED6" w:rsidRPr="00857C5F" w:rsidTr="00326326">
                      <w:tc>
                        <w:tcPr>
                          <w:tcW w:w="987"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rPr>
                              <w:rFonts w:ascii="Arial Narrow" w:hAnsi="Arial Narrow" w:cs="Arial Narrow"/>
                              <w:b/>
                              <w:bCs/>
                              <w:color w:val="000000"/>
                              <w:sz w:val="16"/>
                              <w:lang w:val="en-GB"/>
                            </w:rPr>
                          </w:pPr>
                          <w:r>
                            <w:rPr>
                              <w:rFonts w:ascii="Arial Narrow" w:hAnsi="Arial Narrow" w:cs="Arial Narrow"/>
                              <w:b/>
                              <w:bCs/>
                              <w:color w:val="000000"/>
                              <w:sz w:val="16"/>
                              <w:lang w:val="en-GB"/>
                            </w:rPr>
                            <w:t>Hearing Care</w:t>
                          </w:r>
                        </w:p>
                      </w:tc>
                      <w:tc>
                        <w:tcPr>
                          <w:tcW w:w="425" w:type="dxa"/>
                          <w:tcBorders>
                            <w:top w:val="nil"/>
                            <w:bottom w:val="nil"/>
                            <w:right w:val="single" w:sz="4" w:space="0" w:color="auto"/>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p>
                      </w:tc>
                      <w:tc>
                        <w:tcPr>
                          <w:tcW w:w="425" w:type="dxa"/>
                          <w:tcBorders>
                            <w:top w:val="nil"/>
                            <w:left w:val="single" w:sz="4" w:space="0" w:color="auto"/>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5"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6"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5"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5"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2017E</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566"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14-17E</w:t>
                          </w:r>
                        </w:p>
                      </w:tc>
                      <w:tc>
                        <w:tcPr>
                          <w:tcW w:w="566" w:type="dxa"/>
                          <w:tcBorders>
                            <w:top w:val="nil"/>
                            <w:bottom w:val="nil"/>
                            <w:right w:val="single" w:sz="4" w:space="0" w:color="auto"/>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Pr>
                              <w:rFonts w:ascii="Arial Narrow" w:hAnsi="Arial Narrow" w:cs="Arial Narrow"/>
                              <w:b/>
                              <w:bCs/>
                              <w:color w:val="000000"/>
                              <w:sz w:val="16"/>
                              <w:lang w:val="en-GB"/>
                            </w:rPr>
                            <w:t>2016</w:t>
                          </w:r>
                          <w:r w:rsidRPr="00857C5F">
                            <w:rPr>
                              <w:rFonts w:ascii="Arial Narrow" w:hAnsi="Arial Narrow" w:cs="Arial Narrow"/>
                              <w:b/>
                              <w:bCs/>
                              <w:color w:val="000000"/>
                              <w:sz w:val="16"/>
                              <w:lang w:val="en-GB"/>
                            </w:rPr>
                            <w:t>E</w:t>
                          </w:r>
                        </w:p>
                      </w:tc>
                      <w:tc>
                        <w:tcPr>
                          <w:tcW w:w="425" w:type="dxa"/>
                          <w:tcBorders>
                            <w:top w:val="nil"/>
                            <w:left w:val="single" w:sz="4" w:space="0" w:color="auto"/>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5" w:type="dxa"/>
                          <w:tcBorders>
                            <w:top w:val="nil"/>
                            <w:bottom w:val="nil"/>
                            <w:right w:val="single" w:sz="4" w:space="0" w:color="auto"/>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4" w:type="dxa"/>
                          <w:tcBorders>
                            <w:top w:val="nil"/>
                            <w:left w:val="single" w:sz="4" w:space="0" w:color="auto"/>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566"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566" w:type="dxa"/>
                          <w:tcBorders>
                            <w:top w:val="nil"/>
                            <w:bottom w:val="nil"/>
                            <w:right w:val="single" w:sz="4" w:space="0" w:color="auto"/>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14-17E</w:t>
                          </w:r>
                        </w:p>
                      </w:tc>
                      <w:tc>
                        <w:tcPr>
                          <w:tcW w:w="425" w:type="dxa"/>
                          <w:tcBorders>
                            <w:top w:val="nil"/>
                            <w:left w:val="single" w:sz="4" w:space="0" w:color="auto"/>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424" w:type="dxa"/>
                          <w:tcBorders>
                            <w:top w:val="nil"/>
                            <w:bottom w:val="nil"/>
                            <w:right w:val="single" w:sz="4" w:space="0" w:color="auto"/>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c>
                        <w:tcPr>
                          <w:tcW w:w="425" w:type="dxa"/>
                          <w:tcBorders>
                            <w:top w:val="nil"/>
                            <w:left w:val="single" w:sz="4" w:space="0" w:color="auto"/>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2013A</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2014E</w:t>
                          </w:r>
                        </w:p>
                      </w:tc>
                      <w:tc>
                        <w:tcPr>
                          <w:tcW w:w="424"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2015E</w:t>
                          </w:r>
                        </w:p>
                      </w:tc>
                      <w:tc>
                        <w:tcPr>
                          <w:tcW w:w="508" w:type="dxa"/>
                          <w:tcBorders>
                            <w:top w:val="nil"/>
                            <w:bottom w:val="nil"/>
                          </w:tcBorders>
                          <w:shd w:val="clear" w:color="auto" w:fill="BFF6FD"/>
                          <w:vAlign w:val="center"/>
                        </w:tcPr>
                        <w:p w:rsidR="007F3ED6" w:rsidRPr="00857C5F" w:rsidRDefault="007F3ED6" w:rsidP="00326326">
                          <w:pPr>
                            <w:keepNext/>
                            <w:autoSpaceDE w:val="0"/>
                            <w:autoSpaceDN w:val="0"/>
                            <w:adjustRightInd w:val="0"/>
                            <w:spacing w:before="40" w:line="160" w:lineRule="exact"/>
                            <w:jc w:val="center"/>
                            <w:rPr>
                              <w:rFonts w:ascii="Arial Narrow" w:hAnsi="Arial Narrow" w:cs="Arial Narrow"/>
                              <w:b/>
                              <w:bCs/>
                              <w:color w:val="000000"/>
                              <w:sz w:val="16"/>
                              <w:lang w:val="en-GB"/>
                            </w:rPr>
                          </w:pPr>
                          <w:r w:rsidRPr="00857C5F">
                            <w:rPr>
                              <w:rFonts w:ascii="Arial Narrow" w:hAnsi="Arial Narrow" w:cs="Arial Narrow"/>
                              <w:b/>
                              <w:bCs/>
                              <w:color w:val="000000"/>
                              <w:sz w:val="16"/>
                              <w:lang w:val="en-GB"/>
                            </w:rPr>
                            <w:t>2016E</w:t>
                          </w:r>
                        </w:p>
                      </w:tc>
                    </w:tr>
                    <w:tr w:rsidR="007F3ED6" w:rsidRPr="00857C5F" w:rsidTr="00326326">
                      <w:tc>
                        <w:tcPr>
                          <w:tcW w:w="987" w:type="dxa"/>
                          <w:tcBorders>
                            <w:top w:val="nil"/>
                            <w:bottom w:val="nil"/>
                          </w:tcBorders>
                          <w:shd w:val="solid" w:color="FFFFFF" w:fill="auto"/>
                          <w:vAlign w:val="center"/>
                        </w:tcPr>
                        <w:p w:rsidR="007F3ED6" w:rsidRDefault="007F3ED6" w:rsidP="00326326">
                          <w:pPr>
                            <w:rPr>
                              <w:rFonts w:ascii="Arial Narrow" w:hAnsi="Arial Narrow" w:cs="Arial"/>
                              <w:sz w:val="16"/>
                              <w:szCs w:val="16"/>
                            </w:rPr>
                          </w:pPr>
                          <w:r>
                            <w:rPr>
                              <w:rFonts w:ascii="Arial Narrow" w:hAnsi="Arial Narrow" w:cs="Arial"/>
                              <w:sz w:val="16"/>
                              <w:szCs w:val="16"/>
                            </w:rPr>
                            <w:t>Amplifon SpA</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4.86</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46.0x</w:t>
                          </w:r>
                        </w:p>
                      </w:tc>
                      <w:tc>
                        <w:tcPr>
                          <w:tcW w:w="425"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27.9x</w:t>
                          </w:r>
                        </w:p>
                      </w:tc>
                      <w:tc>
                        <w:tcPr>
                          <w:tcW w:w="42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21.4x</w:t>
                          </w:r>
                        </w:p>
                      </w:tc>
                      <w:tc>
                        <w:tcPr>
                          <w:tcW w:w="425"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17.8x</w:t>
                          </w:r>
                        </w:p>
                      </w:tc>
                      <w:tc>
                        <w:tcPr>
                          <w:tcW w:w="425"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15.7x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21.2%</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0.8x</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10.9x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9.8x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8.7x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7.9x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-25%</w:t>
                          </w:r>
                        </w:p>
                      </w:tc>
                      <w:tc>
                        <w:tcPr>
                          <w:tcW w:w="424"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1.6x</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1.5x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1.4x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5.2%</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0.9%</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0.9%</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1.0%</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1.1%</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4.9%</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5.2%</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5.7%</w:t>
                          </w:r>
                        </w:p>
                      </w:tc>
                      <w:tc>
                        <w:tcPr>
                          <w:tcW w:w="508"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6.4%</w:t>
                          </w:r>
                        </w:p>
                      </w:tc>
                    </w:tr>
                    <w:tr w:rsidR="007F3ED6" w:rsidRPr="00857C5F" w:rsidTr="00326326">
                      <w:tc>
                        <w:tcPr>
                          <w:tcW w:w="987" w:type="dxa"/>
                          <w:tcBorders>
                            <w:top w:val="nil"/>
                            <w:bottom w:val="nil"/>
                          </w:tcBorders>
                          <w:shd w:val="solid" w:color="FFFFFF" w:fill="auto"/>
                          <w:vAlign w:val="center"/>
                        </w:tcPr>
                        <w:p w:rsidR="007F3ED6" w:rsidRDefault="007F3ED6" w:rsidP="00326326">
                          <w:pPr>
                            <w:rPr>
                              <w:rFonts w:ascii="Arial Narrow" w:hAnsi="Arial Narrow" w:cs="Arial"/>
                              <w:sz w:val="16"/>
                              <w:szCs w:val="16"/>
                            </w:rPr>
                          </w:pPr>
                          <w:r>
                            <w:rPr>
                              <w:rFonts w:ascii="Arial Narrow" w:hAnsi="Arial Narrow" w:cs="Arial"/>
                              <w:sz w:val="16"/>
                              <w:szCs w:val="16"/>
                            </w:rPr>
                            <w:t>Cochlear Ltd</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72.88</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34.4x</w:t>
                          </w:r>
                        </w:p>
                      </w:tc>
                      <w:tc>
                        <w:tcPr>
                          <w:tcW w:w="425"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32.0x</w:t>
                          </w:r>
                        </w:p>
                      </w:tc>
                      <w:tc>
                        <w:tcPr>
                          <w:tcW w:w="42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25.9x</w:t>
                          </w:r>
                        </w:p>
                      </w:tc>
                      <w:tc>
                        <w:tcPr>
                          <w:tcW w:w="425"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23.6x</w:t>
                          </w:r>
                        </w:p>
                      </w:tc>
                      <w:tc>
                        <w:tcPr>
                          <w:tcW w:w="425"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22.4x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33%</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12.6%</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1.9x</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23.0x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21.4x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17.6x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15.8x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51%</w:t>
                          </w:r>
                        </w:p>
                      </w:tc>
                      <w:tc>
                        <w:tcPr>
                          <w:tcW w:w="424"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5.6x</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5.1x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4.6x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4.3x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8.0%</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3.5%</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3.0%</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2.7%</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3.0%</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1.6%</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2.4%</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2.8%</w:t>
                          </w:r>
                        </w:p>
                      </w:tc>
                      <w:tc>
                        <w:tcPr>
                          <w:tcW w:w="508"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3.3%</w:t>
                          </w:r>
                        </w:p>
                      </w:tc>
                    </w:tr>
                    <w:tr w:rsidR="007F3ED6" w:rsidRPr="00857C5F" w:rsidTr="00326326">
                      <w:tc>
                        <w:tcPr>
                          <w:tcW w:w="987" w:type="dxa"/>
                          <w:tcBorders>
                            <w:top w:val="nil"/>
                            <w:bottom w:val="nil"/>
                          </w:tcBorders>
                          <w:shd w:val="solid" w:color="FFFFFF" w:fill="auto"/>
                          <w:vAlign w:val="center"/>
                        </w:tcPr>
                        <w:p w:rsidR="007F3ED6" w:rsidRDefault="007F3ED6" w:rsidP="00326326">
                          <w:pPr>
                            <w:rPr>
                              <w:rFonts w:ascii="Arial Narrow" w:hAnsi="Arial Narrow" w:cs="Arial"/>
                              <w:sz w:val="16"/>
                              <w:szCs w:val="16"/>
                            </w:rPr>
                          </w:pPr>
                          <w:r>
                            <w:rPr>
                              <w:rFonts w:ascii="Arial Narrow" w:hAnsi="Arial Narrow" w:cs="Arial"/>
                              <w:sz w:val="16"/>
                              <w:szCs w:val="16"/>
                            </w:rPr>
                            <w:t>GN Store Nord</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128.5</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28.0x</w:t>
                          </w:r>
                        </w:p>
                      </w:tc>
                      <w:tc>
                        <w:tcPr>
                          <w:tcW w:w="425"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24.1x</w:t>
                          </w:r>
                        </w:p>
                      </w:tc>
                      <w:tc>
                        <w:tcPr>
                          <w:tcW w:w="42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19.8x</w:t>
                          </w:r>
                        </w:p>
                      </w:tc>
                      <w:tc>
                        <w:tcPr>
                          <w:tcW w:w="425"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16.2x</w:t>
                          </w:r>
                        </w:p>
                      </w:tc>
                      <w:tc>
                        <w:tcPr>
                          <w:tcW w:w="425"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14.0x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-9%</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19.7%</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0.8x</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16.8x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15.0x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13.2x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11.6x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11%</w:t>
                          </w:r>
                        </w:p>
                      </w:tc>
                      <w:tc>
                        <w:tcPr>
                          <w:tcW w:w="424"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3.4x</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3.1x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2.8x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2.5x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9.8%</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0.7%</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0.8%</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1.0%</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0.4%</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1.8%</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2.7%</w:t>
                          </w:r>
                        </w:p>
                      </w:tc>
                      <w:tc>
                        <w:tcPr>
                          <w:tcW w:w="508"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4.1%</w:t>
                          </w:r>
                        </w:p>
                      </w:tc>
                    </w:tr>
                    <w:tr w:rsidR="007F3ED6" w:rsidRPr="00857C5F" w:rsidTr="00326326">
                      <w:tc>
                        <w:tcPr>
                          <w:tcW w:w="987" w:type="dxa"/>
                          <w:tcBorders>
                            <w:top w:val="nil"/>
                            <w:bottom w:val="nil"/>
                          </w:tcBorders>
                          <w:shd w:val="solid" w:color="FFFFFF" w:fill="auto"/>
                          <w:vAlign w:val="center"/>
                        </w:tcPr>
                        <w:p w:rsidR="007F3ED6" w:rsidRDefault="007F3ED6" w:rsidP="00326326">
                          <w:pPr>
                            <w:rPr>
                              <w:rFonts w:ascii="Arial Narrow" w:hAnsi="Arial Narrow" w:cs="Arial"/>
                              <w:sz w:val="16"/>
                              <w:szCs w:val="16"/>
                            </w:rPr>
                          </w:pPr>
                          <w:r>
                            <w:rPr>
                              <w:rFonts w:ascii="Arial Narrow" w:hAnsi="Arial Narrow" w:cs="Arial"/>
                              <w:sz w:val="16"/>
                              <w:szCs w:val="16"/>
                            </w:rPr>
                            <w:t>Sonova Hldg</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138.4</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27.8x</w:t>
                          </w:r>
                        </w:p>
                      </w:tc>
                      <w:tc>
                        <w:tcPr>
                          <w:tcW w:w="425"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25.5x</w:t>
                          </w:r>
                        </w:p>
                      </w:tc>
                      <w:tc>
                        <w:tcPr>
                          <w:tcW w:w="42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22.4x</w:t>
                          </w:r>
                        </w:p>
                      </w:tc>
                      <w:tc>
                        <w:tcPr>
                          <w:tcW w:w="425"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20.3x</w:t>
                          </w:r>
                        </w:p>
                      </w:tc>
                      <w:tc>
                        <w:tcPr>
                          <w:tcW w:w="425"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18.5x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14%</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11.2%</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1.8x</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20.9x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16.9x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15.0x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13.7x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31%</w:t>
                          </w:r>
                        </w:p>
                      </w:tc>
                      <w:tc>
                        <w:tcPr>
                          <w:tcW w:w="424"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4.7x</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4.3x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3.9x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3.7x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7.0%</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1.5%</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1.7%</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2.0%</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3.4%</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3.4%</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3.8%</w:t>
                          </w:r>
                        </w:p>
                      </w:tc>
                      <w:tc>
                        <w:tcPr>
                          <w:tcW w:w="508"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4.5%</w:t>
                          </w:r>
                        </w:p>
                      </w:tc>
                    </w:tr>
                    <w:tr w:rsidR="007F3ED6" w:rsidRPr="00857C5F" w:rsidTr="00326326">
                      <w:tc>
                        <w:tcPr>
                          <w:tcW w:w="987" w:type="dxa"/>
                          <w:tcBorders>
                            <w:top w:val="nil"/>
                            <w:bottom w:val="nil"/>
                          </w:tcBorders>
                          <w:shd w:val="solid" w:color="FFFFFF" w:fill="auto"/>
                          <w:vAlign w:val="center"/>
                        </w:tcPr>
                        <w:p w:rsidR="007F3ED6" w:rsidRDefault="007F3ED6" w:rsidP="00326326">
                          <w:pPr>
                            <w:rPr>
                              <w:rFonts w:ascii="Arial Narrow" w:hAnsi="Arial Narrow" w:cs="Arial"/>
                              <w:sz w:val="16"/>
                              <w:szCs w:val="16"/>
                            </w:rPr>
                          </w:pPr>
                          <w:r>
                            <w:rPr>
                              <w:rFonts w:ascii="Arial Narrow" w:hAnsi="Arial Narrow" w:cs="Arial"/>
                              <w:sz w:val="16"/>
                              <w:szCs w:val="16"/>
                            </w:rPr>
                            <w:t>William Demant</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431.6</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18.6x</w:t>
                          </w:r>
                        </w:p>
                      </w:tc>
                      <w:tc>
                        <w:tcPr>
                          <w:tcW w:w="425"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18.1x</w:t>
                          </w:r>
                        </w:p>
                      </w:tc>
                      <w:tc>
                        <w:tcPr>
                          <w:tcW w:w="42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15.9x</w:t>
                          </w:r>
                        </w:p>
                      </w:tc>
                      <w:tc>
                        <w:tcPr>
                          <w:tcW w:w="425"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14.1x</w:t>
                          </w:r>
                        </w:p>
                      </w:tc>
                      <w:tc>
                        <w:tcPr>
                          <w:tcW w:w="425"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12.4x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-21%</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13.5%</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1.0x</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13.5x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13.6x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12.5x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11.4x</w:t>
                          </w:r>
                        </w:p>
                      </w:tc>
                      <w:tc>
                        <w:tcPr>
                          <w:tcW w:w="425"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9%</w:t>
                          </w:r>
                        </w:p>
                      </w:tc>
                      <w:tc>
                        <w:tcPr>
                          <w:tcW w:w="424"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3.0x</w:t>
                          </w:r>
                        </w:p>
                      </w:tc>
                      <w:tc>
                        <w:tcPr>
                          <w:tcW w:w="566"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2.9x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2.7x</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2.5x</w:t>
                          </w:r>
                        </w:p>
                      </w:tc>
                      <w:tc>
                        <w:tcPr>
                          <w:tcW w:w="566"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6.9%</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0.0%</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0.0%</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0.0%</w:t>
                          </w:r>
                        </w:p>
                      </w:tc>
                      <w:tc>
                        <w:tcPr>
                          <w:tcW w:w="424" w:type="dxa"/>
                          <w:tcBorders>
                            <w:top w:val="nil"/>
                            <w:bottom w:val="nil"/>
                            <w:right w:val="single" w:sz="4" w:space="0" w:color="auto"/>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0.0%</w:t>
                          </w:r>
                        </w:p>
                      </w:tc>
                      <w:tc>
                        <w:tcPr>
                          <w:tcW w:w="425" w:type="dxa"/>
                          <w:tcBorders>
                            <w:top w:val="nil"/>
                            <w:left w:val="single" w:sz="4" w:space="0" w:color="auto"/>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2.9%</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3.8%</w:t>
                          </w:r>
                        </w:p>
                      </w:tc>
                      <w:tc>
                        <w:tcPr>
                          <w:tcW w:w="424"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4.0%</w:t>
                          </w:r>
                        </w:p>
                      </w:tc>
                      <w:tc>
                        <w:tcPr>
                          <w:tcW w:w="508" w:type="dxa"/>
                          <w:tcBorders>
                            <w:top w:val="nil"/>
                            <w:bottom w:val="nil"/>
                          </w:tcBorders>
                          <w:shd w:val="solid" w:color="FFFFFF" w:fill="auto"/>
                          <w:vAlign w:val="center"/>
                        </w:tcPr>
                        <w:p w:rsidR="007F3ED6" w:rsidRDefault="007F3ED6" w:rsidP="00326326">
                          <w:pPr>
                            <w:jc w:val="center"/>
                            <w:rPr>
                              <w:rFonts w:ascii="Arial Narrow" w:hAnsi="Arial Narrow" w:cs="Calibri"/>
                              <w:sz w:val="16"/>
                              <w:szCs w:val="16"/>
                            </w:rPr>
                          </w:pPr>
                          <w:r>
                            <w:rPr>
                              <w:rFonts w:ascii="Arial Narrow" w:hAnsi="Arial Narrow" w:cs="Calibri"/>
                              <w:sz w:val="16"/>
                              <w:szCs w:val="16"/>
                            </w:rPr>
                            <w:t>5.0%</w:t>
                          </w:r>
                        </w:p>
                      </w:tc>
                    </w:tr>
                    <w:tr w:rsidR="007F3ED6" w:rsidRPr="00857C5F" w:rsidTr="00326326">
                      <w:tc>
                        <w:tcPr>
                          <w:tcW w:w="987" w:type="dxa"/>
                          <w:tcBorders>
                            <w:top w:val="nil"/>
                            <w:left w:val="single" w:sz="4" w:space="0" w:color="auto"/>
                            <w:bottom w:val="single" w:sz="4" w:space="0" w:color="auto"/>
                            <w:right w:val="nil"/>
                          </w:tcBorders>
                          <w:shd w:val="clear" w:color="auto" w:fill="002D72"/>
                        </w:tcPr>
                        <w:p w:rsidR="007F3ED6" w:rsidRPr="00387A08" w:rsidRDefault="007F3ED6" w:rsidP="00326326">
                          <w:pPr>
                            <w:keepNext/>
                            <w:autoSpaceDE w:val="0"/>
                            <w:autoSpaceDN w:val="0"/>
                            <w:adjustRightInd w:val="0"/>
                            <w:spacing w:before="40" w:line="160" w:lineRule="exact"/>
                            <w:rPr>
                              <w:rFonts w:ascii="Arial Narrow" w:hAnsi="Arial Narrow" w:cs="Arial Narrow"/>
                              <w:b/>
                              <w:color w:val="FFFFFF"/>
                              <w:sz w:val="16"/>
                              <w:lang w:val="en-GB"/>
                            </w:rPr>
                          </w:pPr>
                          <w:r w:rsidRPr="00387A08">
                            <w:rPr>
                              <w:rFonts w:ascii="Arial Narrow" w:hAnsi="Arial Narrow" w:cs="Arial Narrow"/>
                              <w:b/>
                              <w:color w:val="FFFFFF"/>
                              <w:sz w:val="16"/>
                              <w:lang w:val="en-GB"/>
                            </w:rPr>
                            <w:t>Weighted Av</w:t>
                          </w:r>
                          <w:r>
                            <w:rPr>
                              <w:rFonts w:ascii="Arial Narrow" w:hAnsi="Arial Narrow" w:cs="Arial Narrow"/>
                              <w:b/>
                              <w:color w:val="FFFFFF"/>
                              <w:sz w:val="16"/>
                              <w:lang w:val="en-GB"/>
                            </w:rPr>
                            <w:t>g.</w:t>
                          </w:r>
                        </w:p>
                      </w:tc>
                      <w:tc>
                        <w:tcPr>
                          <w:tcW w:w="425" w:type="dxa"/>
                          <w:tcBorders>
                            <w:top w:val="nil"/>
                            <w:left w:val="nil"/>
                            <w:bottom w:val="single" w:sz="4" w:space="0" w:color="auto"/>
                            <w:right w:val="single" w:sz="4" w:space="0" w:color="auto"/>
                          </w:tcBorders>
                          <w:shd w:val="clear" w:color="auto" w:fill="002D72"/>
                          <w:vAlign w:val="center"/>
                        </w:tcPr>
                        <w:p w:rsidR="007F3ED6" w:rsidRDefault="007F3ED6" w:rsidP="00326326">
                          <w:pPr>
                            <w:jc w:val="center"/>
                            <w:rPr>
                              <w:rFonts w:ascii="Arial Narrow" w:hAnsi="Arial Narrow" w:cs="Calibri"/>
                              <w:b/>
                              <w:bCs/>
                              <w:color w:val="FFFFFF"/>
                              <w:sz w:val="16"/>
                              <w:szCs w:val="16"/>
                            </w:rPr>
                          </w:pPr>
                        </w:p>
                      </w:tc>
                      <w:tc>
                        <w:tcPr>
                          <w:tcW w:w="425" w:type="dxa"/>
                          <w:tcBorders>
                            <w:top w:val="nil"/>
                            <w:left w:val="single" w:sz="4" w:space="0" w:color="auto"/>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28.3x</w:t>
                          </w:r>
                        </w:p>
                      </w:tc>
                      <w:tc>
                        <w:tcPr>
                          <w:tcW w:w="425"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25.0x</w:t>
                          </w:r>
                        </w:p>
                      </w:tc>
                      <w:tc>
                        <w:tcPr>
                          <w:tcW w:w="426"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21.2x</w:t>
                          </w:r>
                        </w:p>
                      </w:tc>
                      <w:tc>
                        <w:tcPr>
                          <w:tcW w:w="425"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18.8x</w:t>
                          </w:r>
                        </w:p>
                      </w:tc>
                      <w:tc>
                        <w:tcPr>
                          <w:tcW w:w="425"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17.1x</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p>
                      </w:tc>
                      <w:tc>
                        <w:tcPr>
                          <w:tcW w:w="566"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13.9%</w:t>
                          </w:r>
                        </w:p>
                      </w:tc>
                      <w:tc>
                        <w:tcPr>
                          <w:tcW w:w="566" w:type="dxa"/>
                          <w:tcBorders>
                            <w:top w:val="nil"/>
                            <w:left w:val="nil"/>
                            <w:bottom w:val="single" w:sz="4" w:space="0" w:color="auto"/>
                            <w:right w:val="single" w:sz="4" w:space="0" w:color="auto"/>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1.4x</w:t>
                          </w:r>
                        </w:p>
                      </w:tc>
                      <w:tc>
                        <w:tcPr>
                          <w:tcW w:w="425" w:type="dxa"/>
                          <w:tcBorders>
                            <w:top w:val="nil"/>
                            <w:left w:val="single" w:sz="4" w:space="0" w:color="auto"/>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18.6x</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16.2x</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14.2x</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12.9x</w:t>
                          </w:r>
                        </w:p>
                      </w:tc>
                      <w:tc>
                        <w:tcPr>
                          <w:tcW w:w="425" w:type="dxa"/>
                          <w:tcBorders>
                            <w:top w:val="nil"/>
                            <w:left w:val="nil"/>
                            <w:bottom w:val="single" w:sz="4" w:space="0" w:color="auto"/>
                            <w:right w:val="single" w:sz="4" w:space="0" w:color="auto"/>
                          </w:tcBorders>
                          <w:shd w:val="clear" w:color="auto" w:fill="002D72"/>
                          <w:vAlign w:val="center"/>
                        </w:tcPr>
                        <w:p w:rsidR="007F3ED6" w:rsidRDefault="007F3ED6" w:rsidP="00326326">
                          <w:pPr>
                            <w:jc w:val="center"/>
                            <w:rPr>
                              <w:rFonts w:ascii="Arial Narrow" w:hAnsi="Arial Narrow" w:cs="Calibri"/>
                              <w:b/>
                              <w:bCs/>
                              <w:color w:val="FFFFFF"/>
                              <w:sz w:val="16"/>
                              <w:szCs w:val="16"/>
                            </w:rPr>
                          </w:pPr>
                        </w:p>
                      </w:tc>
                      <w:tc>
                        <w:tcPr>
                          <w:tcW w:w="424" w:type="dxa"/>
                          <w:tcBorders>
                            <w:top w:val="nil"/>
                            <w:left w:val="single" w:sz="4" w:space="0" w:color="auto"/>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4.1x</w:t>
                          </w:r>
                        </w:p>
                      </w:tc>
                      <w:tc>
                        <w:tcPr>
                          <w:tcW w:w="566"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3.8x</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3.5x</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3.2x</w:t>
                          </w:r>
                        </w:p>
                      </w:tc>
                      <w:tc>
                        <w:tcPr>
                          <w:tcW w:w="566" w:type="dxa"/>
                          <w:tcBorders>
                            <w:top w:val="nil"/>
                            <w:left w:val="nil"/>
                            <w:bottom w:val="single" w:sz="4" w:space="0" w:color="auto"/>
                            <w:right w:val="single" w:sz="4" w:space="0" w:color="auto"/>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7.5%</w:t>
                          </w:r>
                        </w:p>
                      </w:tc>
                      <w:tc>
                        <w:tcPr>
                          <w:tcW w:w="425" w:type="dxa"/>
                          <w:tcBorders>
                            <w:top w:val="nil"/>
                            <w:left w:val="single" w:sz="4" w:space="0" w:color="auto"/>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1.3%</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1.3%</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1.4%</w:t>
                          </w:r>
                        </w:p>
                      </w:tc>
                      <w:tc>
                        <w:tcPr>
                          <w:tcW w:w="424" w:type="dxa"/>
                          <w:tcBorders>
                            <w:top w:val="nil"/>
                            <w:left w:val="nil"/>
                            <w:bottom w:val="single" w:sz="4" w:space="0" w:color="auto"/>
                            <w:right w:val="single" w:sz="4" w:space="0" w:color="auto"/>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1.6%</w:t>
                          </w:r>
                        </w:p>
                      </w:tc>
                      <w:tc>
                        <w:tcPr>
                          <w:tcW w:w="425" w:type="dxa"/>
                          <w:tcBorders>
                            <w:top w:val="nil"/>
                            <w:left w:val="single" w:sz="4" w:space="0" w:color="auto"/>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2.6%</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3.2%</w:t>
                          </w:r>
                        </w:p>
                      </w:tc>
                      <w:tc>
                        <w:tcPr>
                          <w:tcW w:w="424" w:type="dxa"/>
                          <w:tcBorders>
                            <w:top w:val="nil"/>
                            <w:left w:val="nil"/>
                            <w:bottom w:val="single" w:sz="4" w:space="0" w:color="auto"/>
                            <w:right w:val="nil"/>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3.6%</w:t>
                          </w:r>
                        </w:p>
                      </w:tc>
                      <w:tc>
                        <w:tcPr>
                          <w:tcW w:w="508" w:type="dxa"/>
                          <w:tcBorders>
                            <w:top w:val="nil"/>
                            <w:left w:val="nil"/>
                            <w:bottom w:val="single" w:sz="4" w:space="0" w:color="auto"/>
                            <w:right w:val="single" w:sz="4" w:space="0" w:color="auto"/>
                          </w:tcBorders>
                          <w:shd w:val="clear" w:color="auto" w:fill="002D72"/>
                          <w:vAlign w:val="center"/>
                        </w:tcPr>
                        <w:p w:rsidR="007F3ED6" w:rsidRDefault="007F3ED6" w:rsidP="00326326">
                          <w:pPr>
                            <w:jc w:val="center"/>
                            <w:rPr>
                              <w:rFonts w:ascii="Arial Narrow" w:hAnsi="Arial Narrow" w:cs="Calibri"/>
                              <w:b/>
                              <w:bCs/>
                              <w:color w:val="FFFFFF"/>
                              <w:sz w:val="16"/>
                              <w:szCs w:val="16"/>
                            </w:rPr>
                          </w:pPr>
                          <w:r>
                            <w:rPr>
                              <w:rFonts w:ascii="Arial Narrow" w:hAnsi="Arial Narrow" w:cs="Calibri"/>
                              <w:b/>
                              <w:bCs/>
                              <w:color w:val="FFFFFF"/>
                              <w:sz w:val="16"/>
                              <w:szCs w:val="16"/>
                            </w:rPr>
                            <w:t>4.4%</w:t>
                          </w:r>
                        </w:p>
                      </w:tc>
                    </w:tr>
                  </w:tbl>
                  <w:p w:rsidR="007F3ED6" w:rsidRDefault="007F3ED6" w:rsidP="00326326">
                    <w:pPr>
                      <w:pStyle w:val="CIRMaster"/>
                      <w:spacing w:line="14" w:lineRule="auto"/>
                    </w:pPr>
                  </w:p>
                </w:tc>
              </w:tr>
              <w:tr w:rsidR="007F3ED6" w:rsidTr="00326326">
                <w:trPr>
                  <w:cantSplit/>
                  <w:trHeight w:val="130"/>
                </w:trPr>
                <w:tc>
                  <w:tcPr>
                    <w:tcW w:w="13120" w:type="dxa"/>
                  </w:tcPr>
                  <w:p w:rsidR="007F3ED6" w:rsidRPr="00F129AB" w:rsidRDefault="007F3ED6" w:rsidP="00326326">
                    <w:pPr>
                      <w:pStyle w:val="NoSpacing"/>
                    </w:pPr>
                    <w:r w:rsidRPr="00B05C43">
                      <w:rPr>
                        <w:rFonts w:ascii="Arial Narrow" w:hAnsi="Arial Narrow"/>
                        <w:sz w:val="16"/>
                        <w:szCs w:val="16"/>
                      </w:rPr>
                      <w:t>Note: Priced 15 Dec 2014. Calendarised</w:t>
                    </w:r>
                    <w:r w:rsidRPr="00AB28B8">
                      <w:rPr>
                        <w:rFonts w:ascii="Arial Narrow" w:hAnsi="Arial Narrow"/>
                        <w:sz w:val="16"/>
                        <w:szCs w:val="16"/>
                      </w:rPr>
                      <w:t xml:space="preserve"> </w:t>
                    </w:r>
                    <w:r w:rsidRPr="00843D64">
                      <w:rPr>
                        <w:rFonts w:ascii="Arial Narrow" w:hAnsi="Arial Narrow"/>
                        <w:sz w:val="16"/>
                        <w:szCs w:val="16"/>
                      </w:rPr>
                      <w:t>data. E = Citi Research estimates.</w:t>
                    </w:r>
                    <w:r>
                      <w:rPr>
                        <w:rFonts w:ascii="Arial Narrow" w:hAnsi="Arial Narrow"/>
                        <w:sz w:val="16"/>
                        <w:szCs w:val="16"/>
                      </w:rPr>
                      <w:t xml:space="preserve">     Source: Powered by dataCentral</w:t>
                    </w:r>
                  </w:p>
                </w:tc>
              </w:tr>
            </w:tbl>
            <w:p w:rsidR="007F3ED6" w:rsidRDefault="007F3ED6" w:rsidP="007F3ED6">
              <w:pPr>
                <w:pStyle w:val="CIRMaster"/>
                <w:rPr>
                  <w:lang w:val="en-GB"/>
                </w:rPr>
              </w:pPr>
            </w:p>
            <w:p w:rsidR="007F3ED6" w:rsidRDefault="007F3ED6" w:rsidP="007F3ED6">
              <w:pPr>
                <w:pStyle w:val="CIRBodyText"/>
                <w:rPr>
                  <w:lang w:val="en-GB"/>
                </w:rPr>
                <w:sectPr w:rsidR="007F3ED6" w:rsidSect="00136C1C">
                  <w:headerReference w:type="default" r:id="rId50"/>
                  <w:footerReference w:type="default" r:id="rId51"/>
                  <w:pgSz w:w="15840" w:h="12240" w:orient="landscape" w:code="1"/>
                  <w:pgMar w:top="1008" w:right="1728" w:bottom="1008" w:left="1008" w:header="288" w:footer="346" w:gutter="0"/>
                  <w:cols w:space="720"/>
                  <w:docGrid w:linePitch="360"/>
                </w:sectPr>
              </w:pPr>
            </w:p>
            <w:p w:rsidR="007F3ED6" w:rsidRDefault="007F3ED6" w:rsidP="007F3ED6">
              <w:pPr>
                <w:pStyle w:val="CIRChapter"/>
                <w:framePr w:wrap="around"/>
                <w:rPr>
                  <w:lang w:val="en-GB"/>
                </w:rPr>
              </w:pPr>
              <w:bookmarkStart w:id="46" w:name="_Toc406403975"/>
              <w:bookmarkStart w:id="47" w:name="_Toc406509692"/>
              <w:r>
                <w:rPr>
                  <w:lang w:val="en-GB"/>
                </w:rPr>
                <w:t>Company Overview</w:t>
              </w:r>
              <w:bookmarkEnd w:id="46"/>
              <w:bookmarkEnd w:id="47"/>
            </w:p>
            <w:p w:rsidR="007F3ED6" w:rsidRPr="00A87519" w:rsidRDefault="007F3ED6" w:rsidP="007F3ED6">
              <w:pPr>
                <w:pStyle w:val="Heading3"/>
                <w:rPr>
                  <w:lang w:val="en-GB"/>
                </w:rPr>
              </w:pPr>
              <w:r>
                <w:rPr>
                  <w:lang w:val="en-GB"/>
                </w:rPr>
                <w:t>Innovative player in the hearing care market, with a strong position in the office and mobile headset market through its Jabra brand.</w:t>
              </w:r>
            </w:p>
            <w:p w:rsidR="007F3ED6" w:rsidRDefault="007F3ED6" w:rsidP="007F3ED6">
              <w:pPr>
                <w:pStyle w:val="CIRBodyText"/>
                <w:rPr>
                  <w:lang w:val="en-GB"/>
                </w:rPr>
              </w:pPr>
              <w:r>
                <w:rPr>
                  <w:lang w:val="en-GB"/>
                </w:rPr>
                <w:t>GN Store Nord (GN) is a leading manufacturer of hearing aids and hearing diagnostics equipment and of headsets for use in Contact Centres &amp; Offices (CC&amp;O) and with mobile/cell phones through its Jabra brand.</w:t>
              </w:r>
            </w:p>
            <w:p w:rsidR="007F3ED6" w:rsidRDefault="007F3ED6" w:rsidP="007F3ED6">
              <w:pPr>
                <w:pStyle w:val="CIRBodyText"/>
                <w:rPr>
                  <w:lang w:val="en-GB"/>
                </w:rPr>
              </w:pPr>
              <w:r w:rsidRPr="0020164D">
                <w:rPr>
                  <w:lang w:val="en-GB"/>
                </w:rPr>
                <w:t xml:space="preserve">We estimate than GN is #4 in the wholesale of hearing aids with a c14% market share, #2 in hearing diagnostics with a c23% </w:t>
              </w:r>
              <w:r>
                <w:rPr>
                  <w:lang w:val="en-GB"/>
                </w:rPr>
                <w:t>share and</w:t>
              </w:r>
              <w:r w:rsidRPr="0020164D">
                <w:rPr>
                  <w:lang w:val="en-GB"/>
                </w:rPr>
                <w:t xml:space="preserve"> #2 in the CC&amp;O headset market with a 26% share (c46% in Unified Communications)</w:t>
              </w:r>
              <w:r>
                <w:rPr>
                  <w:lang w:val="en-GB"/>
                </w:rPr>
                <w:t>,</w:t>
              </w:r>
              <w:r w:rsidRPr="0020164D">
                <w:rPr>
                  <w:lang w:val="en-GB"/>
                </w:rPr>
                <w:t xml:space="preserve"> and has</w:t>
              </w:r>
              <w:r>
                <w:rPr>
                  <w:lang w:val="en-GB"/>
                </w:rPr>
                <w:t xml:space="preserve"> a c14% share in mobile headsets. </w:t>
              </w:r>
            </w:p>
            <w:p w:rsidR="007F3ED6" w:rsidRDefault="007F3ED6" w:rsidP="007F3ED6">
              <w:pPr>
                <w:pStyle w:val="CIRBodyText"/>
                <w:rPr>
                  <w:lang w:val="en-GB"/>
                </w:rPr>
              </w:pPr>
              <w:r w:rsidRPr="00D56A16">
                <w:rPr>
                  <w:lang w:val="en-GB"/>
                </w:rPr>
                <w:t>GN is operated</w:t>
              </w:r>
              <w:r>
                <w:rPr>
                  <w:lang w:val="en-GB"/>
                </w:rPr>
                <w:t xml:space="preserve"> as two separate business units, </w:t>
              </w:r>
              <w:r w:rsidRPr="00D56A16">
                <w:rPr>
                  <w:lang w:val="en-GB"/>
                </w:rPr>
                <w:t xml:space="preserve">with a CEO for each segment of the </w:t>
              </w:r>
              <w:r w:rsidRPr="001D7602">
                <w:rPr>
                  <w:lang w:val="en-GB"/>
                </w:rPr>
                <w:t>company, a CFO with duties across both businesses and an active Chairman to help drive synergies in R&amp;D (Bluetooth connectivity, etc) and the supply chain. Its hearing aid division, GN ReSound, accounted for 62% of sales in 2013 and its headset division, GN Netcom, for 38%.</w:t>
              </w:r>
            </w:p>
            <w:tbl>
              <w:tblPr>
                <w:tblStyle w:val="CIRTable"/>
                <w:tblW w:w="10360" w:type="dxa"/>
                <w:tblInd w:w="-3528" w:type="dxa"/>
                <w:tblLayout w:type="fixed"/>
                <w:tblLook w:val="04A0" w:firstRow="1" w:lastRow="0" w:firstColumn="1" w:lastColumn="0" w:noHBand="0" w:noVBand="1"/>
                <w:tblCaption w:val="dblChart"/>
              </w:tblPr>
              <w:tblGrid>
                <w:gridCol w:w="3360"/>
                <w:gridCol w:w="140"/>
                <w:gridCol w:w="3360"/>
                <w:gridCol w:w="140"/>
                <w:gridCol w:w="336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3360" w:type="dxa"/>
                  </w:tcPr>
                  <w:p w:rsidR="007F3ED6" w:rsidRPr="00843D64" w:rsidRDefault="007F3ED6" w:rsidP="00326326">
                    <w:pPr>
                      <w:pStyle w:val="CIRCaption"/>
                    </w:pPr>
                    <w:r w:rsidRPr="00843D64">
                      <w:t xml:space="preserve">Figure </w:t>
                    </w:r>
                    <w:fldSimple w:instr=" SEQ Figure \* ARABIC ">
                      <w:r>
                        <w:rPr>
                          <w:noProof/>
                        </w:rPr>
                        <w:t>17</w:t>
                      </w:r>
                    </w:fldSimple>
                    <w:r w:rsidRPr="00843D64">
                      <w:t>. GN Store Nord – Sales by business*</w:t>
                    </w:r>
                  </w:p>
                </w:tc>
                <w:tc>
                  <w:tcPr>
                    <w:tcW w:w="140" w:type="dxa"/>
                  </w:tcPr>
                  <w:p w:rsidR="007F3ED6" w:rsidRPr="00843D64" w:rsidRDefault="007F3ED6" w:rsidP="00326326">
                    <w:pPr>
                      <w:pStyle w:val="CIRT-Left"/>
                    </w:pPr>
                  </w:p>
                </w:tc>
                <w:tc>
                  <w:tcPr>
                    <w:tcW w:w="3360" w:type="dxa"/>
                  </w:tcPr>
                  <w:p w:rsidR="007F3ED6" w:rsidRPr="00843D64" w:rsidRDefault="007F3ED6" w:rsidP="00326326">
                    <w:pPr>
                      <w:pStyle w:val="CIRCaption"/>
                    </w:pPr>
                    <w:r w:rsidRPr="00843D64">
                      <w:t xml:space="preserve">Figure </w:t>
                    </w:r>
                    <w:fldSimple w:instr=" SEQ Figure \* ARABIC ">
                      <w:r>
                        <w:rPr>
                          <w:noProof/>
                        </w:rPr>
                        <w:t>18</w:t>
                      </w:r>
                    </w:fldSimple>
                    <w:r w:rsidRPr="00843D64">
                      <w:t>. GN Store Nord – EBITA by segment*</w:t>
                    </w:r>
                  </w:p>
                </w:tc>
                <w:tc>
                  <w:tcPr>
                    <w:tcW w:w="140" w:type="dxa"/>
                  </w:tcPr>
                  <w:p w:rsidR="007F3ED6" w:rsidRPr="00843D64" w:rsidRDefault="007F3ED6" w:rsidP="00326326">
                    <w:pPr>
                      <w:pStyle w:val="CIRT-Left"/>
                    </w:pPr>
                  </w:p>
                </w:tc>
                <w:tc>
                  <w:tcPr>
                    <w:tcW w:w="3360" w:type="dxa"/>
                  </w:tcPr>
                  <w:p w:rsidR="007F3ED6" w:rsidRPr="00843D64" w:rsidRDefault="007F3ED6" w:rsidP="00326326">
                    <w:pPr>
                      <w:pStyle w:val="CIRCaption"/>
                    </w:pPr>
                    <w:r w:rsidRPr="00843D64">
                      <w:t xml:space="preserve">Figure </w:t>
                    </w:r>
                    <w:fldSimple w:instr=" SEQ Figure \* ARABIC ">
                      <w:r>
                        <w:rPr>
                          <w:noProof/>
                        </w:rPr>
                        <w:t>19</w:t>
                      </w:r>
                    </w:fldSimple>
                    <w:r w:rsidRPr="00843D64">
                      <w:t>. GN Store Nord – Sales by region*</w:t>
                    </w:r>
                  </w:p>
                </w:tc>
              </w:tr>
              <w:tr w:rsidR="007F3ED6" w:rsidRPr="004E6EEA" w:rsidTr="00326326">
                <w:trPr>
                  <w:cantSplit/>
                </w:trPr>
                <w:tc>
                  <w:tcPr>
                    <w:tcW w:w="3360" w:type="dxa"/>
                  </w:tcPr>
                  <w:p w:rsidR="007F3ED6" w:rsidRPr="004E6EEA" w:rsidRDefault="007F3ED6" w:rsidP="00326326">
                    <w:pPr>
                      <w:pStyle w:val="CIRFigure"/>
                    </w:pPr>
                    <w:r>
                      <w:rPr>
                        <w:noProof/>
                      </w:rPr>
                      <w:drawing>
                        <wp:inline distT="0" distB="0" distL="0" distR="0" wp14:anchorId="591C5B12" wp14:editId="2FDEA280">
                          <wp:extent cx="2133600" cy="1971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133600" cy="1971040"/>
                                  </a:xfrm>
                                  <a:prstGeom prst="rect">
                                    <a:avLst/>
                                  </a:prstGeom>
                                  <a:noFill/>
                                  <a:ln>
                                    <a:noFill/>
                                  </a:ln>
                                </pic:spPr>
                              </pic:pic>
                            </a:graphicData>
                          </a:graphic>
                        </wp:inline>
                      </w:drawing>
                    </w:r>
                  </w:p>
                </w:tc>
                <w:tc>
                  <w:tcPr>
                    <w:tcW w:w="140" w:type="dxa"/>
                  </w:tcPr>
                  <w:p w:rsidR="007F3ED6" w:rsidRPr="004E6EEA" w:rsidRDefault="007F3ED6" w:rsidP="00326326">
                    <w:pPr>
                      <w:pStyle w:val="CIRFigure"/>
                    </w:pPr>
                  </w:p>
                </w:tc>
                <w:tc>
                  <w:tcPr>
                    <w:tcW w:w="3360" w:type="dxa"/>
                  </w:tcPr>
                  <w:p w:rsidR="007F3ED6" w:rsidRPr="004E6EEA" w:rsidRDefault="007F3ED6" w:rsidP="00326326">
                    <w:pPr>
                      <w:pStyle w:val="CIRFigure"/>
                    </w:pPr>
                    <w:r>
                      <w:rPr>
                        <w:noProof/>
                      </w:rPr>
                      <w:drawing>
                        <wp:inline distT="0" distB="0" distL="0" distR="0" wp14:anchorId="0B0CD4A1" wp14:editId="0645ECF3">
                          <wp:extent cx="2133600" cy="1971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133600" cy="1971040"/>
                                  </a:xfrm>
                                  <a:prstGeom prst="rect">
                                    <a:avLst/>
                                  </a:prstGeom>
                                  <a:noFill/>
                                  <a:ln>
                                    <a:noFill/>
                                  </a:ln>
                                </pic:spPr>
                              </pic:pic>
                            </a:graphicData>
                          </a:graphic>
                        </wp:inline>
                      </w:drawing>
                    </w:r>
                  </w:p>
                </w:tc>
                <w:tc>
                  <w:tcPr>
                    <w:tcW w:w="140" w:type="dxa"/>
                  </w:tcPr>
                  <w:p w:rsidR="007F3ED6" w:rsidRPr="004E6EEA" w:rsidRDefault="007F3ED6" w:rsidP="00326326">
                    <w:pPr>
                      <w:pStyle w:val="CIRFigure"/>
                    </w:pPr>
                  </w:p>
                </w:tc>
                <w:tc>
                  <w:tcPr>
                    <w:tcW w:w="3360" w:type="dxa"/>
                  </w:tcPr>
                  <w:p w:rsidR="007F3ED6" w:rsidRPr="004E6EEA" w:rsidRDefault="007F3ED6" w:rsidP="00326326">
                    <w:pPr>
                      <w:pStyle w:val="CIRFigure"/>
                    </w:pPr>
                    <w:r>
                      <w:rPr>
                        <w:noProof/>
                      </w:rPr>
                      <w:drawing>
                        <wp:inline distT="0" distB="0" distL="0" distR="0" wp14:anchorId="439FCC31" wp14:editId="64694A31">
                          <wp:extent cx="2133600" cy="1971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133600" cy="1971040"/>
                                  </a:xfrm>
                                  <a:prstGeom prst="rect">
                                    <a:avLst/>
                                  </a:prstGeom>
                                  <a:noFill/>
                                  <a:ln>
                                    <a:noFill/>
                                  </a:ln>
                                </pic:spPr>
                              </pic:pic>
                            </a:graphicData>
                          </a:graphic>
                        </wp:inline>
                      </w:drawing>
                    </w:r>
                  </w:p>
                </w:tc>
              </w:tr>
              <w:tr w:rsidR="007F3ED6" w:rsidTr="00326326">
                <w:trPr>
                  <w:cantSplit/>
                </w:trPr>
                <w:tc>
                  <w:tcPr>
                    <w:tcW w:w="3360" w:type="dxa"/>
                  </w:tcPr>
                  <w:p w:rsidR="007F3ED6" w:rsidRDefault="007F3ED6" w:rsidP="00326326">
                    <w:pPr>
                      <w:pStyle w:val="CIRSourceNote"/>
                    </w:pPr>
                    <w:r>
                      <w:t xml:space="preserve">*2013  Source: Company data, Citi Research </w:t>
                    </w:r>
                  </w:p>
                </w:tc>
                <w:tc>
                  <w:tcPr>
                    <w:tcW w:w="140" w:type="dxa"/>
                  </w:tcPr>
                  <w:p w:rsidR="007F3ED6" w:rsidRDefault="007F3ED6" w:rsidP="00326326">
                    <w:pPr>
                      <w:pStyle w:val="CIRSourceNote"/>
                    </w:pPr>
                  </w:p>
                </w:tc>
                <w:tc>
                  <w:tcPr>
                    <w:tcW w:w="3360" w:type="dxa"/>
                  </w:tcPr>
                  <w:p w:rsidR="007F3ED6" w:rsidRDefault="007F3ED6" w:rsidP="00326326">
                    <w:pPr>
                      <w:pStyle w:val="CIRSourceNote"/>
                    </w:pPr>
                    <w:r>
                      <w:t>*2013  Source: Company data, Citi Research</w:t>
                    </w:r>
                  </w:p>
                </w:tc>
                <w:tc>
                  <w:tcPr>
                    <w:tcW w:w="140" w:type="dxa"/>
                  </w:tcPr>
                  <w:p w:rsidR="007F3ED6" w:rsidRDefault="007F3ED6" w:rsidP="00326326">
                    <w:pPr>
                      <w:pStyle w:val="CIRSourceNote"/>
                    </w:pPr>
                  </w:p>
                </w:tc>
                <w:tc>
                  <w:tcPr>
                    <w:tcW w:w="3360" w:type="dxa"/>
                  </w:tcPr>
                  <w:p w:rsidR="007F3ED6" w:rsidRDefault="007F3ED6" w:rsidP="00326326">
                    <w:pPr>
                      <w:pStyle w:val="CIRSourceNote"/>
                    </w:pPr>
                    <w:r>
                      <w:t>*2013  Source: Company data, Citi Research</w:t>
                    </w:r>
                  </w:p>
                </w:tc>
              </w:tr>
            </w:tbl>
            <w:p w:rsidR="007F3ED6" w:rsidRDefault="007F3ED6" w:rsidP="007F3ED6">
              <w:pPr>
                <w:pStyle w:val="CIRMaster"/>
                <w:rPr>
                  <w:lang w:val="en-GB"/>
                </w:rPr>
              </w:pPr>
            </w:p>
            <w:p w:rsidR="007F3ED6" w:rsidRDefault="007F3ED6" w:rsidP="007F3ED6">
              <w:pPr>
                <w:pStyle w:val="CIRBodyText"/>
                <w:rPr>
                  <w:lang w:val="en-GB"/>
                </w:rPr>
              </w:pPr>
              <w:r>
                <w:rPr>
                  <w:lang w:val="en-GB"/>
                </w:rPr>
                <w:t xml:space="preserve">GN was founded in 1869 as the Great Northern Telegraph Company. It entered the hearing aid market with the acquisition of Danish hearing aid manufacturer Danavox in 1977 and created its headset business as a spin-off from Danavox in 1986. </w:t>
              </w:r>
            </w:p>
            <w:p w:rsidR="007F3ED6" w:rsidRDefault="007F3ED6" w:rsidP="007F3ED6">
              <w:pPr>
                <w:pStyle w:val="Heading3"/>
                <w:rPr>
                  <w:lang w:val="en-GB"/>
                </w:rPr>
              </w:pPr>
              <w:r>
                <w:rPr>
                  <w:lang w:val="en-GB"/>
                </w:rPr>
                <w:t>Failed sale of ReSound to Sonova caused significant disruption</w:t>
              </w:r>
            </w:p>
            <w:p w:rsidR="007F3ED6" w:rsidRDefault="007F3ED6" w:rsidP="007F3ED6">
              <w:pPr>
                <w:pStyle w:val="CIRBodyText"/>
                <w:rPr>
                  <w:lang w:val="en-GB"/>
                </w:rPr>
              </w:pPr>
              <w:r w:rsidRPr="00AE4ACC">
                <w:rPr>
                  <w:lang w:val="en-GB"/>
                </w:rPr>
                <w:t xml:space="preserve">In October 2006 GN decided to sell its hearing </w:t>
              </w:r>
              <w:r>
                <w:rPr>
                  <w:lang w:val="en-GB"/>
                </w:rPr>
                <w:t xml:space="preserve">care </w:t>
              </w:r>
              <w:r w:rsidRPr="00AE4ACC">
                <w:rPr>
                  <w:lang w:val="en-GB"/>
                </w:rPr>
                <w:t>division ReSound to Sonova</w:t>
              </w:r>
              <w:r>
                <w:rPr>
                  <w:lang w:val="en-GB"/>
                </w:rPr>
                <w:t xml:space="preserve"> for DKK15.5bn. However, the </w:t>
              </w:r>
              <w:r w:rsidRPr="00F2660D">
                <w:rPr>
                  <w:lang w:val="en-GB"/>
                </w:rPr>
                <w:t>sale was blocked</w:t>
              </w:r>
              <w:r w:rsidRPr="00AE4ACC">
                <w:rPr>
                  <w:lang w:val="en-GB"/>
                </w:rPr>
                <w:t xml:space="preserve"> </w:t>
              </w:r>
              <w:r>
                <w:rPr>
                  <w:lang w:val="en-GB"/>
                </w:rPr>
                <w:t xml:space="preserve">as unlawful </w:t>
              </w:r>
              <w:r w:rsidRPr="00AE4ACC">
                <w:rPr>
                  <w:lang w:val="en-GB"/>
                </w:rPr>
                <w:t>by the German cartel authorities</w:t>
              </w:r>
              <w:r>
                <w:rPr>
                  <w:lang w:val="en-GB"/>
                </w:rPr>
                <w:t xml:space="preserve"> (</w:t>
              </w:r>
              <w:r w:rsidRPr="00711CC4">
                <w:rPr>
                  <w:lang w:val="en-GB"/>
                </w:rPr>
                <w:t>Bundeskartellamt</w:t>
              </w:r>
              <w:r>
                <w:rPr>
                  <w:lang w:val="en-GB"/>
                </w:rPr>
                <w:t>)</w:t>
              </w:r>
              <w:r w:rsidRPr="00AE4ACC">
                <w:rPr>
                  <w:lang w:val="en-GB"/>
                </w:rPr>
                <w:t xml:space="preserve"> in November 2007</w:t>
              </w:r>
              <w:r>
                <w:rPr>
                  <w:lang w:val="en-GB"/>
                </w:rPr>
                <w:t xml:space="preserve"> and GN’s financial performance suffered significantly</w:t>
              </w:r>
              <w:r w:rsidRPr="00AE4ACC">
                <w:rPr>
                  <w:lang w:val="en-GB"/>
                </w:rPr>
                <w:t xml:space="preserve"> </w:t>
              </w:r>
              <w:r>
                <w:rPr>
                  <w:lang w:val="en-GB"/>
                </w:rPr>
                <w:t>as a result of the disruption caused by the failed sale (management departures, R&amp;D projects cancelled during integration).</w:t>
              </w:r>
            </w:p>
            <w:p w:rsidR="007F3ED6" w:rsidRDefault="007F3ED6" w:rsidP="007F3ED6">
              <w:pPr>
                <w:pStyle w:val="Heading3"/>
                <w:rPr>
                  <w:lang w:val="en-GB"/>
                </w:rPr>
              </w:pPr>
              <w:r>
                <w:rPr>
                  <w:lang w:val="en-GB"/>
                </w:rPr>
                <w:t xml:space="preserve">Appeal for €1.1bn compensation could be granted in 1H15 </w:t>
              </w:r>
            </w:p>
            <w:p w:rsidR="007F3ED6" w:rsidRDefault="007F3ED6" w:rsidP="007F3ED6">
              <w:pPr>
                <w:pStyle w:val="CIRBodyText"/>
                <w:rPr>
                  <w:lang w:val="en-GB"/>
                </w:rPr>
              </w:pPr>
              <w:r w:rsidRPr="002B254E">
                <w:rPr>
                  <w:lang w:val="en-GB"/>
                </w:rPr>
                <w:t>In December 2010, GN filed claim for €1.1bn in compensation for the loss caused by the Bundeskartellamt’s prohibition. This was dismissed by the Dusseldorf Court of Appeal in March 2014 but in May 2014 GN decided to appeal the decision to the German Federal Supreme Court and expects permission to appeal to be granted in 1H15.</w:t>
              </w:r>
              <w:r>
                <w:rPr>
                  <w:lang w:val="en-GB"/>
                </w:rPr>
                <w:t xml:space="preserve"> </w:t>
              </w:r>
              <w:r w:rsidRPr="00843D64">
                <w:rPr>
                  <w:lang w:val="en-GB"/>
                </w:rPr>
                <w:t>While we do not assume a successful outcome, given the politically unpopular headlines such compensation might generate in Germany</w:t>
              </w:r>
              <w:r>
                <w:rPr>
                  <w:lang w:val="en-GB"/>
                </w:rPr>
                <w:t>, we would expect GN to use any proceeds to extend its share buyback programme. The full €1.1bn in damages is equivalent to c.</w:t>
              </w:r>
              <w:r w:rsidRPr="00A918D2">
                <w:rPr>
                  <w:lang w:val="en-GB"/>
                </w:rPr>
                <w:t>3</w:t>
              </w:r>
              <w:r>
                <w:rPr>
                  <w:lang w:val="en-GB"/>
                </w:rPr>
                <w:t>7% of GN’s market cap (12</w:t>
              </w:r>
              <w:r w:rsidRPr="00A918D2">
                <w:rPr>
                  <w:lang w:val="en-GB"/>
                </w:rPr>
                <w:t xml:space="preserve"> Dec</w:t>
              </w:r>
              <w:r>
                <w:rPr>
                  <w:lang w:val="en-GB"/>
                </w:rPr>
                <w:t xml:space="preserve"> </w:t>
              </w:r>
              <w:r w:rsidRPr="00A918D2">
                <w:rPr>
                  <w:lang w:val="en-GB"/>
                </w:rPr>
                <w:t>2</w:t>
              </w:r>
              <w:r>
                <w:rPr>
                  <w:lang w:val="en-GB"/>
                </w:rPr>
                <w:t>014).</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5040" w:type="dxa"/>
                  </w:tcPr>
                  <w:p w:rsidR="007F3ED6" w:rsidRDefault="007F3ED6" w:rsidP="00326326">
                    <w:pPr>
                      <w:pStyle w:val="CIRCaption"/>
                    </w:pPr>
                    <w:r>
                      <w:t xml:space="preserve">Figure </w:t>
                    </w:r>
                    <w:fldSimple w:instr=" SEQ Figure \* ARABIC ">
                      <w:r>
                        <w:rPr>
                          <w:noProof/>
                        </w:rPr>
                        <w:t>20</w:t>
                      </w:r>
                    </w:fldSimple>
                    <w:r>
                      <w:t>. GN Store Nord – Sales (DKrbn) and adj. EBITA margin</w:t>
                    </w:r>
                  </w:p>
                </w:tc>
                <w:tc>
                  <w:tcPr>
                    <w:tcW w:w="140" w:type="dxa"/>
                  </w:tcPr>
                  <w:p w:rsidR="007F3ED6" w:rsidRDefault="007F3ED6" w:rsidP="00326326">
                    <w:pPr>
                      <w:pStyle w:val="CIRT-Left"/>
                    </w:pPr>
                  </w:p>
                </w:tc>
                <w:tc>
                  <w:tcPr>
                    <w:tcW w:w="5040" w:type="dxa"/>
                  </w:tcPr>
                  <w:p w:rsidR="007F3ED6" w:rsidRDefault="007F3ED6" w:rsidP="00326326">
                    <w:pPr>
                      <w:pStyle w:val="CIRCaption"/>
                    </w:pPr>
                    <w:r>
                      <w:t xml:space="preserve">Figure </w:t>
                    </w:r>
                    <w:fldSimple w:instr=" SEQ Figure \* ARABIC ">
                      <w:r>
                        <w:rPr>
                          <w:noProof/>
                        </w:rPr>
                        <w:t>21</w:t>
                      </w:r>
                    </w:fldSimple>
                    <w:r>
                      <w:t>. GN Store Nord – Organic sales growth</w:t>
                    </w:r>
                  </w:p>
                </w:tc>
              </w:tr>
              <w:tr w:rsidR="007F3ED6" w:rsidRPr="00A61D0D" w:rsidTr="00326326">
                <w:trPr>
                  <w:cantSplit/>
                </w:trPr>
                <w:tc>
                  <w:tcPr>
                    <w:tcW w:w="5040" w:type="dxa"/>
                  </w:tcPr>
                  <w:p w:rsidR="007F3ED6" w:rsidRPr="00A61D0D" w:rsidRDefault="007F3ED6" w:rsidP="00326326">
                    <w:pPr>
                      <w:pStyle w:val="CIRFigure"/>
                    </w:pPr>
                    <w:r>
                      <w:rPr>
                        <w:lang w:eastAsia="en-US"/>
                      </w:rPr>
                      <w:object w:dxaOrig="6600" w:dyaOrig="3720">
                        <v:shape id="_x0000_i1038" type="#_x0000_t75" style="width:252.1pt;height:141.9pt" o:ole="">
                          <v:imagedata r:id="rId55" o:title=""/>
                        </v:shape>
                        <o:OLEObject Type="Link" ProgID="Excel.SheetMacroEnabled.12" ShapeID="_x0000_i1038" DrawAspect="Content" r:id="rId56" UpdateMode="OnCall">
                          <o:LinkType>EnhancedMetaFile</o:LinkType>
                          <o:LockedField/>
                          <o:FieldCodes>\* MERGEFORMAT</o:FieldCodes>
                        </o:OLEObject>
                      </w:object>
                    </w:r>
                  </w:p>
                </w:tc>
                <w:tc>
                  <w:tcPr>
                    <w:tcW w:w="140" w:type="dxa"/>
                  </w:tcPr>
                  <w:p w:rsidR="007F3ED6" w:rsidRPr="00A61D0D" w:rsidRDefault="007F3ED6" w:rsidP="00326326">
                    <w:pPr>
                      <w:pStyle w:val="CIRFigure"/>
                    </w:pPr>
                  </w:p>
                </w:tc>
                <w:tc>
                  <w:tcPr>
                    <w:tcW w:w="5040" w:type="dxa"/>
                  </w:tcPr>
                  <w:p w:rsidR="007F3ED6" w:rsidRPr="00A61D0D" w:rsidRDefault="007F3ED6" w:rsidP="00326326">
                    <w:pPr>
                      <w:pStyle w:val="CIRFigure"/>
                    </w:pPr>
                    <w:r>
                      <w:rPr>
                        <w:lang w:eastAsia="en-US"/>
                      </w:rPr>
                      <w:object w:dxaOrig="6600" w:dyaOrig="3720">
                        <v:shape id="_x0000_i1039" type="#_x0000_t75" style="width:252.1pt;height:141.9pt" o:ole="">
                          <v:imagedata r:id="rId57" o:title=""/>
                        </v:shape>
                        <o:OLEObject Type="Link" ProgID="Excel.SheetMacroEnabled.12" ShapeID="_x0000_i1039" DrawAspect="Content" r:id="rId58" UpdateMode="OnCall">
                          <o:LinkType>EnhancedMetaFile</o:LinkType>
                          <o:LockedField/>
                          <o:FieldCodes>\* MERGEFORMAT</o:FieldCodes>
                        </o:OLEObject>
                      </w:object>
                    </w:r>
                  </w:p>
                </w:tc>
              </w:tr>
              <w:tr w:rsidR="007F3ED6" w:rsidTr="00326326">
                <w:trPr>
                  <w:cantSplit/>
                </w:trPr>
                <w:tc>
                  <w:tcPr>
                    <w:tcW w:w="5040" w:type="dxa"/>
                  </w:tcPr>
                  <w:p w:rsidR="007F3ED6" w:rsidRDefault="007F3ED6" w:rsidP="00326326">
                    <w:pPr>
                      <w:pStyle w:val="CIRSourceNote"/>
                    </w:pPr>
                    <w:r>
                      <w:t>Source: Company data, Citi Research estimates</w:t>
                    </w:r>
                  </w:p>
                </w:tc>
                <w:tc>
                  <w:tcPr>
                    <w:tcW w:w="140" w:type="dxa"/>
                  </w:tcPr>
                  <w:p w:rsidR="007F3ED6" w:rsidRDefault="007F3ED6" w:rsidP="00326326">
                    <w:pPr>
                      <w:pStyle w:val="CIRSourceNote"/>
                    </w:pPr>
                  </w:p>
                </w:tc>
                <w:tc>
                  <w:tcPr>
                    <w:tcW w:w="5040" w:type="dxa"/>
                  </w:tcPr>
                  <w:p w:rsidR="007F3ED6" w:rsidRDefault="007F3ED6" w:rsidP="00326326">
                    <w:pPr>
                      <w:pStyle w:val="CIRSourceNote"/>
                    </w:pPr>
                    <w:r>
                      <w:t>Source: Company data, Citi Research estimates</w:t>
                    </w:r>
                  </w:p>
                </w:tc>
              </w:tr>
            </w:tbl>
            <w:p w:rsidR="007F3ED6" w:rsidRDefault="007F3ED6" w:rsidP="007F3ED6">
              <w:pPr>
                <w:pStyle w:val="CIRMaster"/>
                <w:rPr>
                  <w:lang w:val="en-GB"/>
                </w:rPr>
              </w:pPr>
            </w:p>
            <w:p w:rsidR="007F3ED6" w:rsidRDefault="007F3ED6" w:rsidP="007F3ED6">
              <w:pPr>
                <w:pStyle w:val="Heading3"/>
                <w:rPr>
                  <w:lang w:val="en-GB"/>
                </w:rPr>
              </w:pPr>
              <w:r>
                <w:rPr>
                  <w:lang w:val="en-GB"/>
                </w:rPr>
                <w:t>SMART has sustainably improved EBITA margin by c4ppts</w:t>
              </w:r>
            </w:p>
            <w:p w:rsidR="007F3ED6" w:rsidRDefault="007F3ED6" w:rsidP="007F3ED6">
              <w:pPr>
                <w:pStyle w:val="CIRBodyText"/>
                <w:rPr>
                  <w:lang w:val="en-GB"/>
                </w:rPr>
              </w:pPr>
              <w:r>
                <w:rPr>
                  <w:lang w:val="en-GB"/>
                </w:rPr>
                <w:t>In November 2010 GN set a target to increase sales to &gt;DKK6.3bn and double its EBITA margin to c19% by 2013. This was largely achieved (2013A sales DKK6.8bn, EBITA margin 18.2%) despite significant market scepticism at announcement. The key driver of GN’s margin improvement was ReSound’s “SMART” programme, initiated in February 2012. This achieved DKK265-290mn in savings (c4ppts of margin) vs 2011 as GN:</w:t>
              </w:r>
            </w:p>
            <w:p w:rsidR="007F3ED6" w:rsidRDefault="007F3ED6" w:rsidP="007F3ED6">
              <w:pPr>
                <w:pStyle w:val="CIRTextBullet"/>
                <w:numPr>
                  <w:ilvl w:val="0"/>
                  <w:numId w:val="1"/>
                </w:numPr>
                <w:rPr>
                  <w:lang w:val="en-GB"/>
                </w:rPr>
              </w:pPr>
              <w:r>
                <w:rPr>
                  <w:lang w:val="en-GB"/>
                </w:rPr>
                <w:t xml:space="preserve">Offshored further production to China, </w:t>
              </w:r>
            </w:p>
            <w:p w:rsidR="007F3ED6" w:rsidRDefault="007F3ED6" w:rsidP="007F3ED6">
              <w:pPr>
                <w:pStyle w:val="CIRTextBullet"/>
                <w:numPr>
                  <w:ilvl w:val="0"/>
                  <w:numId w:val="1"/>
                </w:numPr>
                <w:rPr>
                  <w:lang w:val="en-GB"/>
                </w:rPr>
              </w:pPr>
              <w:r>
                <w:rPr>
                  <w:lang w:val="en-GB"/>
                </w:rPr>
                <w:t xml:space="preserve">Simplified its supply-chain and logistics, </w:t>
              </w:r>
            </w:p>
            <w:p w:rsidR="007F3ED6" w:rsidRDefault="007F3ED6" w:rsidP="007F3ED6">
              <w:pPr>
                <w:pStyle w:val="CIRTextBullet"/>
                <w:numPr>
                  <w:ilvl w:val="0"/>
                  <w:numId w:val="1"/>
                </w:numPr>
                <w:rPr>
                  <w:lang w:val="en-GB"/>
                </w:rPr>
              </w:pPr>
              <w:r>
                <w:rPr>
                  <w:lang w:val="en-GB"/>
                </w:rPr>
                <w:t>Reduced SKUs,</w:t>
              </w:r>
            </w:p>
            <w:p w:rsidR="007F3ED6" w:rsidRDefault="007F3ED6" w:rsidP="007F3ED6">
              <w:pPr>
                <w:pStyle w:val="CIRTextBullet"/>
                <w:numPr>
                  <w:ilvl w:val="0"/>
                  <w:numId w:val="1"/>
                </w:numPr>
                <w:rPr>
                  <w:lang w:val="en-GB"/>
                </w:rPr>
              </w:pPr>
              <w:r>
                <w:rPr>
                  <w:lang w:val="en-GB"/>
                </w:rPr>
                <w:t>Turned-around or disposed of underperforming businesses.</w:t>
              </w:r>
            </w:p>
            <w:p w:rsidR="007F3ED6" w:rsidRDefault="007F3ED6" w:rsidP="007F3ED6">
              <w:pPr>
                <w:pStyle w:val="CIRTextBullet"/>
                <w:numPr>
                  <w:ilvl w:val="0"/>
                  <w:numId w:val="0"/>
                </w:numPr>
                <w:rPr>
                  <w:lang w:val="en-GB"/>
                </w:rPr>
              </w:pPr>
              <w:r>
                <w:rPr>
                  <w:lang w:val="en-GB"/>
                </w:rPr>
                <w:t xml:space="preserve">The latter point included the sale of Indian hearing aid retail to Amplifon (3Q12) and the disposal of online headset distributor Hello Direct (1Q13). Performance in GN’s operations in Germany and France, where the company has </w:t>
              </w:r>
              <w:r w:rsidRPr="00843D64">
                <w:rPr>
                  <w:lang w:val="en-GB"/>
                </w:rPr>
                <w:t>especially low market share due in part to disruption from the failed sale of ReSound to Sonova, has also improved (despite GN losing its contract with the retailer Kind in 4Q13) following management changes. However, we believe there is still considerable scope for improvement relative to other geographies.</w:t>
              </w:r>
            </w:p>
            <w:p w:rsidR="007F3ED6" w:rsidRPr="00135C0D" w:rsidRDefault="007F3ED6" w:rsidP="007F3ED6">
              <w:pPr>
                <w:pStyle w:val="Heading2"/>
                <w:rPr>
                  <w:lang w:val="en-GB"/>
                </w:rPr>
              </w:pPr>
              <w:bookmarkStart w:id="48" w:name="_Toc406403976"/>
              <w:bookmarkStart w:id="49" w:name="_Toc406509693"/>
              <w:r w:rsidRPr="00135C0D">
                <w:rPr>
                  <w:lang w:val="en-GB"/>
                </w:rPr>
                <w:t>2014-16 strategy shifted focus towards growth</w:t>
              </w:r>
              <w:bookmarkEnd w:id="48"/>
              <w:bookmarkEnd w:id="49"/>
            </w:p>
            <w:p w:rsidR="007F3ED6" w:rsidRDefault="007F3ED6" w:rsidP="007F3ED6">
              <w:pPr>
                <w:pStyle w:val="CIRBodyText"/>
                <w:rPr>
                  <w:lang w:val="en-GB"/>
                </w:rPr>
              </w:pPr>
              <w:r w:rsidRPr="00135C0D">
                <w:rPr>
                  <w:lang w:val="en-GB"/>
                </w:rPr>
                <w:t xml:space="preserve">Having successfully completed the SMART programme, GN announced its 2014-16 strategy in November 2013, which aims to drive strong top-line growth through an increase in the company’s focus on commercialisation (sales and marketing) and innovation (R&amp;D). In our view, margin targets suggest a relatively moderate improvement in GN’s EBITA margin over the period as these additional investments absorb some of operating leverage and ongoing efficiencies that management believes it can find in the business. </w:t>
              </w:r>
            </w:p>
            <w:p w:rsidR="007F3ED6" w:rsidRDefault="007F3ED6" w:rsidP="007F3ED6">
              <w:pPr>
                <w:pStyle w:val="CIRBodyText"/>
              </w:pPr>
              <w:r>
                <w:t xml:space="preserve">Specifically, for ReSound the company expects to grow sales organically &gt;3ppts above hearing aid market growth (GN expects this in the 1-4% over the period), while generating an </w:t>
              </w:r>
              <w:r w:rsidRPr="00135C0D">
                <w:t>EBITA margin in-line with its top-tier competitors (est. c20-25% vs 20.1% in 2013A). For Netcom, GN expects to sales to grow &gt;10% p.a. organically while maintaining an EBITA margin of 18-19% (2013A 18.1%).</w:t>
              </w:r>
            </w:p>
            <w:tbl>
              <w:tblPr>
                <w:tblStyle w:val="CIRTable"/>
                <w:tblW w:w="6700" w:type="dxa"/>
                <w:tblLayout w:type="fixed"/>
                <w:tblLook w:val="04A0" w:firstRow="1" w:lastRow="0" w:firstColumn="1" w:lastColumn="0" w:noHBand="0" w:noVBand="1"/>
                <w:tblCaption w:val="EmbedTable"/>
                <w:tblDescription w:val="1|Body|0"/>
              </w:tblPr>
              <w:tblGrid>
                <w:gridCol w:w="670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6700" w:type="dxa"/>
                  </w:tcPr>
                  <w:p w:rsidR="007F3ED6" w:rsidRDefault="007F3ED6" w:rsidP="00326326">
                    <w:pPr>
                      <w:pStyle w:val="CIRCaption"/>
                    </w:pPr>
                    <w:r>
                      <w:t xml:space="preserve">Figure </w:t>
                    </w:r>
                    <w:fldSimple w:instr=" SEQ Figure \* ARABIC ">
                      <w:r>
                        <w:rPr>
                          <w:noProof/>
                        </w:rPr>
                        <w:t>22</w:t>
                      </w:r>
                    </w:fldSimple>
                    <w:r>
                      <w:t>. GN Store Nord – 2014-16 f</w:t>
                    </w:r>
                    <w:r w:rsidRPr="00B23993">
                      <w:t xml:space="preserve">inancial targets  </w:t>
                    </w:r>
                  </w:p>
                </w:tc>
              </w:tr>
              <w:tr w:rsidR="007F3ED6" w:rsidTr="00326326">
                <w:trPr>
                  <w:trHeight w:val="160"/>
                </w:trPr>
                <w:tc>
                  <w:tcPr>
                    <w:tcW w:w="6700" w:type="dxa"/>
                  </w:tcPr>
                  <w:tbl>
                    <w:tblPr>
                      <w:tblW w:w="6700" w:type="dxa"/>
                      <w:tblLayout w:type="fixed"/>
                      <w:tblCellMar>
                        <w:left w:w="0" w:type="dxa"/>
                        <w:right w:w="36" w:type="dxa"/>
                      </w:tblCellMar>
                      <w:tblLook w:val="0000" w:firstRow="0" w:lastRow="0" w:firstColumn="0" w:lastColumn="0" w:noHBand="0" w:noVBand="0"/>
                      <w:tblCaption w:val="EmbedTable"/>
                      <w:tblDescription w:val="1|Body|0"/>
                    </w:tblPr>
                    <w:tblGrid>
                      <w:gridCol w:w="1116"/>
                      <w:gridCol w:w="1117"/>
                      <w:gridCol w:w="1117"/>
                      <w:gridCol w:w="1116"/>
                      <w:gridCol w:w="1117"/>
                      <w:gridCol w:w="1117"/>
                    </w:tblGrid>
                    <w:tr w:rsidR="007F3ED6" w:rsidRPr="00B23993" w:rsidTr="00326326">
                      <w:tc>
                        <w:tcPr>
                          <w:tcW w:w="1116" w:type="dxa"/>
                          <w:tcBorders>
                            <w:top w:val="single" w:sz="4" w:space="0" w:color="FFFFFF"/>
                            <w:left w:val="single" w:sz="4" w:space="0" w:color="FFFFFF"/>
                            <w:bottom w:val="single" w:sz="6" w:space="0" w:color="FFFFFF"/>
                            <w:right w:val="single" w:sz="6" w:space="0" w:color="FFFFFF"/>
                          </w:tcBorders>
                          <w:shd w:val="clear" w:color="auto" w:fill="002D72"/>
                          <w:vAlign w:val="bottom"/>
                        </w:tcPr>
                        <w:p w:rsidR="007F3ED6" w:rsidRPr="00B23993" w:rsidRDefault="007F3ED6" w:rsidP="00326326">
                          <w:pPr>
                            <w:keepNext/>
                            <w:autoSpaceDE w:val="0"/>
                            <w:autoSpaceDN w:val="0"/>
                            <w:adjustRightInd w:val="0"/>
                            <w:spacing w:before="40" w:line="160" w:lineRule="exact"/>
                            <w:jc w:val="center"/>
                            <w:rPr>
                              <w:rFonts w:ascii="Arial Narrow" w:hAnsi="Arial Narrow" w:cs="Arial"/>
                              <w:b/>
                              <w:bCs/>
                              <w:color w:val="FFFFFF"/>
                              <w:sz w:val="16"/>
                              <w:szCs w:val="20"/>
                              <w:lang w:val="en-GB"/>
                            </w:rPr>
                          </w:pPr>
                        </w:p>
                      </w:tc>
                      <w:tc>
                        <w:tcPr>
                          <w:tcW w:w="1117" w:type="dxa"/>
                          <w:tcBorders>
                            <w:top w:val="single" w:sz="4" w:space="0" w:color="FFFFFF"/>
                            <w:left w:val="single" w:sz="6" w:space="0" w:color="FFFFFF"/>
                            <w:bottom w:val="single" w:sz="6" w:space="0" w:color="FFFFFF"/>
                            <w:right w:val="single" w:sz="6" w:space="0" w:color="FFFFFF"/>
                          </w:tcBorders>
                          <w:shd w:val="clear" w:color="auto" w:fill="002D72"/>
                          <w:vAlign w:val="bottom"/>
                        </w:tcPr>
                        <w:p w:rsidR="007F3ED6" w:rsidRPr="00B23993" w:rsidRDefault="007F3ED6" w:rsidP="00326326">
                          <w:pPr>
                            <w:keepNext/>
                            <w:autoSpaceDE w:val="0"/>
                            <w:autoSpaceDN w:val="0"/>
                            <w:adjustRightInd w:val="0"/>
                            <w:spacing w:before="40" w:line="160" w:lineRule="exact"/>
                            <w:jc w:val="center"/>
                            <w:rPr>
                              <w:rFonts w:ascii="Arial Narrow" w:hAnsi="Arial Narrow" w:cs="Arial"/>
                              <w:b/>
                              <w:bCs/>
                              <w:color w:val="FFFFFF"/>
                              <w:sz w:val="16"/>
                              <w:szCs w:val="20"/>
                              <w:lang w:val="en-GB"/>
                            </w:rPr>
                          </w:pPr>
                          <w:r w:rsidRPr="00B23993">
                            <w:rPr>
                              <w:rFonts w:ascii="Arial Narrow" w:hAnsi="Arial Narrow" w:cs="Arial"/>
                              <w:b/>
                              <w:bCs/>
                              <w:color w:val="FFFFFF"/>
                              <w:sz w:val="16"/>
                              <w:szCs w:val="20"/>
                              <w:lang w:val="en-GB"/>
                            </w:rPr>
                            <w:t>Organic revenue growth (2014-16 average)</w:t>
                          </w:r>
                        </w:p>
                      </w:tc>
                      <w:tc>
                        <w:tcPr>
                          <w:tcW w:w="1117" w:type="dxa"/>
                          <w:tcBorders>
                            <w:top w:val="single" w:sz="4" w:space="0" w:color="FFFFFF"/>
                            <w:left w:val="single" w:sz="6" w:space="0" w:color="FFFFFF"/>
                            <w:bottom w:val="single" w:sz="6" w:space="0" w:color="FFFFFF"/>
                            <w:right w:val="single" w:sz="6" w:space="0" w:color="FFFFFF"/>
                          </w:tcBorders>
                          <w:shd w:val="clear" w:color="auto" w:fill="002D72"/>
                          <w:vAlign w:val="bottom"/>
                        </w:tcPr>
                        <w:p w:rsidR="007F3ED6" w:rsidRPr="00B23993" w:rsidRDefault="007F3ED6" w:rsidP="00326326">
                          <w:pPr>
                            <w:keepNext/>
                            <w:autoSpaceDE w:val="0"/>
                            <w:autoSpaceDN w:val="0"/>
                            <w:adjustRightInd w:val="0"/>
                            <w:spacing w:before="40" w:line="160" w:lineRule="exact"/>
                            <w:jc w:val="center"/>
                            <w:rPr>
                              <w:rFonts w:ascii="Arial Narrow" w:hAnsi="Arial Narrow" w:cs="Arial"/>
                              <w:b/>
                              <w:bCs/>
                              <w:color w:val="FFFFFF"/>
                              <w:sz w:val="16"/>
                              <w:szCs w:val="20"/>
                              <w:lang w:val="en-GB"/>
                            </w:rPr>
                          </w:pPr>
                          <w:r w:rsidRPr="00B23993">
                            <w:rPr>
                              <w:rFonts w:ascii="Arial Narrow" w:hAnsi="Arial Narrow" w:cs="Arial"/>
                              <w:b/>
                              <w:bCs/>
                              <w:color w:val="FFFFFF"/>
                              <w:sz w:val="16"/>
                              <w:szCs w:val="20"/>
                              <w:lang w:val="en-GB"/>
                            </w:rPr>
                            <w:t>EBITA Margin</w:t>
                          </w:r>
                        </w:p>
                      </w:tc>
                      <w:tc>
                        <w:tcPr>
                          <w:tcW w:w="1116" w:type="dxa"/>
                          <w:tcBorders>
                            <w:top w:val="single" w:sz="4" w:space="0" w:color="FFFFFF"/>
                            <w:left w:val="single" w:sz="6" w:space="0" w:color="FFFFFF"/>
                            <w:bottom w:val="single" w:sz="6" w:space="0" w:color="FFFFFF"/>
                            <w:right w:val="single" w:sz="6" w:space="0" w:color="FFFFFF"/>
                          </w:tcBorders>
                          <w:shd w:val="clear" w:color="auto" w:fill="002D72"/>
                          <w:vAlign w:val="bottom"/>
                        </w:tcPr>
                        <w:p w:rsidR="007F3ED6" w:rsidRPr="00B23993" w:rsidRDefault="007F3ED6" w:rsidP="00326326">
                          <w:pPr>
                            <w:keepNext/>
                            <w:autoSpaceDE w:val="0"/>
                            <w:autoSpaceDN w:val="0"/>
                            <w:adjustRightInd w:val="0"/>
                            <w:spacing w:before="40" w:line="160" w:lineRule="exact"/>
                            <w:jc w:val="center"/>
                            <w:rPr>
                              <w:rFonts w:ascii="Arial Narrow" w:hAnsi="Arial Narrow" w:cs="Arial"/>
                              <w:b/>
                              <w:bCs/>
                              <w:color w:val="FFFFFF"/>
                              <w:sz w:val="16"/>
                              <w:szCs w:val="20"/>
                              <w:lang w:val="en-GB"/>
                            </w:rPr>
                          </w:pPr>
                          <w:r w:rsidRPr="00B23993">
                            <w:rPr>
                              <w:rFonts w:ascii="Arial Narrow" w:hAnsi="Arial Narrow" w:cs="Arial"/>
                              <w:b/>
                              <w:bCs/>
                              <w:color w:val="FFFFFF"/>
                              <w:sz w:val="16"/>
                              <w:szCs w:val="20"/>
                              <w:lang w:val="en-GB"/>
                            </w:rPr>
                            <w:t>ROIC</w:t>
                          </w:r>
                        </w:p>
                      </w:tc>
                      <w:tc>
                        <w:tcPr>
                          <w:tcW w:w="1117" w:type="dxa"/>
                          <w:tcBorders>
                            <w:top w:val="single" w:sz="4" w:space="0" w:color="FFFFFF"/>
                            <w:left w:val="single" w:sz="6" w:space="0" w:color="FFFFFF"/>
                            <w:bottom w:val="single" w:sz="6" w:space="0" w:color="FFFFFF"/>
                            <w:right w:val="single" w:sz="6" w:space="0" w:color="FFFFFF"/>
                          </w:tcBorders>
                          <w:shd w:val="clear" w:color="auto" w:fill="002D72"/>
                          <w:vAlign w:val="bottom"/>
                        </w:tcPr>
                        <w:p w:rsidR="007F3ED6" w:rsidRPr="00B23993" w:rsidRDefault="007F3ED6" w:rsidP="00326326">
                          <w:pPr>
                            <w:keepNext/>
                            <w:autoSpaceDE w:val="0"/>
                            <w:autoSpaceDN w:val="0"/>
                            <w:adjustRightInd w:val="0"/>
                            <w:spacing w:before="40" w:line="160" w:lineRule="exact"/>
                            <w:jc w:val="center"/>
                            <w:rPr>
                              <w:rFonts w:ascii="Arial Narrow" w:hAnsi="Arial Narrow" w:cs="Arial"/>
                              <w:b/>
                              <w:bCs/>
                              <w:color w:val="FFFFFF"/>
                              <w:sz w:val="16"/>
                              <w:szCs w:val="20"/>
                              <w:lang w:val="en-GB"/>
                            </w:rPr>
                          </w:pPr>
                          <w:r w:rsidRPr="00B23993">
                            <w:rPr>
                              <w:rFonts w:ascii="Arial Narrow" w:hAnsi="Arial Narrow" w:cs="Arial"/>
                              <w:b/>
                              <w:bCs/>
                              <w:color w:val="FFFFFF"/>
                              <w:sz w:val="16"/>
                              <w:szCs w:val="20"/>
                              <w:lang w:val="en-GB"/>
                            </w:rPr>
                            <w:t>Tax Rate</w:t>
                          </w:r>
                        </w:p>
                      </w:tc>
                      <w:tc>
                        <w:tcPr>
                          <w:tcW w:w="1117" w:type="dxa"/>
                          <w:tcBorders>
                            <w:top w:val="single" w:sz="4" w:space="0" w:color="FFFFFF"/>
                            <w:left w:val="single" w:sz="6" w:space="0" w:color="FFFFFF"/>
                            <w:bottom w:val="single" w:sz="6" w:space="0" w:color="FFFFFF"/>
                            <w:right w:val="single" w:sz="6" w:space="0" w:color="FFFFFF"/>
                          </w:tcBorders>
                          <w:shd w:val="clear" w:color="auto" w:fill="002D72"/>
                          <w:vAlign w:val="bottom"/>
                        </w:tcPr>
                        <w:p w:rsidR="007F3ED6" w:rsidRPr="00B23993" w:rsidRDefault="007F3ED6" w:rsidP="00326326">
                          <w:pPr>
                            <w:keepNext/>
                            <w:autoSpaceDE w:val="0"/>
                            <w:autoSpaceDN w:val="0"/>
                            <w:adjustRightInd w:val="0"/>
                            <w:spacing w:before="40" w:line="160" w:lineRule="exact"/>
                            <w:jc w:val="center"/>
                            <w:rPr>
                              <w:rFonts w:ascii="Arial Narrow" w:hAnsi="Arial Narrow" w:cs="Arial"/>
                              <w:b/>
                              <w:bCs/>
                              <w:color w:val="FFFFFF"/>
                              <w:sz w:val="16"/>
                              <w:szCs w:val="20"/>
                              <w:lang w:val="en-GB"/>
                            </w:rPr>
                          </w:pPr>
                          <w:r w:rsidRPr="00B23993">
                            <w:rPr>
                              <w:rFonts w:ascii="Arial Narrow" w:hAnsi="Arial Narrow" w:cs="Arial"/>
                              <w:b/>
                              <w:bCs/>
                              <w:color w:val="FFFFFF"/>
                              <w:sz w:val="16"/>
                              <w:szCs w:val="20"/>
                              <w:lang w:val="en-GB"/>
                            </w:rPr>
                            <w:t>Net debt</w:t>
                          </w:r>
                        </w:p>
                      </w:tc>
                    </w:tr>
                    <w:tr w:rsidR="007F3ED6" w:rsidRPr="00B23993" w:rsidTr="00326326">
                      <w:tc>
                        <w:tcPr>
                          <w:tcW w:w="1116" w:type="dxa"/>
                          <w:tcBorders>
                            <w:top w:val="single" w:sz="6" w:space="0" w:color="FFFFFF"/>
                            <w:left w:val="nil"/>
                            <w:bottom w:val="nil"/>
                            <w:right w:val="single" w:sz="6" w:space="0" w:color="auto"/>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GN ReSound</w:t>
                          </w:r>
                        </w:p>
                      </w:tc>
                      <w:tc>
                        <w:tcPr>
                          <w:tcW w:w="1117" w:type="dxa"/>
                          <w:tcBorders>
                            <w:top w:val="single" w:sz="6" w:space="0" w:color="FFFFFF"/>
                            <w:left w:val="single" w:sz="6" w:space="0" w:color="auto"/>
                            <w:bottom w:val="nil"/>
                            <w:right w:val="single" w:sz="6" w:space="0" w:color="auto"/>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&gt;3ppts above market growth</w:t>
                          </w:r>
                        </w:p>
                      </w:tc>
                      <w:tc>
                        <w:tcPr>
                          <w:tcW w:w="1117" w:type="dxa"/>
                          <w:tcBorders>
                            <w:top w:val="single" w:sz="6" w:space="0" w:color="FFFFFF"/>
                            <w:left w:val="single" w:sz="6" w:space="0" w:color="auto"/>
                            <w:bottom w:val="nil"/>
                            <w:right w:val="single" w:sz="6" w:space="0" w:color="auto"/>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In line with top-tier competitors</w:t>
                          </w:r>
                        </w:p>
                      </w:tc>
                      <w:tc>
                        <w:tcPr>
                          <w:tcW w:w="1116" w:type="dxa"/>
                          <w:tcBorders>
                            <w:top w:val="single" w:sz="6" w:space="0" w:color="FFFFFF"/>
                            <w:left w:val="single" w:sz="6" w:space="0" w:color="auto"/>
                            <w:bottom w:val="nil"/>
                            <w:right w:val="single" w:sz="6" w:space="0" w:color="auto"/>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Increase &gt;4ppts from 14 - 15% in 2013</w:t>
                          </w:r>
                        </w:p>
                      </w:tc>
                      <w:tc>
                        <w:tcPr>
                          <w:tcW w:w="1117" w:type="dxa"/>
                          <w:tcBorders>
                            <w:top w:val="single" w:sz="6" w:space="0" w:color="FFFFFF"/>
                            <w:left w:val="nil"/>
                            <w:bottom w:val="nil"/>
                            <w:right w:val="nil"/>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p>
                      </w:tc>
                      <w:tc>
                        <w:tcPr>
                          <w:tcW w:w="1117" w:type="dxa"/>
                          <w:tcBorders>
                            <w:top w:val="single" w:sz="6" w:space="0" w:color="FFFFFF"/>
                            <w:left w:val="nil"/>
                            <w:bottom w:val="nil"/>
                            <w:right w:val="nil"/>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p>
                      </w:tc>
                    </w:tr>
                    <w:tr w:rsidR="007F3ED6" w:rsidRPr="00B23993" w:rsidTr="00326326">
                      <w:trPr>
                        <w:trHeight w:val="466"/>
                      </w:trPr>
                      <w:tc>
                        <w:tcPr>
                          <w:tcW w:w="1116" w:type="dxa"/>
                          <w:tcBorders>
                            <w:top w:val="nil"/>
                            <w:left w:val="nil"/>
                            <w:bottom w:val="single" w:sz="6" w:space="0" w:color="auto"/>
                            <w:right w:val="single" w:sz="6" w:space="0" w:color="auto"/>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GN Netcom</w:t>
                          </w:r>
                        </w:p>
                      </w:tc>
                      <w:tc>
                        <w:tcPr>
                          <w:tcW w:w="1117" w:type="dxa"/>
                          <w:tcBorders>
                            <w:top w:val="nil"/>
                            <w:left w:val="single" w:sz="6" w:space="0" w:color="auto"/>
                            <w:bottom w:val="single" w:sz="6" w:space="0" w:color="auto"/>
                            <w:right w:val="single" w:sz="6" w:space="0" w:color="auto"/>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&gt;10%</w:t>
                          </w:r>
                        </w:p>
                      </w:tc>
                      <w:tc>
                        <w:tcPr>
                          <w:tcW w:w="1117" w:type="dxa"/>
                          <w:tcBorders>
                            <w:top w:val="nil"/>
                            <w:left w:val="single" w:sz="6" w:space="0" w:color="auto"/>
                            <w:bottom w:val="single" w:sz="6" w:space="0" w:color="auto"/>
                            <w:right w:val="single" w:sz="6" w:space="0" w:color="auto"/>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18 -19%</w:t>
                          </w:r>
                        </w:p>
                      </w:tc>
                      <w:tc>
                        <w:tcPr>
                          <w:tcW w:w="1116" w:type="dxa"/>
                          <w:tcBorders>
                            <w:top w:val="nil"/>
                            <w:left w:val="single" w:sz="6" w:space="0" w:color="auto"/>
                            <w:bottom w:val="single" w:sz="6" w:space="0" w:color="auto"/>
                            <w:right w:val="single" w:sz="6" w:space="0" w:color="auto"/>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&gt;55%</w:t>
                          </w:r>
                        </w:p>
                      </w:tc>
                      <w:tc>
                        <w:tcPr>
                          <w:tcW w:w="1117" w:type="dxa"/>
                          <w:tcBorders>
                            <w:top w:val="nil"/>
                            <w:left w:val="nil"/>
                            <w:bottom w:val="single" w:sz="6" w:space="0" w:color="auto"/>
                            <w:right w:val="nil"/>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p>
                      </w:tc>
                      <w:tc>
                        <w:tcPr>
                          <w:tcW w:w="1117" w:type="dxa"/>
                          <w:tcBorders>
                            <w:top w:val="nil"/>
                            <w:left w:val="nil"/>
                            <w:bottom w:val="single" w:sz="6" w:space="0" w:color="auto"/>
                            <w:right w:val="nil"/>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p>
                      </w:tc>
                    </w:tr>
                    <w:tr w:rsidR="007F3ED6" w:rsidRPr="00B23993" w:rsidTr="00326326">
                      <w:trPr>
                        <w:trHeight w:val="557"/>
                      </w:trPr>
                      <w:tc>
                        <w:tcPr>
                          <w:tcW w:w="1116" w:type="dxa"/>
                          <w:tcBorders>
                            <w:top w:val="nil"/>
                            <w:left w:val="nil"/>
                            <w:bottom w:val="single" w:sz="6" w:space="0" w:color="auto"/>
                            <w:right w:val="single" w:sz="6" w:space="0" w:color="auto"/>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GN Store Nord</w:t>
                          </w:r>
                        </w:p>
                      </w:tc>
                      <w:tc>
                        <w:tcPr>
                          <w:tcW w:w="1117" w:type="dxa"/>
                          <w:tcBorders>
                            <w:top w:val="nil"/>
                            <w:left w:val="nil"/>
                            <w:bottom w:val="single" w:sz="6" w:space="0" w:color="auto"/>
                            <w:right w:val="nil"/>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p>
                      </w:tc>
                      <w:tc>
                        <w:tcPr>
                          <w:tcW w:w="1117" w:type="dxa"/>
                          <w:tcBorders>
                            <w:top w:val="nil"/>
                            <w:left w:val="nil"/>
                            <w:bottom w:val="single" w:sz="6" w:space="0" w:color="auto"/>
                            <w:right w:val="nil"/>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p>
                      </w:tc>
                      <w:tc>
                        <w:tcPr>
                          <w:tcW w:w="1116" w:type="dxa"/>
                          <w:tcBorders>
                            <w:top w:val="single" w:sz="6" w:space="0" w:color="auto"/>
                            <w:left w:val="nil"/>
                            <w:bottom w:val="single" w:sz="6" w:space="0" w:color="auto"/>
                            <w:right w:val="single" w:sz="6" w:space="0" w:color="auto"/>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p>
                      </w:tc>
                      <w:tc>
                        <w:tcPr>
                          <w:tcW w:w="1117" w:type="dxa"/>
                          <w:tcBorders>
                            <w:top w:val="single" w:sz="6" w:space="0" w:color="auto"/>
                            <w:left w:val="single" w:sz="6" w:space="0" w:color="auto"/>
                            <w:bottom w:val="single" w:sz="6" w:space="0" w:color="auto"/>
                            <w:right w:val="single" w:sz="6" w:space="0" w:color="auto"/>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26-27%</w:t>
                          </w:r>
                        </w:p>
                      </w:tc>
                      <w:tc>
                        <w:tcPr>
                          <w:tcW w:w="1117" w:type="dxa"/>
                          <w:tcBorders>
                            <w:top w:val="nil"/>
                            <w:left w:val="nil"/>
                            <w:bottom w:val="single" w:sz="6" w:space="0" w:color="auto"/>
                            <w:right w:val="nil"/>
                          </w:tcBorders>
                          <w:vAlign w:val="center"/>
                        </w:tcPr>
                        <w:p w:rsidR="007F3ED6" w:rsidRPr="00B23993"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rPr>
                          </w:pPr>
                          <w:r w:rsidRPr="00B23993">
                            <w:rPr>
                              <w:rFonts w:ascii="Arial Narrow" w:hAnsi="Arial Narrow" w:cs="Arial"/>
                              <w:color w:val="000000"/>
                              <w:sz w:val="16"/>
                              <w:szCs w:val="20"/>
                              <w:lang w:val="en-GB"/>
                            </w:rPr>
                            <w:t>1-2x EBITDA</w:t>
                          </w:r>
                        </w:p>
                      </w:tc>
                    </w:tr>
                  </w:tbl>
                  <w:p w:rsidR="007F3ED6" w:rsidRDefault="007F3ED6" w:rsidP="00326326">
                    <w:pPr>
                      <w:pStyle w:val="CIRMaster"/>
                      <w:spacing w:line="14" w:lineRule="auto"/>
                    </w:pPr>
                  </w:p>
                </w:tc>
              </w:tr>
              <w:tr w:rsidR="007F3ED6" w:rsidTr="00326326">
                <w:trPr>
                  <w:cantSplit/>
                </w:trPr>
                <w:tc>
                  <w:tcPr>
                    <w:tcW w:w="6700" w:type="dxa"/>
                  </w:tcPr>
                  <w:p w:rsidR="007F3ED6" w:rsidRDefault="007F3ED6" w:rsidP="00326326">
                    <w:pPr>
                      <w:pStyle w:val="CIRSourceNote"/>
                    </w:pPr>
                    <w:r w:rsidRPr="00135C0D">
                      <w:t xml:space="preserve">Source: </w:t>
                    </w:r>
                    <w:r>
                      <w:t xml:space="preserve">Company </w:t>
                    </w:r>
                    <w:r w:rsidRPr="00843D64">
                      <w:t>data, Citi Research</w:t>
                    </w:r>
                    <w:r w:rsidRPr="00135C0D">
                      <w:t xml:space="preserve"> (assumes exchange rates as of 1</w:t>
                    </w:r>
                    <w:r>
                      <w:t xml:space="preserve"> </w:t>
                    </w:r>
                    <w:r w:rsidRPr="00135C0D">
                      <w:t>November 2013 (DKK/USD ~ 550) until end 2016</w:t>
                    </w:r>
                  </w:p>
                </w:tc>
              </w:tr>
            </w:tbl>
            <w:p w:rsidR="007F3ED6" w:rsidRDefault="007F3ED6" w:rsidP="007F3ED6">
              <w:pPr>
                <w:pStyle w:val="CIRBodyText"/>
              </w:pPr>
            </w:p>
            <w:tbl>
              <w:tblPr>
                <w:tblStyle w:val="CIRTable"/>
                <w:tblW w:w="6700" w:type="dxa"/>
                <w:tblLayout w:type="fixed"/>
                <w:tblLook w:val="04A0" w:firstRow="1" w:lastRow="0" w:firstColumn="1" w:lastColumn="0" w:noHBand="0" w:noVBand="1"/>
                <w:tblCaption w:val="EmbedTable"/>
                <w:tblDescription w:val="1|Body|0"/>
              </w:tblPr>
              <w:tblGrid>
                <w:gridCol w:w="670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6700" w:type="dxa"/>
                  </w:tcPr>
                  <w:p w:rsidR="007F3ED6" w:rsidRDefault="007F3ED6" w:rsidP="00326326">
                    <w:pPr>
                      <w:pStyle w:val="CIRCaption"/>
                    </w:pPr>
                    <w:r>
                      <w:t xml:space="preserve">Figure </w:t>
                    </w:r>
                    <w:fldSimple w:instr=" SEQ Figure \* ARABIC ">
                      <w:r>
                        <w:rPr>
                          <w:noProof/>
                        </w:rPr>
                        <w:t>23</w:t>
                      </w:r>
                    </w:fldSimple>
                    <w:r>
                      <w:t>. GN Store Nord – 2014 guidance</w:t>
                    </w:r>
                  </w:p>
                </w:tc>
              </w:tr>
              <w:tr w:rsidR="007F3ED6" w:rsidTr="00326326">
                <w:trPr>
                  <w:trHeight w:val="160"/>
                </w:trPr>
                <w:tc>
                  <w:tcPr>
                    <w:tcW w:w="6700" w:type="dxa"/>
                  </w:tcPr>
                  <w:tbl>
                    <w:tblPr>
                      <w:tblStyle w:val="CIRTableNoLines"/>
                      <w:tblW w:w="6700" w:type="dxa"/>
                      <w:tblLayout w:type="fixed"/>
                      <w:tblLook w:val="04A0" w:firstRow="1" w:lastRow="0" w:firstColumn="1" w:lastColumn="0" w:noHBand="0" w:noVBand="1"/>
                      <w:tblCaption w:val="EmbedTable"/>
                      <w:tblDescription w:val="1|Body|0"/>
                    </w:tblPr>
                    <w:tblGrid>
                      <w:gridCol w:w="1340"/>
                      <w:gridCol w:w="1340"/>
                      <w:gridCol w:w="1340"/>
                      <w:gridCol w:w="1340"/>
                      <w:gridCol w:w="1340"/>
                    </w:tblGrid>
                    <w:tr w:rsidR="007F3ED6" w:rsidRPr="00B23993" w:rsidTr="00326326">
                      <w:trPr>
                        <w:cnfStyle w:val="100000000000" w:firstRow="1" w:lastRow="0" w:firstColumn="0" w:lastColumn="0" w:oddVBand="0" w:evenVBand="0" w:oddHBand="0" w:evenHBand="0" w:firstRowFirstColumn="0" w:firstRowLastColumn="0" w:lastRowFirstColumn="0" w:lastRowLastColumn="0"/>
                      </w:trPr>
                      <w:tc>
                        <w:tcPr>
                          <w:tcW w:w="1340" w:type="dxa"/>
                          <w:tcBorders>
                            <w:top w:val="none" w:sz="0" w:space="0" w:color="auto"/>
                            <w:left w:val="none" w:sz="0" w:space="0" w:color="auto"/>
                            <w:bottom w:val="none" w:sz="0" w:space="0" w:color="auto"/>
                            <w:right w:val="none" w:sz="0" w:space="0" w:color="auto"/>
                          </w:tcBorders>
                          <w:shd w:val="clear" w:color="auto" w:fill="002D72"/>
                          <w:vAlign w:val="bottom"/>
                        </w:tcPr>
                        <w:p w:rsidR="007F3ED6" w:rsidRPr="00B23993" w:rsidRDefault="007F3ED6" w:rsidP="00326326">
                          <w:pPr>
                            <w:pStyle w:val="CIRT-LeftBold"/>
                            <w:rPr>
                              <w:color w:val="FFFFFF"/>
                            </w:rPr>
                          </w:pPr>
                          <w:r w:rsidRPr="00B23993">
                            <w:rPr>
                              <w:color w:val="FFFFFF"/>
                            </w:rPr>
                            <w:t>DKKmn</w:t>
                          </w:r>
                        </w:p>
                      </w:tc>
                      <w:tc>
                        <w:tcPr>
                          <w:tcW w:w="1340" w:type="dxa"/>
                          <w:tcBorders>
                            <w:top w:val="none" w:sz="0" w:space="0" w:color="auto"/>
                            <w:left w:val="none" w:sz="0" w:space="0" w:color="auto"/>
                            <w:bottom w:val="none" w:sz="0" w:space="0" w:color="auto"/>
                            <w:right w:val="none" w:sz="0" w:space="0" w:color="auto"/>
                          </w:tcBorders>
                          <w:shd w:val="clear" w:color="auto" w:fill="002D72"/>
                          <w:vAlign w:val="bottom"/>
                        </w:tcPr>
                        <w:p w:rsidR="007F3ED6" w:rsidRPr="00B23993" w:rsidRDefault="007F3ED6" w:rsidP="00326326">
                          <w:pPr>
                            <w:pStyle w:val="CIRT-RightBold"/>
                            <w:rPr>
                              <w:color w:val="FFFFFF"/>
                            </w:rPr>
                          </w:pPr>
                          <w:r w:rsidRPr="00B23993">
                            <w:rPr>
                              <w:color w:val="FFFFFF"/>
                            </w:rPr>
                            <w:t xml:space="preserve">Organic </w:t>
                          </w:r>
                          <w:r>
                            <w:rPr>
                              <w:color w:val="FFFFFF"/>
                            </w:rPr>
                            <w:br/>
                          </w:r>
                          <w:r w:rsidRPr="00B23993">
                            <w:rPr>
                              <w:color w:val="FFFFFF"/>
                            </w:rPr>
                            <w:t>revenue growth</w:t>
                          </w:r>
                        </w:p>
                      </w:tc>
                      <w:tc>
                        <w:tcPr>
                          <w:tcW w:w="1340" w:type="dxa"/>
                          <w:tcBorders>
                            <w:top w:val="none" w:sz="0" w:space="0" w:color="auto"/>
                            <w:left w:val="none" w:sz="0" w:space="0" w:color="auto"/>
                            <w:bottom w:val="none" w:sz="0" w:space="0" w:color="auto"/>
                            <w:right w:val="none" w:sz="0" w:space="0" w:color="auto"/>
                          </w:tcBorders>
                          <w:shd w:val="clear" w:color="auto" w:fill="002D72"/>
                          <w:vAlign w:val="bottom"/>
                        </w:tcPr>
                        <w:p w:rsidR="007F3ED6" w:rsidRPr="00B23993" w:rsidRDefault="007F3ED6" w:rsidP="00326326">
                          <w:pPr>
                            <w:pStyle w:val="CIRT-RightBold"/>
                            <w:rPr>
                              <w:color w:val="FFFFFF"/>
                            </w:rPr>
                          </w:pPr>
                          <w:r w:rsidRPr="00B23993">
                            <w:rPr>
                              <w:color w:val="FFFFFF"/>
                            </w:rPr>
                            <w:t>EBITA</w:t>
                          </w:r>
                          <w:r>
                            <w:rPr>
                              <w:color w:val="FFFFFF"/>
                            </w:rPr>
                            <w:t>*</w:t>
                          </w:r>
                        </w:p>
                      </w:tc>
                      <w:tc>
                        <w:tcPr>
                          <w:tcW w:w="1340" w:type="dxa"/>
                          <w:tcBorders>
                            <w:top w:val="none" w:sz="0" w:space="0" w:color="auto"/>
                            <w:left w:val="none" w:sz="0" w:space="0" w:color="auto"/>
                            <w:bottom w:val="none" w:sz="0" w:space="0" w:color="auto"/>
                            <w:right w:val="none" w:sz="0" w:space="0" w:color="auto"/>
                          </w:tcBorders>
                          <w:shd w:val="clear" w:color="auto" w:fill="002D72"/>
                          <w:vAlign w:val="bottom"/>
                        </w:tcPr>
                        <w:p w:rsidR="007F3ED6" w:rsidRPr="00B23993" w:rsidRDefault="007F3ED6" w:rsidP="00326326">
                          <w:pPr>
                            <w:pStyle w:val="CIRT-RightBold"/>
                            <w:rPr>
                              <w:color w:val="FFFFFF"/>
                            </w:rPr>
                          </w:pPr>
                          <w:r w:rsidRPr="00B23993">
                            <w:rPr>
                              <w:color w:val="FFFFFF"/>
                            </w:rPr>
                            <w:t>Profit before tax</w:t>
                          </w:r>
                        </w:p>
                      </w:tc>
                      <w:tc>
                        <w:tcPr>
                          <w:tcW w:w="1340" w:type="dxa"/>
                          <w:tcBorders>
                            <w:top w:val="none" w:sz="0" w:space="0" w:color="auto"/>
                            <w:left w:val="none" w:sz="0" w:space="0" w:color="auto"/>
                            <w:bottom w:val="none" w:sz="0" w:space="0" w:color="auto"/>
                            <w:right w:val="none" w:sz="0" w:space="0" w:color="auto"/>
                          </w:tcBorders>
                          <w:shd w:val="clear" w:color="auto" w:fill="002D72"/>
                          <w:vAlign w:val="bottom"/>
                        </w:tcPr>
                        <w:p w:rsidR="007F3ED6" w:rsidRPr="00B23993" w:rsidRDefault="007F3ED6" w:rsidP="00326326">
                          <w:pPr>
                            <w:pStyle w:val="CIRT-RightBold"/>
                            <w:rPr>
                              <w:color w:val="FFFFFF"/>
                            </w:rPr>
                          </w:pPr>
                          <w:r w:rsidRPr="00B23993">
                            <w:rPr>
                              <w:color w:val="FFFFFF"/>
                            </w:rPr>
                            <w:t>Effective tax rate</w:t>
                          </w:r>
                        </w:p>
                      </w:tc>
                    </w:tr>
                    <w:tr w:rsidR="007F3ED6" w:rsidRPr="00B23993" w:rsidTr="00326326">
                      <w:tc>
                        <w:tcPr>
                          <w:tcW w:w="1340" w:type="dxa"/>
                          <w:shd w:val="clear" w:color="auto" w:fill="auto"/>
                        </w:tcPr>
                        <w:p w:rsidR="007F3ED6" w:rsidRPr="00B23993" w:rsidRDefault="007F3ED6" w:rsidP="00326326">
                          <w:pPr>
                            <w:pStyle w:val="CIRT-Left"/>
                          </w:pPr>
                          <w:r w:rsidRPr="00B23993">
                            <w:t>GN ReSound</w:t>
                          </w:r>
                        </w:p>
                      </w:tc>
                      <w:tc>
                        <w:tcPr>
                          <w:tcW w:w="1340" w:type="dxa"/>
                          <w:shd w:val="clear" w:color="auto" w:fill="auto"/>
                        </w:tcPr>
                        <w:p w:rsidR="007F3ED6" w:rsidRPr="00B23993" w:rsidRDefault="007F3ED6" w:rsidP="00326326">
                          <w:pPr>
                            <w:pStyle w:val="CIRT-Right"/>
                          </w:pPr>
                          <w:r w:rsidRPr="00B23993">
                            <w:t>&gt;</w:t>
                          </w:r>
                          <w:r>
                            <w:t>7</w:t>
                          </w:r>
                          <w:r w:rsidRPr="00B23993">
                            <w:t>%</w:t>
                          </w:r>
                        </w:p>
                      </w:tc>
                      <w:tc>
                        <w:tcPr>
                          <w:tcW w:w="1340" w:type="dxa"/>
                          <w:shd w:val="clear" w:color="auto" w:fill="auto"/>
                        </w:tcPr>
                        <w:p w:rsidR="007F3ED6" w:rsidRPr="00B23993" w:rsidRDefault="007F3ED6" w:rsidP="00326326">
                          <w:pPr>
                            <w:pStyle w:val="CIRT-Right"/>
                          </w:pPr>
                          <w:r w:rsidRPr="00B23993">
                            <w:t>&gt;8</w:t>
                          </w:r>
                          <w:r>
                            <w:t>80</w:t>
                          </w:r>
                        </w:p>
                      </w:tc>
                      <w:tc>
                        <w:tcPr>
                          <w:tcW w:w="1340" w:type="dxa"/>
                          <w:shd w:val="clear" w:color="auto" w:fill="auto"/>
                        </w:tcPr>
                        <w:p w:rsidR="007F3ED6" w:rsidRPr="00B23993" w:rsidRDefault="007F3ED6" w:rsidP="00326326">
                          <w:pPr>
                            <w:pStyle w:val="CIRT-Right"/>
                          </w:pPr>
                        </w:p>
                      </w:tc>
                      <w:tc>
                        <w:tcPr>
                          <w:tcW w:w="1340" w:type="dxa"/>
                          <w:shd w:val="clear" w:color="auto" w:fill="auto"/>
                        </w:tcPr>
                        <w:p w:rsidR="007F3ED6" w:rsidRPr="00B23993" w:rsidRDefault="007F3ED6" w:rsidP="00326326">
                          <w:pPr>
                            <w:pStyle w:val="CIRT-Right"/>
                          </w:pPr>
                        </w:p>
                      </w:tc>
                    </w:tr>
                    <w:tr w:rsidR="007F3ED6" w:rsidRPr="00B23993" w:rsidTr="00326326">
                      <w:tc>
                        <w:tcPr>
                          <w:tcW w:w="1340" w:type="dxa"/>
                          <w:shd w:val="clear" w:color="auto" w:fill="auto"/>
                        </w:tcPr>
                        <w:p w:rsidR="007F3ED6" w:rsidRPr="00B23993" w:rsidRDefault="007F3ED6" w:rsidP="00326326">
                          <w:pPr>
                            <w:pStyle w:val="CIRT-Left"/>
                          </w:pPr>
                          <w:r w:rsidRPr="00B23993">
                            <w:t>GN Netcom</w:t>
                          </w:r>
                        </w:p>
                      </w:tc>
                      <w:tc>
                        <w:tcPr>
                          <w:tcW w:w="1340" w:type="dxa"/>
                          <w:shd w:val="clear" w:color="auto" w:fill="auto"/>
                        </w:tcPr>
                        <w:p w:rsidR="007F3ED6" w:rsidRPr="00B23993" w:rsidRDefault="007F3ED6" w:rsidP="00326326">
                          <w:pPr>
                            <w:pStyle w:val="CIRT-Right"/>
                          </w:pPr>
                          <w:r w:rsidRPr="00B23993">
                            <w:t>11%</w:t>
                          </w:r>
                        </w:p>
                      </w:tc>
                      <w:tc>
                        <w:tcPr>
                          <w:tcW w:w="1340" w:type="dxa"/>
                          <w:shd w:val="clear" w:color="auto" w:fill="auto"/>
                        </w:tcPr>
                        <w:p w:rsidR="007F3ED6" w:rsidRPr="00B23993" w:rsidRDefault="007F3ED6" w:rsidP="00326326">
                          <w:pPr>
                            <w:pStyle w:val="CIRT-Right"/>
                          </w:pPr>
                          <w:r w:rsidRPr="00B23993">
                            <w:t>&gt;515</w:t>
                          </w:r>
                        </w:p>
                      </w:tc>
                      <w:tc>
                        <w:tcPr>
                          <w:tcW w:w="1340" w:type="dxa"/>
                          <w:shd w:val="clear" w:color="auto" w:fill="auto"/>
                        </w:tcPr>
                        <w:p w:rsidR="007F3ED6" w:rsidRPr="00B23993" w:rsidRDefault="007F3ED6" w:rsidP="00326326">
                          <w:pPr>
                            <w:pStyle w:val="CIRT-Right"/>
                          </w:pPr>
                        </w:p>
                      </w:tc>
                      <w:tc>
                        <w:tcPr>
                          <w:tcW w:w="1340" w:type="dxa"/>
                          <w:shd w:val="clear" w:color="auto" w:fill="auto"/>
                        </w:tcPr>
                        <w:p w:rsidR="007F3ED6" w:rsidRPr="00B23993" w:rsidRDefault="007F3ED6" w:rsidP="00326326">
                          <w:pPr>
                            <w:pStyle w:val="CIRT-Right"/>
                          </w:pPr>
                        </w:p>
                      </w:tc>
                    </w:tr>
                    <w:tr w:rsidR="007F3ED6" w:rsidRPr="00B23993" w:rsidTr="00326326">
                      <w:tc>
                        <w:tcPr>
                          <w:tcW w:w="1340" w:type="dxa"/>
                          <w:shd w:val="clear" w:color="auto" w:fill="auto"/>
                        </w:tcPr>
                        <w:p w:rsidR="007F3ED6" w:rsidRPr="00B23993" w:rsidRDefault="007F3ED6" w:rsidP="00326326">
                          <w:pPr>
                            <w:pStyle w:val="CIRT-Left"/>
                          </w:pPr>
                          <w:r w:rsidRPr="00B23993">
                            <w:t>Other</w:t>
                          </w:r>
                        </w:p>
                      </w:tc>
                      <w:tc>
                        <w:tcPr>
                          <w:tcW w:w="1340" w:type="dxa"/>
                          <w:shd w:val="clear" w:color="auto" w:fill="auto"/>
                        </w:tcPr>
                        <w:p w:rsidR="007F3ED6" w:rsidRPr="00B23993" w:rsidRDefault="007F3ED6" w:rsidP="00326326">
                          <w:pPr>
                            <w:pStyle w:val="CIRT-Right"/>
                          </w:pPr>
                        </w:p>
                      </w:tc>
                      <w:tc>
                        <w:tcPr>
                          <w:tcW w:w="1340" w:type="dxa"/>
                          <w:shd w:val="clear" w:color="auto" w:fill="auto"/>
                        </w:tcPr>
                        <w:p w:rsidR="007F3ED6" w:rsidRPr="00B23993" w:rsidRDefault="007F3ED6" w:rsidP="00326326">
                          <w:pPr>
                            <w:pStyle w:val="CIRT-Right"/>
                          </w:pPr>
                          <w:r w:rsidRPr="00B23993">
                            <w:t>c -</w:t>
                          </w:r>
                          <w:r>
                            <w:t>155</w:t>
                          </w:r>
                        </w:p>
                      </w:tc>
                      <w:tc>
                        <w:tcPr>
                          <w:tcW w:w="1340" w:type="dxa"/>
                          <w:shd w:val="clear" w:color="auto" w:fill="auto"/>
                        </w:tcPr>
                        <w:p w:rsidR="007F3ED6" w:rsidRPr="00B23993" w:rsidRDefault="007F3ED6" w:rsidP="00326326">
                          <w:pPr>
                            <w:pStyle w:val="CIRT-Right"/>
                          </w:pPr>
                        </w:p>
                      </w:tc>
                      <w:tc>
                        <w:tcPr>
                          <w:tcW w:w="1340" w:type="dxa"/>
                          <w:shd w:val="clear" w:color="auto" w:fill="auto"/>
                        </w:tcPr>
                        <w:p w:rsidR="007F3ED6" w:rsidRPr="00B23993" w:rsidRDefault="007F3ED6" w:rsidP="00326326">
                          <w:pPr>
                            <w:pStyle w:val="CIRT-Right"/>
                          </w:pPr>
                        </w:p>
                      </w:tc>
                    </w:tr>
                    <w:tr w:rsidR="007F3ED6" w:rsidRPr="00B23993" w:rsidTr="00326326">
                      <w:tc>
                        <w:tcPr>
                          <w:tcW w:w="1340" w:type="dxa"/>
                          <w:shd w:val="clear" w:color="auto" w:fill="auto"/>
                        </w:tcPr>
                        <w:p w:rsidR="007F3ED6" w:rsidRPr="00B23993" w:rsidRDefault="007F3ED6" w:rsidP="00326326">
                          <w:pPr>
                            <w:pStyle w:val="CIRT-Left"/>
                          </w:pPr>
                          <w:r w:rsidRPr="00B23993">
                            <w:t>GN Store Nord</w:t>
                          </w:r>
                        </w:p>
                      </w:tc>
                      <w:tc>
                        <w:tcPr>
                          <w:tcW w:w="1340" w:type="dxa"/>
                          <w:shd w:val="clear" w:color="auto" w:fill="auto"/>
                        </w:tcPr>
                        <w:p w:rsidR="007F3ED6" w:rsidRPr="00B23993" w:rsidRDefault="007F3ED6" w:rsidP="00326326">
                          <w:pPr>
                            <w:pStyle w:val="CIRT-Right"/>
                          </w:pPr>
                          <w:r w:rsidRPr="00B23993">
                            <w:t>&gt;8%</w:t>
                          </w:r>
                        </w:p>
                      </w:tc>
                      <w:tc>
                        <w:tcPr>
                          <w:tcW w:w="1340" w:type="dxa"/>
                          <w:shd w:val="clear" w:color="auto" w:fill="auto"/>
                        </w:tcPr>
                        <w:p w:rsidR="007F3ED6" w:rsidRPr="00B23993" w:rsidRDefault="007F3ED6" w:rsidP="00326326">
                          <w:pPr>
                            <w:pStyle w:val="CIRT-Right"/>
                          </w:pPr>
                          <w:r w:rsidRPr="00B23993">
                            <w:t>&gt;1,</w:t>
                          </w:r>
                          <w:r>
                            <w:t>240</w:t>
                          </w:r>
                        </w:p>
                      </w:tc>
                      <w:tc>
                        <w:tcPr>
                          <w:tcW w:w="1340" w:type="dxa"/>
                          <w:shd w:val="clear" w:color="auto" w:fill="auto"/>
                        </w:tcPr>
                        <w:p w:rsidR="007F3ED6" w:rsidRPr="00B23993" w:rsidRDefault="007F3ED6" w:rsidP="00326326">
                          <w:pPr>
                            <w:pStyle w:val="CIRT-Right"/>
                          </w:pPr>
                          <w:r w:rsidRPr="00B23993">
                            <w:t>&gt;1,</w:t>
                          </w:r>
                          <w:r>
                            <w:t>11</w:t>
                          </w:r>
                          <w:r w:rsidRPr="00B23993">
                            <w:t>0</w:t>
                          </w:r>
                        </w:p>
                      </w:tc>
                      <w:tc>
                        <w:tcPr>
                          <w:tcW w:w="1340" w:type="dxa"/>
                          <w:shd w:val="clear" w:color="auto" w:fill="auto"/>
                        </w:tcPr>
                        <w:p w:rsidR="007F3ED6" w:rsidRPr="00B23993" w:rsidRDefault="007F3ED6" w:rsidP="00326326">
                          <w:pPr>
                            <w:pStyle w:val="CIRT-Right"/>
                          </w:pPr>
                          <w:r>
                            <w:t>c29</w:t>
                          </w:r>
                          <w:r w:rsidRPr="00B23993">
                            <w:t>%</w:t>
                          </w:r>
                        </w:p>
                      </w:tc>
                    </w:tr>
                  </w:tbl>
                  <w:p w:rsidR="007F3ED6" w:rsidRDefault="007F3ED6" w:rsidP="00326326">
                    <w:pPr>
                      <w:pStyle w:val="CIRMaster"/>
                      <w:spacing w:line="14" w:lineRule="auto"/>
                    </w:pPr>
                  </w:p>
                </w:tc>
              </w:tr>
              <w:tr w:rsidR="007F3ED6" w:rsidTr="00326326">
                <w:trPr>
                  <w:cantSplit/>
                </w:trPr>
                <w:tc>
                  <w:tcPr>
                    <w:tcW w:w="6700" w:type="dxa"/>
                  </w:tcPr>
                  <w:p w:rsidR="007F3ED6" w:rsidRDefault="007F3ED6" w:rsidP="00326326">
                    <w:pPr>
                      <w:pStyle w:val="CIRSourceNote"/>
                    </w:pPr>
                    <w:r w:rsidRPr="00843D64">
                      <w:t>Note: * EBITA includes DKr95mn of costs for evaluating a potential large acquisition within “Other”.</w:t>
                    </w:r>
                    <w:r>
                      <w:br/>
                      <w:t xml:space="preserve">Source: Company </w:t>
                    </w:r>
                    <w:r w:rsidRPr="00843D64">
                      <w:t>data, Citi Research</w:t>
                    </w:r>
                  </w:p>
                </w:tc>
              </w:tr>
            </w:tbl>
            <w:p w:rsidR="007F3ED6" w:rsidRDefault="007F3ED6" w:rsidP="007F3ED6">
              <w:pPr>
                <w:pStyle w:val="CIRBodyText"/>
              </w:pPr>
            </w:p>
            <w:p w:rsidR="007F3ED6" w:rsidRDefault="007F3ED6" w:rsidP="007F3ED6">
              <w:pPr>
                <w:pStyle w:val="CIRChapter"/>
                <w:framePr w:wrap="around"/>
                <w:rPr>
                  <w:lang w:val="en-GB"/>
                </w:rPr>
              </w:pPr>
              <w:bookmarkStart w:id="50" w:name="_Toc406403977"/>
              <w:bookmarkStart w:id="51" w:name="_Toc406509694"/>
              <w:r>
                <w:rPr>
                  <w:lang w:val="en-GB"/>
                </w:rPr>
                <w:t>GN ReSound (62% of sales, 64% of EBITA)</w:t>
              </w:r>
              <w:bookmarkEnd w:id="50"/>
              <w:bookmarkEnd w:id="51"/>
            </w:p>
            <w:p w:rsidR="007F3ED6" w:rsidRPr="00A3133B" w:rsidRDefault="007F3ED6" w:rsidP="007F3ED6">
              <w:pPr>
                <w:pStyle w:val="Heading2"/>
                <w:rPr>
                  <w:lang w:val="en-GB"/>
                </w:rPr>
              </w:pPr>
              <w:bookmarkStart w:id="52" w:name="_Toc406403978"/>
              <w:bookmarkStart w:id="53" w:name="_Toc406509695"/>
              <w:r w:rsidRPr="00843D64">
                <w:rPr>
                  <w:lang w:val="en-GB"/>
                </w:rPr>
                <w:t>EBITA margin should expand despite investments</w:t>
              </w:r>
              <w:bookmarkEnd w:id="52"/>
              <w:bookmarkEnd w:id="53"/>
            </w:p>
            <w:p w:rsidR="007F3ED6" w:rsidRPr="006C096B" w:rsidRDefault="007F3ED6" w:rsidP="007F3ED6">
              <w:pPr>
                <w:pStyle w:val="CIRBodyText"/>
                <w:rPr>
                  <w:lang w:val="en-GB"/>
                </w:rPr>
              </w:pPr>
              <w:r w:rsidRPr="00A3133B">
                <w:rPr>
                  <w:lang w:val="en-GB"/>
                </w:rPr>
                <w:t>GN’s hearing care business, ReSound generated 87% of sales from hearing aids and 13% from its hearing diagnostics business (Otometrics) in 2013. The business has a relatively strong share in North America, due largely to its Beltone franchise network (acquired in 2000) and due to the ReSound brand’s</w:t>
              </w:r>
              <w:r>
                <w:rPr>
                  <w:lang w:val="en-GB"/>
                </w:rPr>
                <w:t xml:space="preserve"> roots in the US (GN acquired ReSound in 1999).</w:t>
              </w:r>
            </w:p>
            <w:tbl>
              <w:tblPr>
                <w:tblStyle w:val="CIRTable"/>
                <w:tblW w:w="10220" w:type="dxa"/>
                <w:tblInd w:w="-3528" w:type="dxa"/>
                <w:tblLayout w:type="fixed"/>
                <w:tblLook w:val="04A0" w:firstRow="1" w:lastRow="0" w:firstColumn="1" w:lastColumn="0" w:noHBand="0" w:noVBand="1"/>
                <w:tblCaption w:val="dblChart"/>
              </w:tblPr>
              <w:tblGrid>
                <w:gridCol w:w="4992"/>
                <w:gridCol w:w="236"/>
                <w:gridCol w:w="4992"/>
              </w:tblGrid>
              <w:tr w:rsidR="007F3ED6" w:rsidTr="00326326">
                <w:trPr>
                  <w:cnfStyle w:val="100000000000" w:firstRow="1" w:lastRow="0" w:firstColumn="0" w:lastColumn="0" w:oddVBand="0" w:evenVBand="0" w:oddHBand="0" w:evenHBand="0" w:firstRowFirstColumn="0" w:firstRowLastColumn="0" w:lastRowFirstColumn="0" w:lastRowLastColumn="0"/>
                </w:trPr>
                <w:tc>
                  <w:tcPr>
                    <w:tcW w:w="4992" w:type="dxa"/>
                  </w:tcPr>
                  <w:p w:rsidR="007F3ED6" w:rsidRDefault="007F3ED6" w:rsidP="00326326">
                    <w:pPr>
                      <w:pStyle w:val="CIRCaption"/>
                    </w:pPr>
                    <w:r>
                      <w:t xml:space="preserve">Figure </w:t>
                    </w:r>
                    <w:fldSimple w:instr=" SEQ Figure \* ARABIC ">
                      <w:r>
                        <w:rPr>
                          <w:noProof/>
                        </w:rPr>
                        <w:t>24</w:t>
                      </w:r>
                    </w:fldSimple>
                    <w:r>
                      <w:t>. GN ReSound – Revenues by business*</w:t>
                    </w:r>
                  </w:p>
                </w:tc>
                <w:tc>
                  <w:tcPr>
                    <w:tcW w:w="236" w:type="dxa"/>
                  </w:tcPr>
                  <w:p w:rsidR="007F3ED6" w:rsidRDefault="007F3ED6" w:rsidP="00326326">
                    <w:pPr>
                      <w:pStyle w:val="CIRT-Left"/>
                    </w:pPr>
                  </w:p>
                </w:tc>
                <w:tc>
                  <w:tcPr>
                    <w:tcW w:w="4992" w:type="dxa"/>
                  </w:tcPr>
                  <w:p w:rsidR="007F3ED6" w:rsidRDefault="007F3ED6" w:rsidP="00326326">
                    <w:pPr>
                      <w:pStyle w:val="CIRCaption"/>
                    </w:pPr>
                    <w:r>
                      <w:t xml:space="preserve">Figure </w:t>
                    </w:r>
                    <w:fldSimple w:instr=" SEQ Figure \* ARABIC ">
                      <w:r>
                        <w:rPr>
                          <w:noProof/>
                        </w:rPr>
                        <w:t>25</w:t>
                      </w:r>
                    </w:fldSimple>
                    <w:r>
                      <w:t>. GN ReSound – Revenues by region*</w:t>
                    </w:r>
                  </w:p>
                </w:tc>
              </w:tr>
              <w:tr w:rsidR="007F3ED6" w:rsidRPr="006637A9" w:rsidTr="00326326">
                <w:tblPrEx>
                  <w:tblCellMar>
                    <w:left w:w="108" w:type="dxa"/>
                    <w:right w:w="108" w:type="dxa"/>
                  </w:tblCellMar>
                </w:tblPrEx>
                <w:trPr>
                  <w:cantSplit/>
                </w:trPr>
                <w:tc>
                  <w:tcPr>
                    <w:tcW w:w="4992" w:type="dxa"/>
                  </w:tcPr>
                  <w:p w:rsidR="007F3ED6" w:rsidRPr="006637A9" w:rsidRDefault="007F3ED6" w:rsidP="00326326">
                    <w:pPr>
                      <w:pStyle w:val="CIRFigure"/>
                    </w:pPr>
                    <w:r>
                      <w:rPr>
                        <w:noProof/>
                      </w:rPr>
                      <w:drawing>
                        <wp:inline distT="0" distB="0" distL="0" distR="0" wp14:anchorId="36502433" wp14:editId="3B898FAB">
                          <wp:extent cx="2327346" cy="2152974"/>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tc>
                <w:tc>
                  <w:tcPr>
                    <w:tcW w:w="236" w:type="dxa"/>
                  </w:tcPr>
                  <w:p w:rsidR="007F3ED6" w:rsidRPr="006637A9" w:rsidRDefault="007F3ED6" w:rsidP="00326326">
                    <w:pPr>
                      <w:pStyle w:val="CIRFigure"/>
                    </w:pPr>
                  </w:p>
                </w:tc>
                <w:tc>
                  <w:tcPr>
                    <w:tcW w:w="4992" w:type="dxa"/>
                  </w:tcPr>
                  <w:p w:rsidR="007F3ED6" w:rsidRPr="006637A9" w:rsidRDefault="007F3ED6" w:rsidP="00326326">
                    <w:pPr>
                      <w:pStyle w:val="CIRFigure"/>
                    </w:pPr>
                    <w:r>
                      <w:rPr>
                        <w:noProof/>
                      </w:rPr>
                      <w:drawing>
                        <wp:inline distT="0" distB="0" distL="0" distR="0" wp14:anchorId="2759767A" wp14:editId="2E22FA9E">
                          <wp:extent cx="2327346" cy="2152974"/>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tc>
              </w:tr>
              <w:tr w:rsidR="007F3ED6" w:rsidTr="00326326">
                <w:trPr>
                  <w:cantSplit/>
                </w:trPr>
                <w:tc>
                  <w:tcPr>
                    <w:tcW w:w="4992" w:type="dxa"/>
                  </w:tcPr>
                  <w:p w:rsidR="007F3ED6" w:rsidRDefault="007F3ED6" w:rsidP="00326326">
                    <w:pPr>
                      <w:pStyle w:val="CIRSourceNote"/>
                    </w:pPr>
                    <w:r>
                      <w:t xml:space="preserve">*2013.  Source: Company </w:t>
                    </w:r>
                    <w:r w:rsidRPr="00843D64">
                      <w:t>data, Citi Research</w:t>
                    </w:r>
                  </w:p>
                </w:tc>
                <w:tc>
                  <w:tcPr>
                    <w:tcW w:w="236" w:type="dxa"/>
                  </w:tcPr>
                  <w:p w:rsidR="007F3ED6" w:rsidRDefault="007F3ED6" w:rsidP="00326326">
                    <w:pPr>
                      <w:pStyle w:val="CIRSourceNote"/>
                    </w:pPr>
                  </w:p>
                </w:tc>
                <w:tc>
                  <w:tcPr>
                    <w:tcW w:w="4992" w:type="dxa"/>
                  </w:tcPr>
                  <w:p w:rsidR="007F3ED6" w:rsidRDefault="007F3ED6" w:rsidP="00326326">
                    <w:pPr>
                      <w:pStyle w:val="CIRSourceNote"/>
                    </w:pPr>
                    <w:r>
                      <w:t xml:space="preserve">*2013.  Source: Company </w:t>
                    </w:r>
                    <w:r w:rsidRPr="00843D64">
                      <w:t>data, Citi Research</w:t>
                    </w:r>
                  </w:p>
                </w:tc>
              </w:tr>
            </w:tbl>
            <w:p w:rsidR="007F3ED6" w:rsidRDefault="007F3ED6" w:rsidP="007F3ED6">
              <w:pPr>
                <w:pStyle w:val="Heading2"/>
                <w:rPr>
                  <w:lang w:val="en-GB"/>
                </w:rPr>
              </w:pPr>
            </w:p>
            <w:p w:rsidR="007F3ED6" w:rsidRDefault="007F3ED6" w:rsidP="007F3ED6">
              <w:pPr>
                <w:pStyle w:val="CIRBodyText"/>
                <w:rPr>
                  <w:lang w:val="en-GB"/>
                </w:rPr>
              </w:pPr>
              <w:r>
                <w:rPr>
                  <w:lang w:val="en-GB"/>
                </w:rPr>
                <w:t xml:space="preserve">As detailed previously, ReSound’s “SMART” restructuring programme led to a marked </w:t>
              </w:r>
              <w:r w:rsidRPr="007A738C">
                <w:rPr>
                  <w:lang w:val="en-GB"/>
                </w:rPr>
                <w:t xml:space="preserve">improvement in the business’ EBITA margin during 2012-13 </w:t>
              </w:r>
              <w:r w:rsidRPr="007A738C">
                <w:t>and the company now targets a margin in-line with its top-tier competitors (i.e. WDH and SOON) in 2014-16. We believe that in practice the target range is c20-25%, with the lo</w:t>
              </w:r>
              <w:r>
                <w:t xml:space="preserve">wer </w:t>
              </w:r>
              <w:r w:rsidRPr="007A738C">
                <w:t xml:space="preserve">end being ReSound’s and WDH’s consolidated EBITA margin in 2013 and </w:t>
              </w:r>
              <w:r>
                <w:t xml:space="preserve">the upper </w:t>
              </w:r>
              <w:r w:rsidRPr="007A738C">
                <w:t>end being SOON’s mid-term target Group EBITA margin.</w:t>
              </w:r>
            </w:p>
            <w:p w:rsidR="007F3ED6" w:rsidRDefault="007F3ED6" w:rsidP="007F3ED6">
              <w:pPr>
                <w:pStyle w:val="CIRBodyText"/>
                <w:rPr>
                  <w:lang w:val="en-GB"/>
                </w:rPr>
              </w:pPr>
              <w:r>
                <w:rPr>
                  <w:lang w:val="en-GB"/>
                </w:rPr>
                <w:t xml:space="preserve">While the top end of this range is theoretically achievable, given GN’s lower exposure to margin-dilutive </w:t>
              </w:r>
              <w:r w:rsidRPr="00BF1461">
                <w:rPr>
                  <w:lang w:val="en-GB"/>
                </w:rPr>
                <w:t xml:space="preserve">retail (discussed further </w:t>
              </w:r>
              <w:r>
                <w:rPr>
                  <w:lang w:val="en-GB"/>
                </w:rPr>
                <w:t xml:space="preserve">on p12), in </w:t>
              </w:r>
              <w:r w:rsidRPr="008C6408">
                <w:rPr>
                  <w:lang w:val="en-GB"/>
                </w:rPr>
                <w:t>our view, we believe that achieving a 25% EBITA margin would likely come at the expense of top-line growth. We n</w:t>
              </w:r>
              <w:r>
                <w:rPr>
                  <w:lang w:val="en-GB"/>
                </w:rPr>
                <w:t>ote that GN ReSound’s 2014-16 strategic initiatives clearly signal additional investments into the business to maintain recent market share gains:</w:t>
              </w:r>
            </w:p>
            <w:p w:rsidR="007F3ED6" w:rsidRPr="00BF1461" w:rsidRDefault="007F3ED6" w:rsidP="007F3ED6">
              <w:pPr>
                <w:pStyle w:val="CIRTextBullet"/>
                <w:numPr>
                  <w:ilvl w:val="0"/>
                  <w:numId w:val="1"/>
                </w:numPr>
                <w:rPr>
                  <w:lang w:val="en-GB"/>
                </w:rPr>
              </w:pPr>
              <w:r w:rsidRPr="00BF1461">
                <w:rPr>
                  <w:lang w:val="en-GB"/>
                </w:rPr>
                <w:t>Increase marketing and sales efforts</w:t>
              </w:r>
            </w:p>
            <w:p w:rsidR="007F3ED6" w:rsidRPr="00BF1461" w:rsidRDefault="007F3ED6" w:rsidP="007F3ED6">
              <w:pPr>
                <w:pStyle w:val="CIRTextBullet"/>
                <w:numPr>
                  <w:ilvl w:val="0"/>
                  <w:numId w:val="1"/>
                </w:numPr>
                <w:rPr>
                  <w:lang w:val="en-GB"/>
                </w:rPr>
              </w:pPr>
              <w:r w:rsidRPr="00BF1461">
                <w:rPr>
                  <w:lang w:val="en-GB"/>
                </w:rPr>
                <w:t>Gain preferred supplier status</w:t>
              </w:r>
            </w:p>
            <w:p w:rsidR="007F3ED6" w:rsidRPr="00BF1461" w:rsidRDefault="007F3ED6" w:rsidP="007F3ED6">
              <w:pPr>
                <w:pStyle w:val="CIRTextBullet"/>
                <w:numPr>
                  <w:ilvl w:val="0"/>
                  <w:numId w:val="1"/>
                </w:numPr>
                <w:rPr>
                  <w:lang w:val="en-GB"/>
                </w:rPr>
              </w:pPr>
              <w:r w:rsidRPr="00BF1461">
                <w:rPr>
                  <w:lang w:val="en-GB"/>
                </w:rPr>
                <w:t>Grow GN Otometrics into new channels and offerings</w:t>
              </w:r>
            </w:p>
            <w:p w:rsidR="007F3ED6" w:rsidRPr="00BF1461" w:rsidRDefault="007F3ED6" w:rsidP="007F3ED6">
              <w:pPr>
                <w:pStyle w:val="CIRTextBullet"/>
                <w:numPr>
                  <w:ilvl w:val="0"/>
                  <w:numId w:val="1"/>
                </w:numPr>
                <w:rPr>
                  <w:lang w:val="en-GB"/>
                </w:rPr>
              </w:pPr>
              <w:r w:rsidRPr="00BF1461">
                <w:rPr>
                  <w:lang w:val="en-GB"/>
                </w:rPr>
                <w:t>Accelerate innovative R&amp;D</w:t>
              </w:r>
            </w:p>
            <w:p w:rsidR="007F3ED6" w:rsidRPr="008C6408" w:rsidRDefault="007F3ED6" w:rsidP="007F3ED6">
              <w:pPr>
                <w:pStyle w:val="CIRTextBullet"/>
                <w:numPr>
                  <w:ilvl w:val="0"/>
                  <w:numId w:val="0"/>
                </w:numPr>
                <w:rPr>
                  <w:szCs w:val="18"/>
                </w:rPr>
              </w:pPr>
              <w:r w:rsidRPr="008C6408">
                <w:rPr>
                  <w:lang w:val="en-GB"/>
                </w:rPr>
                <w:t xml:space="preserve">In </w:t>
              </w:r>
              <w:r w:rsidRPr="00843D64">
                <w:rPr>
                  <w:lang w:val="en-GB"/>
                </w:rPr>
                <w:t>addition, we believe GN’s smaller scale vs SOON and WDH must also be taken into account (we estimate 14% wholesale mkt. share vs 26% and 20%, respectively). Hence, we believe GN could move towards the middle of this range and forecast a ReSound EBITA margin of 21.5% in</w:t>
              </w:r>
              <w:r w:rsidRPr="008C6408">
                <w:rPr>
                  <w:lang w:val="en-GB"/>
                </w:rPr>
                <w:t xml:space="preserve"> 2016E. </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5040" w:type="dxa"/>
                  </w:tcPr>
                  <w:p w:rsidR="007F3ED6" w:rsidRDefault="007F3ED6" w:rsidP="00326326">
                    <w:pPr>
                      <w:pStyle w:val="CIRCaption"/>
                    </w:pPr>
                    <w:r>
                      <w:t xml:space="preserve">Figure </w:t>
                    </w:r>
                    <w:fldSimple w:instr=" SEQ Figure \* ARABIC ">
                      <w:r>
                        <w:rPr>
                          <w:noProof/>
                        </w:rPr>
                        <w:t>26</w:t>
                      </w:r>
                    </w:fldSimple>
                    <w:r>
                      <w:t>. GN ReSound – Sales (DKrbn) and adj. EBITA margin</w:t>
                    </w:r>
                  </w:p>
                </w:tc>
                <w:tc>
                  <w:tcPr>
                    <w:tcW w:w="140" w:type="dxa"/>
                  </w:tcPr>
                  <w:p w:rsidR="007F3ED6" w:rsidRDefault="007F3ED6" w:rsidP="00326326">
                    <w:pPr>
                      <w:pStyle w:val="CIRT-Left"/>
                    </w:pPr>
                  </w:p>
                </w:tc>
                <w:tc>
                  <w:tcPr>
                    <w:tcW w:w="5040" w:type="dxa"/>
                  </w:tcPr>
                  <w:p w:rsidR="007F3ED6" w:rsidRDefault="007F3ED6" w:rsidP="00326326">
                    <w:pPr>
                      <w:pStyle w:val="CIRCaption"/>
                    </w:pPr>
                    <w:r>
                      <w:t xml:space="preserve">Figure </w:t>
                    </w:r>
                    <w:fldSimple w:instr=" SEQ Figure \* ARABIC ">
                      <w:r>
                        <w:rPr>
                          <w:noProof/>
                        </w:rPr>
                        <w:t>27</w:t>
                      </w:r>
                    </w:fldSimple>
                    <w:r>
                      <w:t>. GN ReSound – Organic sales growth</w:t>
                    </w:r>
                  </w:p>
                </w:tc>
              </w:tr>
              <w:tr w:rsidR="007F3ED6" w:rsidRPr="00A61D0D" w:rsidTr="00326326">
                <w:trPr>
                  <w:cantSplit/>
                </w:trPr>
                <w:tc>
                  <w:tcPr>
                    <w:tcW w:w="5040" w:type="dxa"/>
                  </w:tcPr>
                  <w:p w:rsidR="007F3ED6" w:rsidRPr="00A61D0D" w:rsidRDefault="007F3ED6" w:rsidP="00326326">
                    <w:pPr>
                      <w:pStyle w:val="CIRFigure"/>
                    </w:pPr>
                    <w:r>
                      <w:rPr>
                        <w:lang w:eastAsia="en-US"/>
                      </w:rPr>
                      <w:object w:dxaOrig="6600" w:dyaOrig="3720">
                        <v:shape id="_x0000_i1040" type="#_x0000_t75" style="width:252.1pt;height:141.9pt" o:ole="">
                          <v:imagedata r:id="rId61" o:title=""/>
                        </v:shape>
                        <o:OLEObject Type="Link" ProgID="Excel.SheetMacroEnabled.12" ShapeID="_x0000_i1040" DrawAspect="Content" r:id="rId62" UpdateMode="OnCall">
                          <o:LinkType>EnhancedMetaFile</o:LinkType>
                          <o:LockedField/>
                          <o:FieldCodes>\* MERGEFORMAT</o:FieldCodes>
                        </o:OLEObject>
                      </w:object>
                    </w:r>
                  </w:p>
                </w:tc>
                <w:tc>
                  <w:tcPr>
                    <w:tcW w:w="140" w:type="dxa"/>
                  </w:tcPr>
                  <w:p w:rsidR="007F3ED6" w:rsidRPr="00A61D0D" w:rsidRDefault="007F3ED6" w:rsidP="00326326">
                    <w:pPr>
                      <w:pStyle w:val="CIRFigure"/>
                    </w:pPr>
                  </w:p>
                </w:tc>
                <w:tc>
                  <w:tcPr>
                    <w:tcW w:w="5040" w:type="dxa"/>
                  </w:tcPr>
                  <w:p w:rsidR="007F3ED6" w:rsidRPr="00A61D0D" w:rsidRDefault="007F3ED6" w:rsidP="00326326">
                    <w:pPr>
                      <w:pStyle w:val="CIRFigure"/>
                    </w:pPr>
                    <w:r>
                      <w:rPr>
                        <w:lang w:eastAsia="en-US"/>
                      </w:rPr>
                      <w:object w:dxaOrig="6600" w:dyaOrig="3720">
                        <v:shape id="_x0000_i1041" type="#_x0000_t75" style="width:252.1pt;height:141.9pt" o:ole="">
                          <v:imagedata r:id="rId63" o:title=""/>
                        </v:shape>
                        <o:OLEObject Type="Link" ProgID="Excel.SheetMacroEnabled.12" ShapeID="_x0000_i1041" DrawAspect="Content" r:id="rId64" UpdateMode="OnCall">
                          <o:LinkType>EnhancedMetaFile</o:LinkType>
                          <o:LockedField/>
                          <o:FieldCodes>\* MERGEFORMAT</o:FieldCodes>
                        </o:OLEObject>
                      </w:object>
                    </w:r>
                  </w:p>
                </w:tc>
              </w:tr>
              <w:tr w:rsidR="007F3ED6" w:rsidTr="00326326">
                <w:trPr>
                  <w:cantSplit/>
                </w:trPr>
                <w:tc>
                  <w:tcPr>
                    <w:tcW w:w="5040" w:type="dxa"/>
                  </w:tcPr>
                  <w:p w:rsidR="007F3ED6" w:rsidRDefault="007F3ED6" w:rsidP="00326326">
                    <w:pPr>
                      <w:pStyle w:val="CIRSourceNote"/>
                    </w:pPr>
                    <w:r>
                      <w:t>Source: Company data, Citi Research estimates</w:t>
                    </w:r>
                  </w:p>
                </w:tc>
                <w:tc>
                  <w:tcPr>
                    <w:tcW w:w="140" w:type="dxa"/>
                  </w:tcPr>
                  <w:p w:rsidR="007F3ED6" w:rsidRDefault="007F3ED6" w:rsidP="00326326">
                    <w:pPr>
                      <w:pStyle w:val="CIRSourceNote"/>
                    </w:pPr>
                  </w:p>
                </w:tc>
                <w:tc>
                  <w:tcPr>
                    <w:tcW w:w="5040" w:type="dxa"/>
                  </w:tcPr>
                  <w:p w:rsidR="007F3ED6" w:rsidRDefault="007F3ED6" w:rsidP="00326326">
                    <w:pPr>
                      <w:pStyle w:val="CIRSourceNote"/>
                    </w:pPr>
                    <w:r>
                      <w:t>Source: Company data, Citi Research estimates</w:t>
                    </w:r>
                  </w:p>
                </w:tc>
              </w:tr>
            </w:tbl>
            <w:p w:rsidR="007F3ED6" w:rsidRPr="00C12107" w:rsidRDefault="007F3ED6" w:rsidP="007F3ED6">
              <w:pPr>
                <w:autoSpaceDE w:val="0"/>
                <w:autoSpaceDN w:val="0"/>
                <w:adjustRightInd w:val="0"/>
                <w:spacing w:line="240" w:lineRule="auto"/>
                <w:rPr>
                  <w:rFonts w:ascii="Gotham-Book" w:eastAsia="Gotham-Book" w:hAnsiTheme="minorHAnsi" w:cs="Gotham-Book"/>
                  <w:sz w:val="16"/>
                  <w:szCs w:val="16"/>
                  <w:lang w:val="en-GB"/>
                </w:rPr>
              </w:pPr>
            </w:p>
            <w:p w:rsidR="007F3ED6" w:rsidRDefault="007F3ED6" w:rsidP="007F3ED6">
              <w:pPr>
                <w:pStyle w:val="Heading2"/>
                <w:rPr>
                  <w:lang w:val="en-GB"/>
                </w:rPr>
              </w:pPr>
              <w:bookmarkStart w:id="54" w:name="_Toc406403979"/>
              <w:bookmarkStart w:id="55" w:name="_Toc406509696"/>
              <w:r>
                <w:rPr>
                  <w:lang w:val="en-GB"/>
                </w:rPr>
                <w:t>Hearing aids (54% of Group sales)</w:t>
              </w:r>
              <w:bookmarkEnd w:id="54"/>
              <w:bookmarkEnd w:id="55"/>
            </w:p>
            <w:p w:rsidR="007F3ED6" w:rsidRDefault="007F3ED6" w:rsidP="007F3ED6">
              <w:pPr>
                <w:pStyle w:val="CIRBodyText"/>
                <w:rPr>
                  <w:lang w:val="en-GB"/>
                </w:rPr>
              </w:pPr>
              <w:r>
                <w:rPr>
                  <w:lang w:val="en-GB"/>
                </w:rPr>
                <w:t xml:space="preserve">GN ReSound has a comparatively high market share in the US as it was built-up through the acquisitions of the US-based ReSound and Beltone brands (acquired in 1999 and 2000, respectively). On a worldwide basis, ReSound branded hearing aids </w:t>
              </w:r>
              <w:r w:rsidRPr="00974C6F">
                <w:rPr>
                  <w:lang w:val="en-GB"/>
                </w:rPr>
                <w:t>account for c75% of units, Beltone &gt;20%,</w:t>
              </w:r>
              <w:r>
                <w:rPr>
                  <w:lang w:val="en-GB"/>
                </w:rPr>
                <w:t xml:space="preserve"> with others (Interton, Danavox) &lt;5%. R&amp;D is shared </w:t>
              </w:r>
              <w:r w:rsidRPr="00F413FA">
                <w:rPr>
                  <w:lang w:val="en-GB"/>
                </w:rPr>
                <w:t>between brands, with Beltone hearing aids essentially being rebranded ReSound products</w:t>
              </w:r>
              <w:r>
                <w:rPr>
                  <w:lang w:val="en-GB"/>
                </w:rPr>
                <w:t xml:space="preserve">, while Interton and Danavox are “value” brand. </w:t>
              </w:r>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10220" w:type="dxa"/>
                  </w:tcPr>
                  <w:p w:rsidR="007F3ED6" w:rsidRDefault="007F3ED6" w:rsidP="00326326">
                    <w:pPr>
                      <w:pStyle w:val="CIRCaption"/>
                    </w:pPr>
                    <w:r>
                      <w:t xml:space="preserve">Figure </w:t>
                    </w:r>
                    <w:fldSimple w:instr=" SEQ Figure \* ARABIC ">
                      <w:r>
                        <w:rPr>
                          <w:noProof/>
                        </w:rPr>
                        <w:t>28</w:t>
                      </w:r>
                    </w:fldSimple>
                    <w:r>
                      <w:t>. GN ReSound – Hearing aid brands and positioning</w:t>
                    </w:r>
                  </w:p>
                </w:tc>
              </w:tr>
              <w:tr w:rsidR="007F3ED6" w:rsidTr="00326326">
                <w:trPr>
                  <w:trHeight w:val="160"/>
                </w:trPr>
                <w:tc>
                  <w:tcPr>
                    <w:tcW w:w="10220" w:type="dxa"/>
                  </w:tcPr>
                  <w:tbl>
                    <w:tblPr>
                      <w:tblStyle w:val="CIRTableNoLines"/>
                      <w:tblW w:w="10220" w:type="dxa"/>
                      <w:tblLayout w:type="fixed"/>
                      <w:tblLook w:val="04A0" w:firstRow="1" w:lastRow="0" w:firstColumn="1" w:lastColumn="0" w:noHBand="0" w:noVBand="1"/>
                      <w:tblCaption w:val="EmbedTable"/>
                      <w:tblDescription w:val="1|FullPage|0"/>
                    </w:tblPr>
                    <w:tblGrid>
                      <w:gridCol w:w="2520"/>
                      <w:gridCol w:w="7700"/>
                    </w:tblGrid>
                    <w:tr w:rsidR="007F3ED6" w:rsidRPr="00D64415" w:rsidTr="00326326">
                      <w:trPr>
                        <w:cnfStyle w:val="100000000000" w:firstRow="1" w:lastRow="0" w:firstColumn="0" w:lastColumn="0" w:oddVBand="0" w:evenVBand="0" w:oddHBand="0" w:evenHBand="0" w:firstRowFirstColumn="0" w:firstRowLastColumn="0" w:lastRowFirstColumn="0" w:lastRowLastColumn="0"/>
                      </w:trPr>
                      <w:tc>
                        <w:tcPr>
                          <w:tcW w:w="2520" w:type="dxa"/>
                          <w:tcBorders>
                            <w:top w:val="single" w:sz="4" w:space="0" w:color="FFFFFF"/>
                            <w:left w:val="single" w:sz="4" w:space="0" w:color="FFFFFF"/>
                            <w:bottom w:val="single" w:sz="4" w:space="0" w:color="FFFFFF"/>
                            <w:right w:val="single" w:sz="4" w:space="0" w:color="FFFFFF"/>
                          </w:tcBorders>
                          <w:shd w:val="clear" w:color="auto" w:fill="002D72"/>
                        </w:tcPr>
                        <w:p w:rsidR="007F3ED6" w:rsidRPr="00630D0B" w:rsidRDefault="007F3ED6" w:rsidP="00326326">
                          <w:pPr>
                            <w:pStyle w:val="CIRT-LeftBold"/>
                            <w:rPr>
                              <w:color w:val="FFFFFF"/>
                            </w:rPr>
                          </w:pPr>
                          <w:r w:rsidRPr="00630D0B">
                            <w:rPr>
                              <w:color w:val="FFFFFF"/>
                            </w:rPr>
                            <w:t>Brand</w:t>
                          </w:r>
                        </w:p>
                      </w:tc>
                      <w:tc>
                        <w:tcPr>
                          <w:tcW w:w="7700" w:type="dxa"/>
                          <w:tcBorders>
                            <w:top w:val="single" w:sz="4" w:space="0" w:color="FFFFFF"/>
                            <w:left w:val="single" w:sz="4" w:space="0" w:color="FFFFFF"/>
                            <w:bottom w:val="single" w:sz="4" w:space="0" w:color="FFFFFF"/>
                            <w:right w:val="single" w:sz="4" w:space="0" w:color="FFFFFF"/>
                          </w:tcBorders>
                          <w:shd w:val="clear" w:color="auto" w:fill="002D72"/>
                        </w:tcPr>
                        <w:p w:rsidR="007F3ED6" w:rsidRPr="00630D0B" w:rsidRDefault="007F3ED6" w:rsidP="00326326">
                          <w:pPr>
                            <w:pStyle w:val="CIRT-RightBold"/>
                            <w:jc w:val="left"/>
                            <w:rPr>
                              <w:color w:val="FFFFFF"/>
                            </w:rPr>
                          </w:pPr>
                          <w:r w:rsidRPr="00630D0B">
                            <w:rPr>
                              <w:color w:val="FFFFFF"/>
                            </w:rPr>
                            <w:t>Positioning</w:t>
                          </w:r>
                        </w:p>
                      </w:tc>
                    </w:tr>
                    <w:tr w:rsidR="007F3ED6" w:rsidRPr="00D64415" w:rsidTr="00326326">
                      <w:tc>
                        <w:tcPr>
                          <w:tcW w:w="2520" w:type="dxa"/>
                          <w:tcBorders>
                            <w:top w:val="single" w:sz="4" w:space="0" w:color="FFFFFF"/>
                          </w:tcBorders>
                          <w:shd w:val="clear" w:color="auto" w:fill="auto"/>
                        </w:tcPr>
                        <w:p w:rsidR="007F3ED6" w:rsidRPr="00D64415" w:rsidRDefault="007F3ED6" w:rsidP="00326326">
                          <w:pPr>
                            <w:pStyle w:val="CIRT-Left"/>
                          </w:pPr>
                          <w:r w:rsidRPr="00D64415">
                            <w:t>ReSound</w:t>
                          </w:r>
                        </w:p>
                      </w:tc>
                      <w:tc>
                        <w:tcPr>
                          <w:tcW w:w="7700" w:type="dxa"/>
                          <w:tcBorders>
                            <w:top w:val="single" w:sz="4" w:space="0" w:color="FFFFFF"/>
                          </w:tcBorders>
                          <w:shd w:val="clear" w:color="auto" w:fill="auto"/>
                        </w:tcPr>
                        <w:p w:rsidR="007F3ED6" w:rsidRPr="00D64415" w:rsidRDefault="007F3ED6" w:rsidP="00326326">
                          <w:pPr>
                            <w:pStyle w:val="CIRT-Right"/>
                            <w:jc w:val="left"/>
                          </w:pPr>
                          <w:r w:rsidRPr="00D64415">
                            <w:t>ReSound is the premium wholesale brand in the GN ReSound Group, sold in &gt;80 countries worldwide</w:t>
                          </w:r>
                        </w:p>
                      </w:tc>
                    </w:tr>
                    <w:tr w:rsidR="007F3ED6" w:rsidRPr="00D64415" w:rsidTr="00326326">
                      <w:tc>
                        <w:tcPr>
                          <w:tcW w:w="2520" w:type="dxa"/>
                          <w:shd w:val="clear" w:color="auto" w:fill="auto"/>
                        </w:tcPr>
                        <w:p w:rsidR="007F3ED6" w:rsidRPr="00D64415" w:rsidRDefault="007F3ED6" w:rsidP="00326326">
                          <w:pPr>
                            <w:pStyle w:val="CIRT-Left"/>
                          </w:pPr>
                          <w:r w:rsidRPr="00D64415">
                            <w:t>Beltone</w:t>
                          </w:r>
                        </w:p>
                      </w:tc>
                      <w:tc>
                        <w:tcPr>
                          <w:tcW w:w="7700" w:type="dxa"/>
                          <w:shd w:val="clear" w:color="auto" w:fill="auto"/>
                        </w:tcPr>
                        <w:p w:rsidR="007F3ED6" w:rsidRPr="00D64415" w:rsidRDefault="007F3ED6" w:rsidP="00326326">
                          <w:pPr>
                            <w:pStyle w:val="CIRT-Right"/>
                            <w:jc w:val="left"/>
                          </w:pPr>
                          <w:r w:rsidRPr="00D64415">
                            <w:t>Beltone is recognised as the retail brand (franchise) and in markets where differentiation</w:t>
                          </w:r>
                          <w:r>
                            <w:t xml:space="preserve"> is required it is also a comple</w:t>
                          </w:r>
                          <w:r w:rsidRPr="00D64415">
                            <w:t>mentary premium brand in addition to the ReSound brand. Beltone is sold in more &gt;50 countries worldwide</w:t>
                          </w:r>
                        </w:p>
                      </w:tc>
                    </w:tr>
                    <w:tr w:rsidR="007F3ED6" w:rsidRPr="00D64415" w:rsidTr="00326326">
                      <w:tc>
                        <w:tcPr>
                          <w:tcW w:w="2520" w:type="dxa"/>
                          <w:shd w:val="clear" w:color="auto" w:fill="auto"/>
                        </w:tcPr>
                        <w:p w:rsidR="007F3ED6" w:rsidRPr="00D64415" w:rsidRDefault="007F3ED6" w:rsidP="00326326">
                          <w:pPr>
                            <w:pStyle w:val="CIRT-Left"/>
                          </w:pPr>
                          <w:r w:rsidRPr="00D64415">
                            <w:t>Interton</w:t>
                          </w:r>
                        </w:p>
                      </w:tc>
                      <w:tc>
                        <w:tcPr>
                          <w:tcW w:w="7700" w:type="dxa"/>
                          <w:shd w:val="clear" w:color="auto" w:fill="auto"/>
                        </w:tcPr>
                        <w:p w:rsidR="007F3ED6" w:rsidRPr="00D64415" w:rsidRDefault="007F3ED6" w:rsidP="00326326">
                          <w:pPr>
                            <w:pStyle w:val="CIRT-Right"/>
                            <w:jc w:val="left"/>
                          </w:pPr>
                          <w:r w:rsidRPr="00D64415">
                            <w:t>Interton is the value brand in the Group and is sold in &gt;70 countries worldwide</w:t>
                          </w:r>
                        </w:p>
                      </w:tc>
                    </w:tr>
                  </w:tbl>
                  <w:p w:rsidR="007F3ED6" w:rsidRDefault="007F3ED6" w:rsidP="00326326">
                    <w:pPr>
                      <w:pStyle w:val="CIRMaster"/>
                      <w:spacing w:line="14" w:lineRule="auto"/>
                    </w:pPr>
                  </w:p>
                </w:tc>
              </w:tr>
              <w:tr w:rsidR="007F3ED6" w:rsidTr="00326326">
                <w:trPr>
                  <w:cantSplit/>
                </w:trPr>
                <w:tc>
                  <w:tcPr>
                    <w:tcW w:w="10220" w:type="dxa"/>
                  </w:tcPr>
                  <w:p w:rsidR="007F3ED6" w:rsidRDefault="007F3ED6" w:rsidP="00326326">
                    <w:pPr>
                      <w:pStyle w:val="CIRSourceNote"/>
                    </w:pPr>
                    <w:r>
                      <w:t xml:space="preserve">Source: Company </w:t>
                    </w:r>
                    <w:r w:rsidRPr="00843D64">
                      <w:t>data, Citi Research</w:t>
                    </w:r>
                  </w:p>
                </w:tc>
              </w:tr>
            </w:tbl>
            <w:p w:rsidR="007F3ED6" w:rsidRDefault="007F3ED6" w:rsidP="007F3ED6">
              <w:pPr>
                <w:pStyle w:val="CIRMaster"/>
                <w:rPr>
                  <w:lang w:val="en-GB"/>
                </w:rPr>
              </w:pPr>
            </w:p>
            <w:p w:rsidR="007F3ED6" w:rsidRDefault="007F3ED6" w:rsidP="007F3ED6">
              <w:pPr>
                <w:pStyle w:val="Heading3"/>
                <w:rPr>
                  <w:lang w:val="en-GB"/>
                </w:rPr>
              </w:pPr>
              <w:r>
                <w:rPr>
                  <w:lang w:val="en-GB"/>
                </w:rPr>
                <w:t>Limited vertical integration into owned retail…</w:t>
              </w:r>
            </w:p>
            <w:p w:rsidR="007F3ED6" w:rsidRPr="00843D64" w:rsidRDefault="007F3ED6" w:rsidP="007F3ED6">
              <w:pPr>
                <w:pStyle w:val="CIRBodyText"/>
                <w:rPr>
                  <w:lang w:val="en-GB"/>
                </w:rPr>
              </w:pPr>
              <w:r w:rsidRPr="00843D64">
                <w:t xml:space="preserve">GN generates a much lower proportion of hearing aid sales through owned retail operations than its main listed competitors (we estimate c.3% vs c.30% for SOON and WDH). </w:t>
              </w:r>
              <w:r w:rsidRPr="00843D64">
                <w:rPr>
                  <w:lang w:val="en-GB"/>
                </w:rPr>
                <w:t xml:space="preserve">Owned retail is generally margin-dilutive due to a high fixed-cost base and low productivity (the average audiologist sells only c1 hearing aid per day). </w:t>
              </w:r>
            </w:p>
            <w:p w:rsidR="007F3ED6" w:rsidRPr="00843D64" w:rsidRDefault="007F3ED6" w:rsidP="007F3ED6">
              <w:pPr>
                <w:pStyle w:val="CIRBodyText"/>
                <w:rPr>
                  <w:lang w:val="en-GB"/>
                </w:rPr>
              </w:pPr>
              <w:r w:rsidRPr="00843D64">
                <w:t xml:space="preserve">The company </w:t>
              </w:r>
              <w:r w:rsidRPr="00843D64">
                <w:rPr>
                  <w:lang w:val="en-GB"/>
                </w:rPr>
                <w:t>believes its strengths are as an innovative manufacturer of hearing aids and not as a retailer</w:t>
              </w:r>
              <w:r w:rsidRPr="00843D64">
                <w:t xml:space="preserve"> and also</w:t>
              </w:r>
              <w:r w:rsidRPr="00843D64">
                <w:rPr>
                  <w:lang w:val="en-GB"/>
                </w:rPr>
                <w:t xml:space="preserve"> does not wish to be seen to compete with its wholesale customers as this has occasionally led to customer losses for SOON and WDH. On occasion, however, GN is pressured to acquire retail operations if a significant wholesale customer is coming up to retirement and a competitor looks set to acquire the account (eg GN’s acquisition of Dansk HoreCenter in Sep 2013).    </w:t>
              </w:r>
            </w:p>
            <w:p w:rsidR="007F3ED6" w:rsidRPr="00843D64" w:rsidRDefault="007F3ED6" w:rsidP="007F3ED6">
              <w:pPr>
                <w:pStyle w:val="Heading3"/>
                <w:rPr>
                  <w:lang w:val="en-GB"/>
                </w:rPr>
              </w:pPr>
              <w:r w:rsidRPr="00843D64">
                <w:rPr>
                  <w:lang w:val="en-GB"/>
                </w:rPr>
                <w:t>…but Beltone franchise network shores-up US market share</w:t>
              </w:r>
            </w:p>
            <w:p w:rsidR="007F3ED6" w:rsidRPr="00BF1461" w:rsidRDefault="007F3ED6" w:rsidP="007F3ED6">
              <w:pPr>
                <w:pStyle w:val="CIRBodyText"/>
                <w:rPr>
                  <w:b/>
                  <w:lang w:val="en-GB"/>
                </w:rPr>
              </w:pPr>
              <w:r w:rsidRPr="00843D64">
                <w:rPr>
                  <w:lang w:val="en-GB"/>
                </w:rPr>
                <w:t>We estimate that the Beltone franchise system, which sells only Beltone branded hearing aids through &gt;1,500 stores, accounts for c40% of US sales (which are booked as per wholesale revenues). GN has close to 100% share-of-wallet in the Beltone network and, given this cannot be accessed by competitors, we believe it offers an under-appreciated defensive qual</w:t>
              </w:r>
              <w:r w:rsidRPr="00F314CD">
                <w:rPr>
                  <w:lang w:val="en-GB"/>
                </w:rPr>
                <w:t>ity to GN’s US business.</w:t>
              </w:r>
              <w:r>
                <w:rPr>
                  <w:lang w:val="en-GB"/>
                </w:rPr>
                <w:t xml:space="preserve"> </w:t>
              </w:r>
            </w:p>
            <w:p w:rsidR="007F3ED6" w:rsidRDefault="007F3ED6" w:rsidP="007F3ED6">
              <w:pPr>
                <w:pStyle w:val="Heading2"/>
                <w:rPr>
                  <w:lang w:val="en-GB"/>
                </w:rPr>
              </w:pPr>
              <w:bookmarkStart w:id="56" w:name="_Toc406403980"/>
              <w:bookmarkStart w:id="57" w:name="_Toc406509697"/>
              <w:r>
                <w:rPr>
                  <w:lang w:val="en-GB"/>
                </w:rPr>
                <w:t>iPhone connectivity a driver of market share gains</w:t>
              </w:r>
              <w:bookmarkEnd w:id="56"/>
              <w:bookmarkEnd w:id="57"/>
            </w:p>
            <w:p w:rsidR="007F3ED6" w:rsidRDefault="007F3ED6" w:rsidP="007F3ED6">
              <w:pPr>
                <w:pStyle w:val="CIRBodyText"/>
                <w:spacing w:after="120"/>
                <w:rPr>
                  <w:lang w:val="en-GB"/>
                </w:rPr>
              </w:pPr>
              <w:r w:rsidRPr="000D54A5">
                <w:rPr>
                  <w:lang w:val="en-GB"/>
                </w:rPr>
                <w:t>We believe GN’s recent market share gains have been driven by the superiority of its wireless connectivity vs competitors</w:t>
              </w:r>
              <w:r>
                <w:rPr>
                  <w:lang w:val="en-GB"/>
                </w:rPr>
                <w:t xml:space="preserve"> as well as generally improved sound quality and better customer service. </w:t>
              </w:r>
              <w:r w:rsidRPr="00F314CD">
                <w:rPr>
                  <w:lang w:val="en-GB"/>
                </w:rPr>
                <w:t>This has helped ReSound to gain share-of-wallet in large chains such as Amplifon and Costco as well as in independents and government channels such as the US Veteran’s Affairs (VA).</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5040" w:type="dxa"/>
                  </w:tcPr>
                  <w:p w:rsidR="007F3ED6" w:rsidRDefault="007F3ED6" w:rsidP="00326326">
                    <w:pPr>
                      <w:pStyle w:val="CIRCaption"/>
                    </w:pPr>
                    <w:r>
                      <w:t xml:space="preserve">Figure </w:t>
                    </w:r>
                    <w:fldSimple w:instr=" SEQ Figure \* ARABIC ">
                      <w:r>
                        <w:rPr>
                          <w:noProof/>
                        </w:rPr>
                        <w:t>29</w:t>
                      </w:r>
                    </w:fldSimple>
                    <w:r>
                      <w:t>. Wholesale hearing aid market shares, 2013</w:t>
                    </w:r>
                  </w:p>
                </w:tc>
                <w:tc>
                  <w:tcPr>
                    <w:tcW w:w="140" w:type="dxa"/>
                  </w:tcPr>
                  <w:p w:rsidR="007F3ED6" w:rsidRDefault="007F3ED6" w:rsidP="00326326">
                    <w:pPr>
                      <w:pStyle w:val="CIRT-Left"/>
                    </w:pPr>
                  </w:p>
                </w:tc>
                <w:tc>
                  <w:tcPr>
                    <w:tcW w:w="5040" w:type="dxa"/>
                  </w:tcPr>
                  <w:p w:rsidR="007F3ED6" w:rsidRDefault="007F3ED6" w:rsidP="00326326">
                    <w:pPr>
                      <w:pStyle w:val="CIRCaption"/>
                    </w:pPr>
                    <w:r>
                      <w:t xml:space="preserve">Figure </w:t>
                    </w:r>
                    <w:fldSimple w:instr=" SEQ Figure \* ARABIC ">
                      <w:r>
                        <w:rPr>
                          <w:noProof/>
                        </w:rPr>
                        <w:t>30</w:t>
                      </w:r>
                    </w:fldSimple>
                    <w:r>
                      <w:t xml:space="preserve">. GN ReSound has gained </w:t>
                    </w:r>
                    <w:r w:rsidRPr="00B00C6A">
                      <w:t>c3-4ppts</w:t>
                    </w:r>
                    <w:r>
                      <w:t xml:space="preserve"> of market share since 2011</w:t>
                    </w:r>
                  </w:p>
                </w:tc>
              </w:tr>
              <w:tr w:rsidR="007F3ED6" w:rsidRPr="00A34BF0" w:rsidTr="00326326">
                <w:trPr>
                  <w:cantSplit/>
                </w:trPr>
                <w:tc>
                  <w:tcPr>
                    <w:tcW w:w="5040" w:type="dxa"/>
                  </w:tcPr>
                  <w:p w:rsidR="007F3ED6" w:rsidRPr="00A34BF0" w:rsidRDefault="007F3ED6" w:rsidP="00326326">
                    <w:pPr>
                      <w:pStyle w:val="CIRFigure"/>
                    </w:pPr>
                    <w:r>
                      <w:rPr>
                        <w:lang w:eastAsia="en-US"/>
                      </w:rPr>
                      <w:object w:dxaOrig="2851" w:dyaOrig="2565">
                        <v:shape id="_x0000_i1042" type="#_x0000_t75" style="width:197.3pt;height:176.6pt" o:ole="">
                          <v:imagedata r:id="rId65" o:title=""/>
                        </v:shape>
                        <o:OLEObject Type="Link" ProgID="Excel.Sheet.12" ShapeID="_x0000_i1042" DrawAspect="Content" r:id="rId66" UpdateMode="OnCall">
                          <o:LinkType>EnhancedMetaFile</o:LinkType>
                          <o:LockedField/>
                          <o:FieldCodes>\* MERGEFORMAT</o:FieldCodes>
                        </o:OLEObject>
                      </w:object>
                    </w:r>
                  </w:p>
                </w:tc>
                <w:tc>
                  <w:tcPr>
                    <w:tcW w:w="140" w:type="dxa"/>
                  </w:tcPr>
                  <w:p w:rsidR="007F3ED6" w:rsidRPr="00A34BF0" w:rsidRDefault="007F3ED6" w:rsidP="00326326">
                    <w:pPr>
                      <w:pStyle w:val="CIRFigure"/>
                    </w:pPr>
                  </w:p>
                </w:tc>
                <w:tc>
                  <w:tcPr>
                    <w:tcW w:w="5040" w:type="dxa"/>
                  </w:tcPr>
                  <w:p w:rsidR="007F3ED6" w:rsidRPr="00A34BF0" w:rsidRDefault="007F3ED6" w:rsidP="00326326">
                    <w:pPr>
                      <w:pStyle w:val="CIRFigure"/>
                    </w:pPr>
                    <w:r>
                      <w:rPr>
                        <w:lang w:eastAsia="en-US"/>
                      </w:rPr>
                      <w:object w:dxaOrig="6796" w:dyaOrig="4651">
                        <v:shape id="_x0000_i1043" type="#_x0000_t75" style="width:252.15pt;height:172.8pt" o:ole="">
                          <v:imagedata r:id="rId67" o:title=""/>
                        </v:shape>
                        <o:OLEObject Type="Link" ProgID="Excel.Sheet.12" ShapeID="_x0000_i1043" DrawAspect="Content" r:id="rId68" UpdateMode="OnCall">
                          <o:LinkType>EnhancedMetaFile</o:LinkType>
                          <o:LockedField/>
                          <o:FieldCodes>\* MERGEFORMAT</o:FieldCodes>
                        </o:OLEObject>
                      </w:object>
                    </w:r>
                  </w:p>
                </w:tc>
              </w:tr>
              <w:tr w:rsidR="007F3ED6" w:rsidTr="00326326">
                <w:trPr>
                  <w:cantSplit/>
                </w:trPr>
                <w:tc>
                  <w:tcPr>
                    <w:tcW w:w="5040" w:type="dxa"/>
                  </w:tcPr>
                  <w:p w:rsidR="007F3ED6" w:rsidRDefault="007F3ED6" w:rsidP="00326326">
                    <w:pPr>
                      <w:pStyle w:val="CIRSourceNote"/>
                    </w:pPr>
                    <w:r>
                      <w:t xml:space="preserve">Source: Company </w:t>
                    </w:r>
                    <w:r w:rsidRPr="00843D64">
                      <w:t>data, Citi Research</w:t>
                    </w:r>
                  </w:p>
                </w:tc>
                <w:tc>
                  <w:tcPr>
                    <w:tcW w:w="140" w:type="dxa"/>
                  </w:tcPr>
                  <w:p w:rsidR="007F3ED6" w:rsidRDefault="007F3ED6" w:rsidP="00326326">
                    <w:pPr>
                      <w:pStyle w:val="CIRSourceNote"/>
                    </w:pPr>
                  </w:p>
                </w:tc>
                <w:tc>
                  <w:tcPr>
                    <w:tcW w:w="5040" w:type="dxa"/>
                  </w:tcPr>
                  <w:p w:rsidR="007F3ED6" w:rsidRDefault="007F3ED6" w:rsidP="00326326">
                    <w:pPr>
                      <w:pStyle w:val="CIRSourceNote"/>
                    </w:pPr>
                    <w:r>
                      <w:t>Note: Sonova data calendarised to Dec YE.</w:t>
                    </w:r>
                    <w:r>
                      <w:br/>
                      <w:t xml:space="preserve">Source: Company data, Citi Research estimates </w:t>
                    </w:r>
                  </w:p>
                </w:tc>
              </w:tr>
            </w:tbl>
            <w:p w:rsidR="007F3ED6" w:rsidRDefault="007F3ED6" w:rsidP="007F3ED6">
              <w:pPr>
                <w:pStyle w:val="CIRBodyText"/>
                <w:spacing w:after="0"/>
                <w:rPr>
                  <w:lang w:val="en-GB"/>
                </w:rPr>
              </w:pPr>
            </w:p>
            <w:p w:rsidR="007F3ED6" w:rsidRDefault="007F3ED6" w:rsidP="007F3ED6">
              <w:pPr>
                <w:pStyle w:val="CIRBodyText"/>
                <w:rPr>
                  <w:lang w:val="en-GB"/>
                </w:rPr>
              </w:pPr>
              <w:r>
                <w:rPr>
                  <w:lang w:val="en-GB"/>
                </w:rPr>
                <w:t xml:space="preserve">Since the introduction of ReSound Alera in 3Q10, GN’s hearing aids have used 2.4GHz wireless connectivity – the same frequency as WiFi and Bluetooth. The relatively long range of 2.4GHz wireless enables users to stream sound directly from TVs, Hi-Fis, iPhones (since </w:t>
              </w:r>
              <w:r w:rsidRPr="00843D64">
                <w:rPr>
                  <w:lang w:val="en-GB"/>
                </w:rPr>
                <w:t>the launch of LiNX in 1Q14), etc to their hearing aids without the need for an intermediate wireless streamer/remote control as required in SOON and WDH’s devices, the wireless</w:t>
              </w:r>
              <w:r>
                <w:rPr>
                  <w:lang w:val="en-GB"/>
                </w:rPr>
                <w:t xml:space="preserve"> systems of which use magnetic wireless with a frequency of &lt;15MHz as used in Telecoil systems, with a range of only c40cm. </w:t>
              </w:r>
            </w:p>
            <w:tbl>
              <w:tblPr>
                <w:tblStyle w:val="CIRTable"/>
                <w:tblW w:w="6700" w:type="dxa"/>
                <w:tblLayout w:type="fixed"/>
                <w:tblLook w:val="04A0" w:firstRow="1" w:lastRow="0" w:firstColumn="1" w:lastColumn="0" w:noHBand="0" w:noVBand="1"/>
                <w:tblDescription w:val="1|Body|0"/>
              </w:tblPr>
              <w:tblGrid>
                <w:gridCol w:w="6700"/>
              </w:tblGrid>
              <w:tr w:rsidR="007F3ED6" w:rsidTr="00326326">
                <w:trPr>
                  <w:cnfStyle w:val="100000000000" w:firstRow="1" w:lastRow="0" w:firstColumn="0" w:lastColumn="0" w:oddVBand="0" w:evenVBand="0" w:oddHBand="0" w:evenHBand="0" w:firstRowFirstColumn="0" w:firstRowLastColumn="0" w:lastRowFirstColumn="0" w:lastRowLastColumn="0"/>
                  <w:cantSplit/>
                </w:trPr>
                <w:tc>
                  <w:tcPr>
                    <w:tcW w:w="6700" w:type="dxa"/>
                  </w:tcPr>
                  <w:p w:rsidR="007F3ED6" w:rsidRDefault="007F3ED6" w:rsidP="00326326">
                    <w:pPr>
                      <w:pStyle w:val="CIRCaption"/>
                    </w:pPr>
                    <w:r>
                      <w:t xml:space="preserve">Figure </w:t>
                    </w:r>
                    <w:fldSimple w:instr=" SEQ Figure \* ARABIC ">
                      <w:r>
                        <w:rPr>
                          <w:noProof/>
                        </w:rPr>
                        <w:t>31</w:t>
                      </w:r>
                    </w:fldSimple>
                    <w:r>
                      <w:t xml:space="preserve">. GN ReSound – Key product launches vs hearing aid organic growth </w:t>
                    </w:r>
                  </w:p>
                </w:tc>
              </w:tr>
              <w:tr w:rsidR="007F3ED6" w:rsidTr="00326326">
                <w:trPr>
                  <w:cantSplit/>
                  <w:trHeight w:val="160"/>
                </w:trPr>
                <w:tc>
                  <w:tcPr>
                    <w:tcW w:w="6700" w:type="dxa"/>
                  </w:tcPr>
                  <w:p w:rsidR="007F3ED6" w:rsidRDefault="007F3ED6" w:rsidP="00326326">
                    <w:pPr>
                      <w:pStyle w:val="CIRFigure"/>
                    </w:pPr>
                    <w:r>
                      <w:rPr>
                        <w:lang w:eastAsia="en-US"/>
                      </w:rPr>
                      <w:object w:dxaOrig="8596" w:dyaOrig="2716">
                        <v:shape id="_x0000_i1044" type="#_x0000_t75" alt="CIRACHART" style="width:334.4pt;height:105.65pt" o:ole="">
                          <v:imagedata r:id="rId69" o:title=""/>
                        </v:shape>
                        <o:OLEObject Type="Link" ProgID="Excel.SheetMacroEnabled.12" ShapeID="_x0000_i1044" DrawAspect="Content" r:id="rId70" UpdateMode="OnCall">
                          <o:LinkType>EnhancedMetaFile</o:LinkType>
                          <o:LockedField/>
                          <o:FieldCodes>\* MERGEFORMAT</o:FieldCodes>
                        </o:OLEObject>
                      </w:object>
                    </w:r>
                  </w:p>
                </w:tc>
              </w:tr>
              <w:tr w:rsidR="007F3ED6" w:rsidTr="00326326">
                <w:trPr>
                  <w:cantSplit/>
                </w:trPr>
                <w:tc>
                  <w:tcPr>
                    <w:tcW w:w="6700" w:type="dxa"/>
                  </w:tcPr>
                  <w:p w:rsidR="007F3ED6" w:rsidRDefault="007F3ED6" w:rsidP="00326326">
                    <w:pPr>
                      <w:pStyle w:val="CIRSourceNote"/>
                    </w:pPr>
                    <w:r>
                      <w:t>Source: Company data, Citi Research estimates</w:t>
                    </w:r>
                  </w:p>
                </w:tc>
              </w:tr>
            </w:tbl>
            <w:p w:rsidR="007F3ED6" w:rsidRDefault="007F3ED6" w:rsidP="007F3ED6">
              <w:pPr>
                <w:pStyle w:val="CIRMaster"/>
                <w:rPr>
                  <w:lang w:val="en-GB"/>
                </w:rPr>
              </w:pPr>
            </w:p>
            <w:p w:rsidR="007F3ED6" w:rsidRDefault="007F3ED6" w:rsidP="007F3ED6">
              <w:pPr>
                <w:pStyle w:val="CIRBodyText"/>
                <w:rPr>
                  <w:lang w:val="en-GB"/>
                </w:rPr>
              </w:pPr>
              <w:r w:rsidRPr="00D3575A">
                <w:rPr>
                  <w:lang w:val="en-GB"/>
                </w:rPr>
                <w:t>The fact that a streamer</w:t>
              </w:r>
              <w:r>
                <w:rPr>
                  <w:lang w:val="en-GB"/>
                </w:rPr>
                <w:t xml:space="preserve">, which is </w:t>
              </w:r>
              <w:r w:rsidRPr="00D3575A">
                <w:rPr>
                  <w:lang w:val="en-GB"/>
                </w:rPr>
                <w:t>usually worn around the neck</w:t>
              </w:r>
              <w:r>
                <w:rPr>
                  <w:lang w:val="en-GB"/>
                </w:rPr>
                <w:t>,</w:t>
              </w:r>
              <w:r w:rsidRPr="00D3575A">
                <w:rPr>
                  <w:lang w:val="en-GB"/>
                </w:rPr>
                <w:t xml:space="preserve"> is not required </w:t>
              </w:r>
              <w:r>
                <w:rPr>
                  <w:lang w:val="en-GB"/>
                </w:rPr>
                <w:t xml:space="preserve">improves ease-of-use and </w:t>
              </w:r>
              <w:r w:rsidRPr="00D3575A">
                <w:rPr>
                  <w:lang w:val="en-GB"/>
                </w:rPr>
                <w:t xml:space="preserve">reduces </w:t>
              </w:r>
              <w:r w:rsidRPr="00843D64">
                <w:rPr>
                  <w:lang w:val="en-GB"/>
                </w:rPr>
                <w:t>the stigma of wearing a hearing aid. Moreover, the ability to stream sound directly from WiFi/Bluetooth devices has been shown in manufacturer surveys to be an attractive feature for end-users, particularly as a way for audiologists to attract first-time users in the 40-60 age bracket (albeit the magnitude of importance is disputed among the manufacturers</w:t>
              </w:r>
              <w:r w:rsidRPr="00D3575A">
                <w:rPr>
                  <w:lang w:val="en-GB"/>
                </w:rPr>
                <w:t xml:space="preserve">). </w:t>
              </w:r>
            </w:p>
            <w:p w:rsidR="007F3ED6" w:rsidRPr="00D3575A" w:rsidRDefault="007F3ED6" w:rsidP="007F3ED6">
              <w:pPr>
                <w:pStyle w:val="Heading2"/>
                <w:rPr>
                  <w:lang w:val="en-GB"/>
                </w:rPr>
              </w:pPr>
              <w:bookmarkStart w:id="58" w:name="_Toc406403981"/>
              <w:bookmarkStart w:id="59" w:name="_Toc406509698"/>
              <w:r>
                <w:rPr>
                  <w:lang w:val="en-GB"/>
                </w:rPr>
                <w:t>Technological advantage should last until at least 2016-17</w:t>
              </w:r>
              <w:bookmarkEnd w:id="58"/>
              <w:bookmarkEnd w:id="59"/>
            </w:p>
            <w:p w:rsidR="007F3ED6" w:rsidRDefault="007F3ED6" w:rsidP="007F3ED6">
              <w:pPr>
                <w:pStyle w:val="CIRBodyText"/>
                <w:rPr>
                  <w:lang w:val="en-GB"/>
                </w:rPr>
              </w:pPr>
              <w:r w:rsidRPr="008A2794">
                <w:rPr>
                  <w:lang w:val="en-GB"/>
                </w:rPr>
                <w:t xml:space="preserve">We believe knowledge from GN’s </w:t>
              </w:r>
              <w:r w:rsidRPr="00F314CD">
                <w:rPr>
                  <w:lang w:val="en-GB"/>
                </w:rPr>
                <w:t>headset division aided the development of 2.4GHz hearing aids and competitors have struggled to achieve satisfactory battery-life with the technology and to incorporate the slightly larger</w:t>
              </w:r>
              <w:r w:rsidRPr="008A2794">
                <w:rPr>
                  <w:lang w:val="en-GB"/>
                </w:rPr>
                <w:t xml:space="preserve"> antenna into an attractive product.</w:t>
              </w:r>
              <w:r>
                <w:rPr>
                  <w:lang w:val="en-GB"/>
                </w:rPr>
                <w:t xml:space="preserve"> Hence, GN’s main competitors have decided to work (along with GN) with the </w:t>
              </w:r>
              <w:r w:rsidRPr="008A2794">
                <w:rPr>
                  <w:lang w:val="en-GB"/>
                </w:rPr>
                <w:t>European Hearing Instrument Manufacturers Association (EHIMA)</w:t>
              </w:r>
              <w:r>
                <w:rPr>
                  <w:lang w:val="en-GB"/>
                </w:rPr>
                <w:t xml:space="preserve"> on the adoption of a standard </w:t>
              </w:r>
              <w:r w:rsidRPr="00843D64">
                <w:rPr>
                  <w:lang w:val="en-GB"/>
                </w:rPr>
                <w:t>Bluetooth Low Energy (LE) protocol. Feedback from the EUHA 2014 Congress suggests that this protocol is unlikely to be finalised until 2016-17, hence we believe GN should be able to continue to gain market share until at least this point in time.</w:t>
              </w:r>
            </w:p>
            <w:p w:rsidR="007F3ED6" w:rsidRPr="00663B53" w:rsidRDefault="007F3ED6" w:rsidP="007F3ED6">
              <w:pPr>
                <w:pStyle w:val="Heading2"/>
                <w:rPr>
                  <w:lang w:val="en-GB"/>
                </w:rPr>
              </w:pPr>
              <w:bookmarkStart w:id="60" w:name="_Toc406403982"/>
              <w:bookmarkStart w:id="61" w:name="_Toc406509699"/>
              <w:r>
                <w:rPr>
                  <w:lang w:val="en-GB"/>
                </w:rPr>
                <w:t>New VA contract – GN should maintain share gains</w:t>
              </w:r>
              <w:bookmarkEnd w:id="60"/>
              <w:bookmarkEnd w:id="61"/>
              <w:r>
                <w:rPr>
                  <w:lang w:val="en-GB"/>
                </w:rPr>
                <w:t xml:space="preserve"> </w:t>
              </w:r>
            </w:p>
            <w:p w:rsidR="007F3ED6" w:rsidRPr="00864D2D" w:rsidRDefault="007F3ED6" w:rsidP="007F3ED6">
              <w:pPr>
                <w:pStyle w:val="CIRBodyText"/>
              </w:pPr>
              <w:r>
                <w:t xml:space="preserve">Sonova’s market share at the </w:t>
              </w:r>
              <w:r w:rsidRPr="00E71B84">
                <w:t xml:space="preserve">US </w:t>
              </w:r>
              <w:r w:rsidRPr="001E5F7D">
                <w:t>Department of Veterans Affairs (c20% of</w:t>
              </w:r>
              <w:r>
                <w:t xml:space="preserve"> the US market) has fallen from </w:t>
              </w:r>
              <w:r w:rsidRPr="00F90F52">
                <w:t xml:space="preserve">56% in </w:t>
              </w:r>
              <w:r w:rsidRPr="00B00C6A">
                <w:t>August 2013 to 43% in October 2014</w:t>
              </w:r>
              <w:r>
                <w:t>,</w:t>
              </w:r>
              <w:r w:rsidRPr="00B00C6A">
                <w:t xml:space="preserve"> on</w:t>
              </w:r>
              <w:r>
                <w:t xml:space="preserve"> our estimates. This has been driven largely by Sonova having to rein back sales of the Phonak brand and attempt to substitute with the Unitron brand due to a cap inserted in the previous VA contract (expired of Oct ’14) that stipulated that a maximum of US$500mn of </w:t>
              </w:r>
              <w:r w:rsidRPr="00FC6CA4">
                <w:t xml:space="preserve">hearing aids could be bought from one supplier over the 5yr term of </w:t>
              </w:r>
              <w:r w:rsidRPr="00864D2D">
                <w:t xml:space="preserve">the contract (of note the new 5yr contract has a US$1.5bn limit). </w:t>
              </w:r>
            </w:p>
            <w:p w:rsidR="007F3ED6" w:rsidRPr="00864D2D" w:rsidRDefault="007F3ED6" w:rsidP="007F3ED6">
              <w:pPr>
                <w:pStyle w:val="Heading3"/>
              </w:pPr>
              <w:r w:rsidRPr="00864D2D">
                <w:t>Losing share gains would reduce hearing aid sales by &lt;1%</w:t>
              </w:r>
            </w:p>
            <w:p w:rsidR="007F3ED6" w:rsidRDefault="007F3ED6" w:rsidP="007F3ED6">
              <w:pPr>
                <w:pStyle w:val="CIRBodyText"/>
              </w:pPr>
              <w:r w:rsidRPr="00192205">
                <w:t>We estimate Sonova lost sales of cCHF18mn over the period of August 2013 to October 2014, assuming</w:t>
              </w:r>
              <w:r w:rsidRPr="00864D2D">
                <w:t xml:space="preserve"> market share would have remained around 56% in the absence of the cap</w:t>
              </w:r>
              <w:r>
                <w:t>,</w:t>
              </w:r>
              <w:r w:rsidRPr="00864D2D">
                <w:t xml:space="preserve"> and that GN gained &gt;25% of the share lost by Sonova, equivalent to cUS$5mn/DKK27mn of sales.</w:t>
              </w:r>
              <w:r>
                <w:t xml:space="preserve"> </w:t>
              </w:r>
            </w:p>
            <w:p w:rsidR="007F3ED6" w:rsidRDefault="007F3ED6" w:rsidP="007F3ED6">
              <w:pPr>
                <w:pStyle w:val="CIRBodyText"/>
                <w:tabs>
                  <w:tab w:val="left" w:pos="993"/>
                </w:tabs>
              </w:pPr>
              <w:r>
                <w:t xml:space="preserve">However, we believe that innovation drove some of its share gains, given GN’s market share jumped &gt;3ppts in May following the LiNX MFi hearing aid launch and that it is </w:t>
              </w:r>
              <w:r w:rsidRPr="00843D64">
                <w:t>therefore likely to maintain most of the share it has gained during this period. Indeed data from November (the first months of the new contract) show that GN’s share increase 20bp MoM to 12.3%, while Sonova’s fell 80bp MoM to 42%. New entrant to the VA Widex gained 80bp share in its first month.</w:t>
              </w:r>
            </w:p>
            <w:p w:rsidR="007F3ED6" w:rsidRDefault="007F3ED6" w:rsidP="007F3ED6">
              <w:pPr>
                <w:pStyle w:val="CIRBodyText"/>
                <w:tabs>
                  <w:tab w:val="left" w:pos="993"/>
                </w:tabs>
              </w:pPr>
              <w:r>
                <w:t xml:space="preserve">In a bearish scenario of Sonova’s VA market share returning the 56% level under the new contract, this would be a c70bp headwind to GN’s annualized hearing aid sales. </w:t>
              </w:r>
            </w:p>
            <w:tbl>
              <w:tblPr>
                <w:tblStyle w:val="CIRTable"/>
                <w:tblW w:w="6700" w:type="dxa"/>
                <w:tblLayout w:type="fixed"/>
                <w:tblLook w:val="04A0" w:firstRow="1" w:lastRow="0" w:firstColumn="1" w:lastColumn="0" w:noHBand="0" w:noVBand="1"/>
                <w:tblDescription w:val="1|Body|0"/>
              </w:tblPr>
              <w:tblGrid>
                <w:gridCol w:w="6700"/>
              </w:tblGrid>
              <w:tr w:rsidR="007F3ED6" w:rsidTr="00326326">
                <w:trPr>
                  <w:cnfStyle w:val="100000000000" w:firstRow="1" w:lastRow="0" w:firstColumn="0" w:lastColumn="0" w:oddVBand="0" w:evenVBand="0" w:oddHBand="0" w:evenHBand="0" w:firstRowFirstColumn="0" w:firstRowLastColumn="0" w:lastRowFirstColumn="0" w:lastRowLastColumn="0"/>
                  <w:cantSplit/>
                </w:trPr>
                <w:tc>
                  <w:tcPr>
                    <w:tcW w:w="6700" w:type="dxa"/>
                  </w:tcPr>
                  <w:p w:rsidR="007F3ED6" w:rsidRDefault="007F3ED6" w:rsidP="00326326">
                    <w:pPr>
                      <w:pStyle w:val="CIRCaption"/>
                    </w:pPr>
                    <w:r>
                      <w:t xml:space="preserve">Figure </w:t>
                    </w:r>
                    <w:fldSimple w:instr=" SEQ Figure \* ARABIC ">
                      <w:r>
                        <w:rPr>
                          <w:noProof/>
                        </w:rPr>
                        <w:t>32</w:t>
                      </w:r>
                    </w:fldSimple>
                    <w:r>
                      <w:t>. Sonova has lost VA market share, while GN has gained</w:t>
                    </w:r>
                  </w:p>
                </w:tc>
              </w:tr>
              <w:tr w:rsidR="007F3ED6" w:rsidTr="00326326">
                <w:trPr>
                  <w:cantSplit/>
                  <w:trHeight w:val="160"/>
                </w:trPr>
                <w:tc>
                  <w:tcPr>
                    <w:tcW w:w="6700" w:type="dxa"/>
                  </w:tcPr>
                  <w:p w:rsidR="007F3ED6" w:rsidRDefault="007F3ED6" w:rsidP="00326326">
                    <w:pPr>
                      <w:pStyle w:val="CIRFigure"/>
                    </w:pPr>
                    <w:r>
                      <w:rPr>
                        <w:lang w:eastAsia="en-US"/>
                      </w:rPr>
                      <w:object w:dxaOrig="6091" w:dyaOrig="3360">
                        <v:shape id="_x0000_i1045" type="#_x0000_t75" style="width:302.4pt;height:166.65pt" o:ole="">
                          <v:imagedata r:id="rId71" o:title=""/>
                        </v:shape>
                        <o:OLEObject Type="Link" ProgID="Excel.Sheet.12" ShapeID="_x0000_i1045" DrawAspect="Content" r:id="rId72" UpdateMode="OnCall">
                          <o:LinkType>EnhancedMetaFile</o:LinkType>
                          <o:LockedField/>
                          <o:FieldCodes>\* MERGEFORMAT</o:FieldCodes>
                        </o:OLEObject>
                      </w:object>
                    </w:r>
                  </w:p>
                </w:tc>
              </w:tr>
              <w:tr w:rsidR="007F3ED6" w:rsidTr="00326326">
                <w:trPr>
                  <w:cantSplit/>
                </w:trPr>
                <w:tc>
                  <w:tcPr>
                    <w:tcW w:w="6700" w:type="dxa"/>
                  </w:tcPr>
                  <w:p w:rsidR="007F3ED6" w:rsidRDefault="007F3ED6" w:rsidP="00326326">
                    <w:pPr>
                      <w:pStyle w:val="CIRSourceNote"/>
                    </w:pPr>
                    <w:r>
                      <w:t xml:space="preserve">Source:  </w:t>
                    </w:r>
                    <w:r w:rsidRPr="007B4683">
                      <w:t>US Department of Veterans Affairs</w:t>
                    </w:r>
                    <w:r>
                      <w:t xml:space="preserve"> data, Citi Research</w:t>
                    </w:r>
                  </w:p>
                </w:tc>
              </w:tr>
            </w:tbl>
            <w:p w:rsidR="007F3ED6" w:rsidRPr="009606AC" w:rsidRDefault="007F3ED6" w:rsidP="007F3ED6">
              <w:pPr>
                <w:pStyle w:val="Heading2"/>
                <w:rPr>
                  <w:lang w:val="en-GB"/>
                </w:rPr>
              </w:pPr>
              <w:bookmarkStart w:id="62" w:name="_Toc406403983"/>
              <w:bookmarkStart w:id="63" w:name="_Toc406509700"/>
              <w:r w:rsidRPr="009606AC">
                <w:rPr>
                  <w:lang w:val="en-GB"/>
                </w:rPr>
                <w:t>Upcoming Amplifon and Costco hearing aid contracts:</w:t>
              </w:r>
              <w:bookmarkEnd w:id="62"/>
              <w:bookmarkEnd w:id="63"/>
              <w:r w:rsidRPr="009606AC">
                <w:rPr>
                  <w:lang w:val="en-GB"/>
                </w:rPr>
                <w:t xml:space="preserve"> </w:t>
              </w:r>
            </w:p>
            <w:p w:rsidR="007F3ED6" w:rsidRPr="00894086" w:rsidRDefault="007F3ED6" w:rsidP="007F3ED6">
              <w:pPr>
                <w:pStyle w:val="Heading3"/>
                <w:rPr>
                  <w:lang w:val="en-GB"/>
                </w:rPr>
              </w:pPr>
              <w:r w:rsidRPr="009606AC">
                <w:rPr>
                  <w:lang w:val="en-GB"/>
                </w:rPr>
                <w:t xml:space="preserve">GN </w:t>
              </w:r>
              <w:r w:rsidRPr="00894086">
                <w:rPr>
                  <w:lang w:val="en-GB"/>
                </w:rPr>
                <w:t xml:space="preserve">has c3% of EPS at risk but only c1% probability-weighted </w:t>
              </w:r>
            </w:p>
            <w:p w:rsidR="007F3ED6" w:rsidRPr="00894086" w:rsidRDefault="007F3ED6" w:rsidP="007F3ED6">
              <w:pPr>
                <w:pStyle w:val="CIRBodyText"/>
                <w:rPr>
                  <w:lang w:val="en-GB"/>
                </w:rPr>
              </w:pPr>
              <w:r w:rsidRPr="00894086">
                <w:t>The upcoming contracts at large retail chains Amplifon and Costco were the subject of much discussion at the recent EUHA industry conference given their importance to the hearing aid manufacturers</w:t>
              </w:r>
              <w:r w:rsidRPr="00894086">
                <w:rPr>
                  <w:lang w:val="en-GB"/>
                </w:rPr>
                <w:t xml:space="preserve">. </w:t>
              </w:r>
            </w:p>
            <w:p w:rsidR="007F3ED6" w:rsidRDefault="007F3ED6" w:rsidP="007F3ED6">
              <w:pPr>
                <w:pStyle w:val="CIRBodyText"/>
                <w:rPr>
                  <w:b/>
                  <w:i/>
                  <w:lang w:val="en-GB"/>
                </w:rPr>
              </w:pPr>
              <w:r w:rsidRPr="00894086">
                <w:rPr>
                  <w:lang w:val="en-GB"/>
                </w:rPr>
                <w:t>If GN were to retain its Costco Kirkland Signature (KS) contract and win the Amplifon Miracle-Ear contract by the end of 1H15, we estimate this would be c3% accretive to annualised EPS, while, given our assumption that GN has a 50</w:t>
              </w:r>
              <w:r>
                <w:rPr>
                  <w:lang w:val="en-GB"/>
                </w:rPr>
                <w:t>% chance of retaining the KS contract and only a 10% chance of winning the Miracle-Ear contract, we estimate just over 1% EPS dilution on a probability-weighted basis.</w:t>
              </w:r>
              <w:r>
                <w:t xml:space="preserve"> </w:t>
              </w:r>
            </w:p>
            <w:tbl>
              <w:tblPr>
                <w:tblStyle w:val="CIRTable"/>
                <w:tblW w:w="6700" w:type="dxa"/>
                <w:tblLayout w:type="fixed"/>
                <w:tblLook w:val="04A0" w:firstRow="1" w:lastRow="0" w:firstColumn="1" w:lastColumn="0" w:noHBand="0" w:noVBand="1"/>
                <w:tblCaption w:val="EmbedTable"/>
                <w:tblDescription w:val="1|Body|0"/>
              </w:tblPr>
              <w:tblGrid>
                <w:gridCol w:w="670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6700" w:type="dxa"/>
                  </w:tcPr>
                  <w:p w:rsidR="007F3ED6" w:rsidRDefault="007F3ED6" w:rsidP="00326326">
                    <w:pPr>
                      <w:pStyle w:val="CIRCaption"/>
                    </w:pPr>
                    <w:r>
                      <w:t xml:space="preserve">Figure </w:t>
                    </w:r>
                    <w:fldSimple w:instr=" SEQ Figure \* ARABIC ">
                      <w:r>
                        <w:rPr>
                          <w:noProof/>
                        </w:rPr>
                        <w:t>33</w:t>
                      </w:r>
                    </w:fldSimple>
                    <w:r>
                      <w:t xml:space="preserve">. </w:t>
                    </w:r>
                    <w:r w:rsidRPr="00B3391A">
                      <w:t xml:space="preserve">Combined </w:t>
                    </w:r>
                    <w:r>
                      <w:t xml:space="preserve">Miracle-Ear and Kirkland Signature </w:t>
                    </w:r>
                    <w:r w:rsidRPr="00B3391A">
                      <w:t>contract sensitivity by company</w:t>
                    </w:r>
                  </w:p>
                </w:tc>
              </w:tr>
              <w:tr w:rsidR="007F3ED6" w:rsidTr="00326326">
                <w:trPr>
                  <w:trHeight w:val="160"/>
                </w:trPr>
                <w:tc>
                  <w:tcPr>
                    <w:tcW w:w="6700" w:type="dxa"/>
                  </w:tcPr>
                  <w:p w:rsidR="007F3ED6" w:rsidRDefault="007F3ED6" w:rsidP="00326326">
                    <w:pPr>
                      <w:pStyle w:val="CIRMaster"/>
                      <w:spacing w:line="14" w:lineRule="auto"/>
                      <w:rPr>
                        <w:rFonts w:asciiTheme="minorHAnsi" w:eastAsiaTheme="minorEastAsia" w:hAnsiTheme="minorHAnsi" w:cstheme="minorBidi"/>
                        <w:kern w:val="0"/>
                        <w:sz w:val="22"/>
                        <w:szCs w:val="22"/>
                        <w:lang w:eastAsia="en-US"/>
                      </w:rPr>
                    </w:pPr>
                    <w:r>
                      <w:fldChar w:fldCharType="begin" w:fldLock="1"/>
                    </w:r>
                    <w:r>
                      <w:instrText xml:space="preserve"> LINK Excel.Sheet.12 "\\\\ldnvnaseqr0006\\eqr_erpharma\\MEDTECH\\Market models &amp; data\\Hearing\\Hearing Aid Market Model (Citi).xlsx" "HA market!R165C2:R168C5" \f 4 \r  \* MERGEFORMAT</w:instrText>
                    </w:r>
                    <w:r>
                      <w:fldChar w:fldCharType="separate"/>
                    </w:r>
                  </w:p>
                  <w:tbl>
                    <w:tblPr>
                      <w:tblStyle w:val="CIRTableNoLines"/>
                      <w:tblW w:w="6700" w:type="dxa"/>
                      <w:tblLayout w:type="fixed"/>
                      <w:tblLook w:val="04A0" w:firstRow="1" w:lastRow="0" w:firstColumn="1" w:lastColumn="0" w:noHBand="0" w:noVBand="1"/>
                    </w:tblPr>
                    <w:tblGrid>
                      <w:gridCol w:w="2127"/>
                      <w:gridCol w:w="1307"/>
                      <w:gridCol w:w="1633"/>
                      <w:gridCol w:w="1633"/>
                    </w:tblGrid>
                    <w:tr w:rsidR="007F3ED6" w:rsidRPr="00AF3CCF" w:rsidTr="00326326">
                      <w:trPr>
                        <w:cnfStyle w:val="100000000000" w:firstRow="1" w:lastRow="0" w:firstColumn="0" w:lastColumn="0" w:oddVBand="0" w:evenVBand="0" w:oddHBand="0" w:evenHBand="0" w:firstRowFirstColumn="0" w:firstRowLastColumn="0" w:lastRowFirstColumn="0" w:lastRowLastColumn="0"/>
                      </w:trPr>
                      <w:tc>
                        <w:tcPr>
                          <w:tcW w:w="2127" w:type="dxa"/>
                          <w:tcBorders>
                            <w:top w:val="single" w:sz="4" w:space="0" w:color="FFFFFF"/>
                            <w:left w:val="single" w:sz="4" w:space="0" w:color="FFFFFF"/>
                            <w:bottom w:val="single" w:sz="4" w:space="0" w:color="FFFFFF"/>
                            <w:right w:val="single" w:sz="4" w:space="0" w:color="FFFFFF"/>
                          </w:tcBorders>
                          <w:shd w:val="clear" w:color="auto" w:fill="002D72"/>
                        </w:tcPr>
                        <w:p w:rsidR="007F3ED6" w:rsidRPr="00AF3CCF" w:rsidRDefault="007F3ED6" w:rsidP="00326326">
                          <w:pPr>
                            <w:pStyle w:val="CIRT-LeftBold"/>
                            <w:rPr>
                              <w:color w:val="FFFFFF"/>
                              <w:lang w:val="en-GB" w:eastAsia="en-GB"/>
                            </w:rPr>
                          </w:pPr>
                          <w:r w:rsidRPr="00AF3CCF">
                            <w:rPr>
                              <w:color w:val="FFFFFF"/>
                              <w:lang w:val="en-GB" w:eastAsia="en-GB"/>
                            </w:rPr>
                            <w:t>Annualised impact to adj. EPS</w:t>
                          </w:r>
                        </w:p>
                      </w:tc>
                      <w:tc>
                        <w:tcPr>
                          <w:tcW w:w="1307" w:type="dxa"/>
                          <w:tcBorders>
                            <w:top w:val="single" w:sz="4" w:space="0" w:color="FFFFFF"/>
                            <w:left w:val="single" w:sz="4" w:space="0" w:color="FFFFFF"/>
                            <w:bottom w:val="single" w:sz="4" w:space="0" w:color="FFFFFF"/>
                            <w:right w:val="single" w:sz="4" w:space="0" w:color="FFFFFF"/>
                          </w:tcBorders>
                          <w:shd w:val="clear" w:color="auto" w:fill="002D72"/>
                        </w:tcPr>
                        <w:p w:rsidR="007F3ED6" w:rsidRPr="00AF3CCF" w:rsidRDefault="007F3ED6" w:rsidP="00326326">
                          <w:pPr>
                            <w:pStyle w:val="CIRT-RightBold"/>
                            <w:jc w:val="center"/>
                            <w:rPr>
                              <w:color w:val="FFFFFF"/>
                              <w:lang w:val="en-GB" w:eastAsia="en-GB"/>
                            </w:rPr>
                          </w:pPr>
                          <w:r w:rsidRPr="00AF3CCF">
                            <w:rPr>
                              <w:color w:val="FFFFFF"/>
                              <w:lang w:val="en-GB" w:eastAsia="en-GB"/>
                            </w:rPr>
                            <w:t>GN</w:t>
                          </w:r>
                        </w:p>
                      </w:tc>
                      <w:tc>
                        <w:tcPr>
                          <w:tcW w:w="1633" w:type="dxa"/>
                          <w:tcBorders>
                            <w:top w:val="single" w:sz="4" w:space="0" w:color="FFFFFF"/>
                            <w:left w:val="single" w:sz="4" w:space="0" w:color="FFFFFF"/>
                            <w:bottom w:val="single" w:sz="4" w:space="0" w:color="FFFFFF"/>
                            <w:right w:val="single" w:sz="4" w:space="0" w:color="FFFFFF"/>
                          </w:tcBorders>
                          <w:shd w:val="clear" w:color="auto" w:fill="002D72"/>
                        </w:tcPr>
                        <w:p w:rsidR="007F3ED6" w:rsidRPr="00AF3CCF" w:rsidRDefault="007F3ED6" w:rsidP="00326326">
                          <w:pPr>
                            <w:pStyle w:val="CIRT-RightBold"/>
                            <w:jc w:val="center"/>
                            <w:rPr>
                              <w:color w:val="FFFFFF"/>
                              <w:lang w:val="en-GB" w:eastAsia="en-GB"/>
                            </w:rPr>
                          </w:pPr>
                          <w:r w:rsidRPr="00AF3CCF">
                            <w:rPr>
                              <w:color w:val="FFFFFF"/>
                              <w:lang w:val="en-GB" w:eastAsia="en-GB"/>
                            </w:rPr>
                            <w:t>SOON</w:t>
                          </w:r>
                        </w:p>
                      </w:tc>
                      <w:tc>
                        <w:tcPr>
                          <w:tcW w:w="1633" w:type="dxa"/>
                          <w:tcBorders>
                            <w:top w:val="single" w:sz="4" w:space="0" w:color="FFFFFF"/>
                            <w:left w:val="single" w:sz="4" w:space="0" w:color="FFFFFF"/>
                            <w:bottom w:val="single" w:sz="4" w:space="0" w:color="FFFFFF"/>
                            <w:right w:val="single" w:sz="4" w:space="0" w:color="FFFFFF"/>
                          </w:tcBorders>
                          <w:shd w:val="clear" w:color="auto" w:fill="002D72"/>
                        </w:tcPr>
                        <w:p w:rsidR="007F3ED6" w:rsidRPr="00AF3CCF" w:rsidRDefault="007F3ED6" w:rsidP="00326326">
                          <w:pPr>
                            <w:pStyle w:val="CIRT-RightBold"/>
                            <w:jc w:val="center"/>
                            <w:rPr>
                              <w:color w:val="FFFFFF"/>
                              <w:lang w:val="en-GB" w:eastAsia="en-GB"/>
                            </w:rPr>
                          </w:pPr>
                          <w:r w:rsidRPr="00AF3CCF">
                            <w:rPr>
                              <w:color w:val="FFFFFF"/>
                              <w:lang w:val="en-GB" w:eastAsia="en-GB"/>
                            </w:rPr>
                            <w:t>WDH</w:t>
                          </w:r>
                        </w:p>
                      </w:tc>
                    </w:tr>
                    <w:tr w:rsidR="007F3ED6" w:rsidRPr="00AF3CCF" w:rsidTr="00326326">
                      <w:tc>
                        <w:tcPr>
                          <w:tcW w:w="2127" w:type="dxa"/>
                          <w:tcBorders>
                            <w:top w:val="single" w:sz="4" w:space="0" w:color="FFFFFF"/>
                          </w:tcBorders>
                          <w:shd w:val="clear" w:color="auto" w:fill="auto"/>
                        </w:tcPr>
                        <w:p w:rsidR="007F3ED6" w:rsidRPr="00AF3CCF" w:rsidRDefault="007F3ED6" w:rsidP="00326326">
                          <w:pPr>
                            <w:pStyle w:val="CIRT-Left"/>
                            <w:rPr>
                              <w:lang w:val="en-GB" w:eastAsia="en-GB"/>
                            </w:rPr>
                          </w:pPr>
                          <w:r w:rsidRPr="00AF3CCF">
                            <w:rPr>
                              <w:lang w:val="en-GB" w:eastAsia="en-GB"/>
                            </w:rPr>
                            <w:t>Probability adjusted scenario</w:t>
                          </w:r>
                        </w:p>
                      </w:tc>
                      <w:tc>
                        <w:tcPr>
                          <w:tcW w:w="1307" w:type="dxa"/>
                          <w:tcBorders>
                            <w:top w:val="single" w:sz="4" w:space="0" w:color="FFFFFF"/>
                          </w:tcBorders>
                          <w:shd w:val="clear" w:color="auto" w:fill="auto"/>
                        </w:tcPr>
                        <w:p w:rsidR="007F3ED6" w:rsidRPr="00AF3CCF" w:rsidRDefault="007F3ED6" w:rsidP="00326326">
                          <w:pPr>
                            <w:pStyle w:val="CIRT-Right"/>
                            <w:jc w:val="center"/>
                            <w:rPr>
                              <w:b/>
                              <w:lang w:val="en-GB" w:eastAsia="en-GB"/>
                            </w:rPr>
                          </w:pPr>
                          <w:r w:rsidRPr="00AF3CCF">
                            <w:rPr>
                              <w:b/>
                              <w:lang w:val="en-GB" w:eastAsia="en-GB"/>
                            </w:rPr>
                            <w:t>-1.1%</w:t>
                          </w:r>
                        </w:p>
                      </w:tc>
                      <w:tc>
                        <w:tcPr>
                          <w:tcW w:w="1633" w:type="dxa"/>
                          <w:tcBorders>
                            <w:top w:val="single" w:sz="4" w:space="0" w:color="FFFFFF"/>
                          </w:tcBorders>
                          <w:shd w:val="clear" w:color="auto" w:fill="auto"/>
                        </w:tcPr>
                        <w:p w:rsidR="007F3ED6" w:rsidRPr="00AF3CCF" w:rsidRDefault="007F3ED6" w:rsidP="00326326">
                          <w:pPr>
                            <w:pStyle w:val="CIRT-Right"/>
                            <w:jc w:val="center"/>
                            <w:rPr>
                              <w:lang w:val="en-GB" w:eastAsia="en-GB"/>
                            </w:rPr>
                          </w:pPr>
                          <w:r w:rsidRPr="00AF3CCF">
                            <w:rPr>
                              <w:lang w:val="en-GB" w:eastAsia="en-GB"/>
                            </w:rPr>
                            <w:t>0.5%</w:t>
                          </w:r>
                        </w:p>
                      </w:tc>
                      <w:tc>
                        <w:tcPr>
                          <w:tcW w:w="1633" w:type="dxa"/>
                          <w:tcBorders>
                            <w:top w:val="single" w:sz="4" w:space="0" w:color="FFFFFF"/>
                          </w:tcBorders>
                          <w:shd w:val="clear" w:color="auto" w:fill="auto"/>
                        </w:tcPr>
                        <w:p w:rsidR="007F3ED6" w:rsidRPr="00AF3CCF" w:rsidRDefault="007F3ED6" w:rsidP="00326326">
                          <w:pPr>
                            <w:pStyle w:val="CIRT-Right"/>
                            <w:jc w:val="center"/>
                            <w:rPr>
                              <w:lang w:val="en-GB" w:eastAsia="en-GB"/>
                            </w:rPr>
                          </w:pPr>
                          <w:r w:rsidRPr="00AF3CCF">
                            <w:rPr>
                              <w:lang w:val="en-GB" w:eastAsia="en-GB"/>
                            </w:rPr>
                            <w:t>0.8%</w:t>
                          </w:r>
                        </w:p>
                      </w:tc>
                    </w:tr>
                    <w:tr w:rsidR="007F3ED6" w:rsidRPr="00AF3CCF" w:rsidTr="00326326">
                      <w:tc>
                        <w:tcPr>
                          <w:tcW w:w="2127" w:type="dxa"/>
                          <w:shd w:val="clear" w:color="auto" w:fill="auto"/>
                        </w:tcPr>
                        <w:p w:rsidR="007F3ED6" w:rsidRPr="00AF3CCF" w:rsidRDefault="007F3ED6" w:rsidP="00326326">
                          <w:pPr>
                            <w:pStyle w:val="CIRT-Left"/>
                            <w:rPr>
                              <w:lang w:val="en-GB" w:eastAsia="en-GB"/>
                            </w:rPr>
                          </w:pPr>
                          <w:r w:rsidRPr="00AF3CCF">
                            <w:rPr>
                              <w:lang w:val="en-GB" w:eastAsia="en-GB"/>
                            </w:rPr>
                            <w:t>Best case scenario (Win both)</w:t>
                          </w:r>
                        </w:p>
                      </w:tc>
                      <w:tc>
                        <w:tcPr>
                          <w:tcW w:w="1307" w:type="dxa"/>
                          <w:shd w:val="clear" w:color="auto" w:fill="auto"/>
                        </w:tcPr>
                        <w:p w:rsidR="007F3ED6" w:rsidRPr="00AF3CCF" w:rsidRDefault="007F3ED6" w:rsidP="00326326">
                          <w:pPr>
                            <w:pStyle w:val="CIRT-Right"/>
                            <w:jc w:val="center"/>
                            <w:rPr>
                              <w:b/>
                              <w:lang w:val="en-GB" w:eastAsia="en-GB"/>
                            </w:rPr>
                          </w:pPr>
                          <w:r w:rsidRPr="00AF3CCF">
                            <w:rPr>
                              <w:b/>
                              <w:lang w:val="en-GB" w:eastAsia="en-GB"/>
                            </w:rPr>
                            <w:t>3.2%</w:t>
                          </w:r>
                        </w:p>
                      </w:tc>
                      <w:tc>
                        <w:tcPr>
                          <w:tcW w:w="1633" w:type="dxa"/>
                          <w:shd w:val="clear" w:color="auto" w:fill="auto"/>
                        </w:tcPr>
                        <w:p w:rsidR="007F3ED6" w:rsidRPr="00AF3CCF" w:rsidRDefault="007F3ED6" w:rsidP="00326326">
                          <w:pPr>
                            <w:pStyle w:val="CIRT-Right"/>
                            <w:jc w:val="center"/>
                            <w:rPr>
                              <w:lang w:val="en-GB" w:eastAsia="en-GB"/>
                            </w:rPr>
                          </w:pPr>
                          <w:r w:rsidRPr="00AF3CCF">
                            <w:rPr>
                              <w:lang w:val="en-GB" w:eastAsia="en-GB"/>
                            </w:rPr>
                            <w:t>2.7%</w:t>
                          </w:r>
                        </w:p>
                      </w:tc>
                      <w:tc>
                        <w:tcPr>
                          <w:tcW w:w="1633" w:type="dxa"/>
                          <w:shd w:val="clear" w:color="auto" w:fill="auto"/>
                        </w:tcPr>
                        <w:p w:rsidR="007F3ED6" w:rsidRPr="00AF3CCF" w:rsidRDefault="007F3ED6" w:rsidP="00326326">
                          <w:pPr>
                            <w:pStyle w:val="CIRT-Right"/>
                            <w:jc w:val="center"/>
                            <w:rPr>
                              <w:lang w:val="en-GB" w:eastAsia="en-GB"/>
                            </w:rPr>
                          </w:pPr>
                          <w:r w:rsidRPr="00AF3CCF">
                            <w:rPr>
                              <w:lang w:val="en-GB" w:eastAsia="en-GB"/>
                            </w:rPr>
                            <w:t>4.0%</w:t>
                          </w:r>
                        </w:p>
                      </w:tc>
                    </w:tr>
                    <w:tr w:rsidR="007F3ED6" w:rsidRPr="00AF3CCF" w:rsidTr="00326326">
                      <w:tc>
                        <w:tcPr>
                          <w:tcW w:w="2127" w:type="dxa"/>
                          <w:shd w:val="clear" w:color="auto" w:fill="auto"/>
                        </w:tcPr>
                        <w:p w:rsidR="007F3ED6" w:rsidRPr="00AF3CCF" w:rsidRDefault="007F3ED6" w:rsidP="00326326">
                          <w:pPr>
                            <w:pStyle w:val="CIRT-Left"/>
                            <w:rPr>
                              <w:lang w:val="en-GB" w:eastAsia="en-GB"/>
                            </w:rPr>
                          </w:pPr>
                          <w:r w:rsidRPr="00AF3CCF">
                            <w:rPr>
                              <w:lang w:val="en-GB" w:eastAsia="en-GB"/>
                            </w:rPr>
                            <w:t>Worst case scenario (Lose both)</w:t>
                          </w:r>
                        </w:p>
                      </w:tc>
                      <w:tc>
                        <w:tcPr>
                          <w:tcW w:w="1307" w:type="dxa"/>
                          <w:shd w:val="clear" w:color="auto" w:fill="auto"/>
                        </w:tcPr>
                        <w:p w:rsidR="007F3ED6" w:rsidRPr="00AF3CCF" w:rsidRDefault="007F3ED6" w:rsidP="00326326">
                          <w:pPr>
                            <w:pStyle w:val="CIRT-Right"/>
                            <w:jc w:val="center"/>
                            <w:rPr>
                              <w:b/>
                              <w:lang w:val="en-GB" w:eastAsia="en-GB"/>
                            </w:rPr>
                          </w:pPr>
                          <w:r w:rsidRPr="00AF3CCF">
                            <w:rPr>
                              <w:b/>
                              <w:lang w:val="en-GB" w:eastAsia="en-GB"/>
                            </w:rPr>
                            <w:t>-2.8%</w:t>
                          </w:r>
                        </w:p>
                      </w:tc>
                      <w:tc>
                        <w:tcPr>
                          <w:tcW w:w="1633" w:type="dxa"/>
                          <w:shd w:val="clear" w:color="auto" w:fill="auto"/>
                        </w:tcPr>
                        <w:p w:rsidR="007F3ED6" w:rsidRPr="00AF3CCF" w:rsidRDefault="007F3ED6" w:rsidP="00326326">
                          <w:pPr>
                            <w:pStyle w:val="CIRT-Right"/>
                            <w:jc w:val="center"/>
                            <w:rPr>
                              <w:lang w:val="en-GB" w:eastAsia="en-GB"/>
                            </w:rPr>
                          </w:pPr>
                          <w:r w:rsidRPr="00AF3CCF">
                            <w:rPr>
                              <w:lang w:val="en-GB" w:eastAsia="en-GB"/>
                            </w:rPr>
                            <w:t>0.0%</w:t>
                          </w:r>
                        </w:p>
                      </w:tc>
                      <w:tc>
                        <w:tcPr>
                          <w:tcW w:w="1633" w:type="dxa"/>
                          <w:shd w:val="clear" w:color="auto" w:fill="auto"/>
                        </w:tcPr>
                        <w:p w:rsidR="007F3ED6" w:rsidRPr="00AF3CCF" w:rsidRDefault="007F3ED6" w:rsidP="00326326">
                          <w:pPr>
                            <w:pStyle w:val="CIRT-Right"/>
                            <w:jc w:val="center"/>
                            <w:rPr>
                              <w:lang w:val="en-GB" w:eastAsia="en-GB"/>
                            </w:rPr>
                          </w:pPr>
                          <w:r w:rsidRPr="00AF3CCF">
                            <w:rPr>
                              <w:lang w:val="en-GB" w:eastAsia="en-GB"/>
                            </w:rPr>
                            <w:t>0.0%</w:t>
                          </w:r>
                        </w:p>
                      </w:tc>
                    </w:tr>
                  </w:tbl>
                  <w:p w:rsidR="007F3ED6" w:rsidRDefault="007F3ED6" w:rsidP="00326326">
                    <w:pPr>
                      <w:pStyle w:val="CIRMaster"/>
                      <w:spacing w:line="14" w:lineRule="auto"/>
                    </w:pPr>
                    <w:r>
                      <w:fldChar w:fldCharType="end"/>
                    </w:r>
                  </w:p>
                </w:tc>
              </w:tr>
              <w:tr w:rsidR="007F3ED6" w:rsidTr="00326326">
                <w:trPr>
                  <w:cantSplit/>
                </w:trPr>
                <w:tc>
                  <w:tcPr>
                    <w:tcW w:w="6700" w:type="dxa"/>
                  </w:tcPr>
                  <w:p w:rsidR="007F3ED6" w:rsidRDefault="007F3ED6" w:rsidP="00326326">
                    <w:pPr>
                      <w:pStyle w:val="CIRSourceNote"/>
                    </w:pPr>
                    <w:r>
                      <w:t>Source: Citi Research estimates</w:t>
                    </w:r>
                  </w:p>
                </w:tc>
              </w:tr>
            </w:tbl>
            <w:p w:rsidR="007F3ED6" w:rsidRDefault="007F3ED6" w:rsidP="007F3ED6">
              <w:pPr>
                <w:pStyle w:val="CIRBodyText"/>
              </w:pPr>
              <w:r w:rsidRPr="00B3391A">
                <w:rPr>
                  <w:b/>
                  <w:i/>
                  <w:lang w:val="en-GB"/>
                </w:rPr>
                <w:t xml:space="preserve">Please see </w:t>
              </w:r>
              <w:r>
                <w:rPr>
                  <w:b/>
                  <w:i/>
                  <w:lang w:val="en-GB"/>
                </w:rPr>
                <w:t xml:space="preserve">text below and </w:t>
              </w:r>
              <w:r w:rsidRPr="00B3391A">
                <w:rPr>
                  <w:b/>
                  <w:i/>
                  <w:lang w:val="en-GB"/>
                </w:rPr>
                <w:t xml:space="preserve">the Appendix for </w:t>
              </w:r>
              <w:r>
                <w:rPr>
                  <w:b/>
                  <w:i/>
                  <w:lang w:val="en-GB"/>
                </w:rPr>
                <w:t xml:space="preserve">a full breakdown of </w:t>
              </w:r>
              <w:r w:rsidRPr="00B3391A">
                <w:rPr>
                  <w:b/>
                  <w:i/>
                  <w:lang w:val="en-GB"/>
                </w:rPr>
                <w:t>our assumptions</w:t>
              </w:r>
              <w:r>
                <w:rPr>
                  <w:b/>
                  <w:i/>
                  <w:lang w:val="en-GB"/>
                </w:rPr>
                <w:t xml:space="preserve"> and calculations</w:t>
              </w:r>
              <w:r w:rsidRPr="00B3391A">
                <w:rPr>
                  <w:b/>
                  <w:i/>
                  <w:lang w:val="en-GB"/>
                </w:rPr>
                <w:t>.</w:t>
              </w:r>
            </w:p>
            <w:p w:rsidR="007F3ED6" w:rsidRDefault="007F3ED6" w:rsidP="007F3ED6">
              <w:pPr>
                <w:pStyle w:val="Heading3"/>
              </w:pPr>
              <w:r>
                <w:t xml:space="preserve">Miracle-Ear contract announcement due by end of 1Q15 </w:t>
              </w:r>
            </w:p>
            <w:p w:rsidR="007F3ED6" w:rsidRDefault="007F3ED6" w:rsidP="007F3ED6">
              <w:pPr>
                <w:pStyle w:val="CIRBodyText"/>
              </w:pPr>
              <w:r w:rsidRPr="00E650F9">
                <w:t>Announcement of the outcome</w:t>
              </w:r>
              <w:r>
                <w:t xml:space="preserve"> of the Miracle-Ear contract is</w:t>
              </w:r>
              <w:r w:rsidRPr="00E650F9">
                <w:t xml:space="preserve"> likely at the end of 2014 or by the end of </w:t>
              </w:r>
              <w:r w:rsidRPr="00894086">
                <w:t>1Q15. We estimate that the Miracle-Ear contract is currently worth &gt;US$50mn per annum. The contract was last renegotiated in 2010 and was won by Siemens and we assume that the contract will again be for a 3-5yr term. As the incumbent, we assume for the purposes of our analysis that Siemens has a 50% chance of retaining the contract (EQT Partners announced in November 2014 that it intends to acquire Siemens’ hearing aid business, which is likely to elevate pressure on the business to regain a key contract),</w:t>
              </w:r>
              <w:r>
                <w:t xml:space="preserve"> while GN only has a 10% chance given it already has c1/3 share of wallet in Amplifon and we believe it is unlikely that AMP would want to further concentrate its supply base. Lastly, we assume WDH and SOON have a 20% chance each of gaining the contract.</w:t>
              </w:r>
            </w:p>
            <w:p w:rsidR="007F3ED6" w:rsidRDefault="007F3ED6" w:rsidP="007F3ED6">
              <w:pPr>
                <w:pStyle w:val="Heading3"/>
              </w:pPr>
              <w:r>
                <w:t xml:space="preserve">Costco contract announcement due by end of 2Q15 </w:t>
              </w:r>
            </w:p>
            <w:p w:rsidR="007F3ED6" w:rsidRDefault="007F3ED6" w:rsidP="007F3ED6">
              <w:pPr>
                <w:pStyle w:val="CIRBodyText"/>
              </w:pPr>
              <w:r>
                <w:t>We expect the announcement of the result of Costco’s Kirkland Signature (KS) private-label hearing re-tender during 1H15, with sales under the new contract beginning in 2H15. We estimate that the KS contract is currently worth &gt;US$35mn per annum. The contract was last re-negotiated two</w:t>
              </w:r>
              <w:r w:rsidRPr="00894086">
                <w:t xml:space="preserve"> years ago, with GN</w:t>
              </w:r>
              <w:r>
                <w:t xml:space="preserve"> gaining the contract from Siemens</w:t>
              </w:r>
              <w:r w:rsidRPr="00894086">
                <w:t>. As the incumbent, we assume GN has a 50% chance of retaining the contract, while Siemens has only a 10% chance of winning it back after having been replaced previously. We</w:t>
              </w:r>
              <w:r>
                <w:t xml:space="preserve"> assume WDH and SOON have a 20% chance each, given both are already suppliers to Costco with their own brands (Bernafon and Phonak, respectively). </w:t>
              </w:r>
            </w:p>
            <w:p w:rsidR="007F3ED6" w:rsidRPr="00A6079E" w:rsidRDefault="007F3ED6" w:rsidP="007F3ED6">
              <w:pPr>
                <w:pStyle w:val="Heading3"/>
                <w:rPr>
                  <w:lang w:val="en-GB"/>
                </w:rPr>
              </w:pPr>
              <w:r w:rsidRPr="00A6079E">
                <w:rPr>
                  <w:lang w:val="en-GB"/>
                </w:rPr>
                <w:t>Cochlear deal unlike</w:t>
              </w:r>
              <w:r>
                <w:rPr>
                  <w:lang w:val="en-GB"/>
                </w:rPr>
                <w:t>ly</w:t>
              </w:r>
              <w:r w:rsidRPr="00A6079E">
                <w:rPr>
                  <w:lang w:val="en-GB"/>
                </w:rPr>
                <w:t xml:space="preserve"> to be a significant contributor</w:t>
              </w:r>
              <w:r>
                <w:rPr>
                  <w:lang w:val="en-GB"/>
                </w:rPr>
                <w:t xml:space="preserve"> </w:t>
              </w:r>
            </w:p>
            <w:p w:rsidR="007F3ED6" w:rsidRDefault="007F3ED6" w:rsidP="007F3ED6">
              <w:pPr>
                <w:pStyle w:val="CIRBodyText"/>
                <w:rPr>
                  <w:lang w:val="en-GB"/>
                </w:rPr>
              </w:pPr>
              <w:r w:rsidRPr="00A6079E">
                <w:rPr>
                  <w:rStyle w:val="CIRBodyTextChar"/>
                </w:rPr>
                <w:t>In August 2011, GN announced a technology development and license agreement with Cochlear, whereby Cochlear w</w:t>
              </w:r>
              <w:r>
                <w:rPr>
                  <w:rStyle w:val="CIRBodyTextChar"/>
                </w:rPr>
                <w:t>ill</w:t>
              </w:r>
              <w:r w:rsidRPr="00A6079E">
                <w:rPr>
                  <w:rStyle w:val="CIRBodyTextChar"/>
                </w:rPr>
                <w:t xml:space="preserve"> adopt GN’s 2.</w:t>
              </w:r>
              <w:r w:rsidRPr="00F75CF4">
                <w:rPr>
                  <w:rStyle w:val="CIRBodyTextChar"/>
                </w:rPr>
                <w:t xml:space="preserve">4GHz wireless technology in its implants. </w:t>
              </w:r>
              <w:r w:rsidRPr="00F75CF4">
                <w:rPr>
                  <w:lang w:val="en-GB"/>
                </w:rPr>
                <w:t>While the exact structure of the agreement of unknown, we understand from GN that the deal is unlikely to be a significant contributor even once further products are launched.</w:t>
              </w:r>
            </w:p>
            <w:p w:rsidR="007F3ED6" w:rsidRPr="00E54FB4" w:rsidRDefault="007F3ED6" w:rsidP="007F3ED6">
              <w:pPr>
                <w:pStyle w:val="Heading3"/>
                <w:rPr>
                  <w:lang w:val="en-GB"/>
                </w:rPr>
              </w:pPr>
              <w:r w:rsidRPr="00E54FB4">
                <w:rPr>
                  <w:lang w:val="en-GB"/>
                </w:rPr>
                <w:t>Ability to use ReSound hearing aids with COH implants a positive</w:t>
              </w:r>
            </w:p>
            <w:p w:rsidR="007F3ED6" w:rsidRDefault="007F3ED6" w:rsidP="007F3ED6">
              <w:pPr>
                <w:pStyle w:val="CIRBodyText"/>
                <w:rPr>
                  <w:lang w:val="en-GB"/>
                </w:rPr>
              </w:pPr>
              <w:r w:rsidRPr="00A6079E">
                <w:rPr>
                  <w:rStyle w:val="CIRBodyTextChar"/>
                </w:rPr>
                <w:t>In late 2013, the first Cochlear product with 2.4 GHz technology, the Baha 4 Sound Processor, was successfully launched</w:t>
              </w:r>
              <w:r w:rsidRPr="00A6079E">
                <w:rPr>
                  <w:lang w:val="en-GB"/>
                </w:rPr>
                <w:t xml:space="preserve">. </w:t>
              </w:r>
              <w:r>
                <w:rPr>
                  <w:lang w:val="en-GB"/>
                </w:rPr>
                <w:t xml:space="preserve">This has been followed by wireless accessories for COH’s N6 CI processor (US FDA approval September 2014). </w:t>
              </w:r>
              <w:r w:rsidRPr="00505B87">
                <w:rPr>
                  <w:lang w:val="en-GB"/>
                </w:rPr>
                <w:t>It is therefore</w:t>
              </w:r>
              <w:r>
                <w:rPr>
                  <w:lang w:val="en-GB"/>
                </w:rPr>
                <w:t xml:space="preserve"> now</w:t>
              </w:r>
              <w:r w:rsidRPr="00505B87">
                <w:rPr>
                  <w:lang w:val="en-GB"/>
                </w:rPr>
                <w:t xml:space="preserve"> possible to use a Resound Wireless hearing aid and the Cochlear N6 speech processor in a bimodal configuration with synchronized audio signals. This could </w:t>
              </w:r>
              <w:r>
                <w:rPr>
                  <w:lang w:val="en-GB"/>
                </w:rPr>
                <w:t>encourage</w:t>
              </w:r>
              <w:r w:rsidRPr="00505B87">
                <w:rPr>
                  <w:lang w:val="en-GB"/>
                </w:rPr>
                <w:t xml:space="preserve"> </w:t>
              </w:r>
              <w:r>
                <w:rPr>
                  <w:lang w:val="en-GB"/>
                </w:rPr>
                <w:t xml:space="preserve">COH </w:t>
              </w:r>
              <w:r w:rsidRPr="00505B87">
                <w:rPr>
                  <w:lang w:val="en-GB"/>
                </w:rPr>
                <w:t xml:space="preserve">implant </w:t>
              </w:r>
              <w:r>
                <w:rPr>
                  <w:lang w:val="en-GB"/>
                </w:rPr>
                <w:t xml:space="preserve">users with an N6 processor and </w:t>
              </w:r>
              <w:r w:rsidRPr="00505B87">
                <w:rPr>
                  <w:lang w:val="en-GB"/>
                </w:rPr>
                <w:t>a hearing aid on the contralateral ear</w:t>
              </w:r>
              <w:r>
                <w:rPr>
                  <w:lang w:val="en-GB"/>
                </w:rPr>
                <w:t xml:space="preserve"> (albeit a relatively small population in the scheme of the hearing aid market) to choose ReSound over other manufacturers</w:t>
              </w:r>
              <w:r w:rsidRPr="00505B87">
                <w:rPr>
                  <w:lang w:val="en-GB"/>
                </w:rPr>
                <w:t>.</w:t>
              </w:r>
            </w:p>
            <w:p w:rsidR="007F3ED6" w:rsidRDefault="007F3ED6" w:rsidP="007F3ED6">
              <w:pPr>
                <w:pStyle w:val="Heading2"/>
                <w:rPr>
                  <w:lang w:val="en-GB"/>
                </w:rPr>
              </w:pPr>
              <w:bookmarkStart w:id="64" w:name="_Toc406403984"/>
              <w:bookmarkStart w:id="65" w:name="_Toc406509701"/>
              <w:r w:rsidRPr="00F75CF4">
                <w:rPr>
                  <w:lang w:val="en-GB"/>
                </w:rPr>
                <w:t>Hearing Diagnostics (8% of Group sales)</w:t>
              </w:r>
              <w:bookmarkEnd w:id="64"/>
              <w:bookmarkEnd w:id="65"/>
            </w:p>
            <w:p w:rsidR="007F3ED6" w:rsidRDefault="007F3ED6" w:rsidP="007F3ED6">
              <w:pPr>
                <w:pStyle w:val="CIRBodyText"/>
                <w:rPr>
                  <w:lang w:val="en-GB"/>
                </w:rPr>
              </w:pPr>
              <w:r w:rsidRPr="00771883">
                <w:rPr>
                  <w:lang w:val="en-GB"/>
                </w:rPr>
                <w:t xml:space="preserve">Otometrics develops, manufactures and markets computer-based </w:t>
              </w:r>
              <w:r>
                <w:rPr>
                  <w:lang w:val="en-GB"/>
                </w:rPr>
                <w:t>hearing and balance assessment</w:t>
              </w:r>
              <w:r w:rsidRPr="00771883">
                <w:rPr>
                  <w:lang w:val="en-GB"/>
                </w:rPr>
                <w:t xml:space="preserve"> instrumentation</w:t>
              </w:r>
              <w:r>
                <w:rPr>
                  <w:lang w:val="en-GB"/>
                </w:rPr>
                <w:t xml:space="preserve"> as well as hearing aid fitting systems</w:t>
              </w:r>
              <w:r w:rsidRPr="00771883">
                <w:rPr>
                  <w:lang w:val="en-GB"/>
                </w:rPr>
                <w:t xml:space="preserve"> under the </w:t>
              </w:r>
              <w:r w:rsidRPr="00E62E1D">
                <w:rPr>
                  <w:lang w:val="en-GB"/>
                </w:rPr>
                <w:t>MADSEN, AURICAL, HORTMANN and ICS</w:t>
              </w:r>
              <w:r>
                <w:rPr>
                  <w:lang w:val="en-GB"/>
                </w:rPr>
                <w:t xml:space="preserve"> </w:t>
              </w:r>
              <w:r w:rsidRPr="00771883">
                <w:rPr>
                  <w:lang w:val="en-GB"/>
                </w:rPr>
                <w:t>brands.</w:t>
              </w:r>
              <w:r>
                <w:rPr>
                  <w:lang w:val="en-GB"/>
                </w:rPr>
                <w:t xml:space="preserve"> Products are sold in &gt;70 countries worldwide.</w:t>
              </w:r>
            </w:p>
            <w:tbl>
              <w:tblPr>
                <w:tblStyle w:val="CIRTable"/>
                <w:tblW w:w="6700" w:type="dxa"/>
                <w:tblLayout w:type="fixed"/>
                <w:tblLook w:val="04A0" w:firstRow="1" w:lastRow="0" w:firstColumn="1" w:lastColumn="0" w:noHBand="0" w:noVBand="1"/>
                <w:tblCaption w:val="EmbedTable"/>
                <w:tblDescription w:val="0|Body|0"/>
              </w:tblPr>
              <w:tblGrid>
                <w:gridCol w:w="670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6700" w:type="dxa"/>
                  </w:tcPr>
                  <w:p w:rsidR="007F3ED6" w:rsidRDefault="007F3ED6" w:rsidP="00326326">
                    <w:pPr>
                      <w:pStyle w:val="CIRCaption"/>
                    </w:pPr>
                    <w:r>
                      <w:t xml:space="preserve">Figure </w:t>
                    </w:r>
                    <w:fldSimple w:instr=" SEQ Figure \* ARABIC ">
                      <w:r>
                        <w:rPr>
                          <w:noProof/>
                        </w:rPr>
                        <w:t>34</w:t>
                      </w:r>
                    </w:fldSimple>
                    <w:r>
                      <w:t>. GN Otometrics has four diagnostic instrument brands</w:t>
                    </w:r>
                  </w:p>
                </w:tc>
              </w:tr>
              <w:tr w:rsidR="007F3ED6" w:rsidTr="00326326">
                <w:trPr>
                  <w:trHeight w:val="160"/>
                </w:trPr>
                <w:tc>
                  <w:tcPr>
                    <w:tcW w:w="6700" w:type="dxa"/>
                  </w:tcPr>
                  <w:tbl>
                    <w:tblPr>
                      <w:tblStyle w:val="CIRTableNoLines"/>
                      <w:tblW w:w="6700" w:type="dxa"/>
                      <w:tblLayout w:type="fixed"/>
                      <w:tblLook w:val="04A0" w:firstRow="1" w:lastRow="0" w:firstColumn="1" w:lastColumn="0" w:noHBand="0" w:noVBand="1"/>
                      <w:tblCaption w:val="EmbedTable"/>
                      <w:tblDescription w:val="0|Body|0"/>
                    </w:tblPr>
                    <w:tblGrid>
                      <w:gridCol w:w="3350"/>
                      <w:gridCol w:w="3350"/>
                    </w:tblGrid>
                    <w:tr w:rsidR="007F3ED6" w:rsidRPr="00DF6796" w:rsidTr="00326326">
                      <w:trPr>
                        <w:cnfStyle w:val="100000000000" w:firstRow="1" w:lastRow="0" w:firstColumn="0" w:lastColumn="0" w:oddVBand="0" w:evenVBand="0" w:oddHBand="0" w:evenHBand="0" w:firstRowFirstColumn="0" w:firstRowLastColumn="0" w:lastRowFirstColumn="0" w:lastRowLastColumn="0"/>
                      </w:trPr>
                      <w:tc>
                        <w:tcPr>
                          <w:tcW w:w="335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7F3ED6" w:rsidRPr="00DF6796" w:rsidRDefault="007F3ED6" w:rsidP="00326326">
                          <w:pPr>
                            <w:pStyle w:val="CIRT-Left"/>
                            <w:jc w:val="center"/>
                          </w:pPr>
                          <w:r w:rsidRPr="00DF6796">
                            <w:t>MADSEN</w:t>
                          </w:r>
                        </w:p>
                      </w:tc>
                      <w:tc>
                        <w:tcPr>
                          <w:tcW w:w="335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7F3ED6" w:rsidRPr="00DF6796" w:rsidRDefault="007F3ED6" w:rsidP="00326326">
                          <w:pPr>
                            <w:pStyle w:val="CIRT-Right"/>
                            <w:jc w:val="center"/>
                          </w:pPr>
                          <w:r w:rsidRPr="00DF6796">
                            <w:t>AURICAL</w:t>
                          </w:r>
                        </w:p>
                      </w:tc>
                    </w:tr>
                    <w:tr w:rsidR="007F3ED6" w:rsidRPr="00DF6796" w:rsidTr="00326326">
                      <w:tc>
                        <w:tcPr>
                          <w:tcW w:w="3350" w:type="dxa"/>
                          <w:shd w:val="clear" w:color="auto" w:fill="auto"/>
                        </w:tcPr>
                        <w:p w:rsidR="007F3ED6" w:rsidRPr="00DF6796" w:rsidRDefault="007F3ED6" w:rsidP="00326326">
                          <w:pPr>
                            <w:pStyle w:val="CIRT-Left"/>
                            <w:jc w:val="center"/>
                          </w:pPr>
                          <w:r w:rsidRPr="00DF6796">
                            <w:t>HORTMANN</w:t>
                          </w:r>
                        </w:p>
                      </w:tc>
                      <w:tc>
                        <w:tcPr>
                          <w:tcW w:w="3350" w:type="dxa"/>
                          <w:shd w:val="clear" w:color="auto" w:fill="auto"/>
                        </w:tcPr>
                        <w:p w:rsidR="007F3ED6" w:rsidRPr="00DF6796" w:rsidRDefault="007F3ED6" w:rsidP="00326326">
                          <w:pPr>
                            <w:pStyle w:val="CIRT-Right"/>
                            <w:jc w:val="center"/>
                          </w:pPr>
                          <w:r w:rsidRPr="00DF6796">
                            <w:t>ICS</w:t>
                          </w:r>
                        </w:p>
                      </w:tc>
                    </w:tr>
                  </w:tbl>
                  <w:p w:rsidR="007F3ED6" w:rsidRDefault="007F3ED6" w:rsidP="00326326">
                    <w:pPr>
                      <w:pStyle w:val="CIRMaster"/>
                      <w:spacing w:line="14" w:lineRule="auto"/>
                    </w:pPr>
                  </w:p>
                </w:tc>
              </w:tr>
              <w:tr w:rsidR="007F3ED6" w:rsidTr="00326326">
                <w:trPr>
                  <w:cantSplit/>
                </w:trPr>
                <w:tc>
                  <w:tcPr>
                    <w:tcW w:w="6700" w:type="dxa"/>
                  </w:tcPr>
                  <w:p w:rsidR="007F3ED6" w:rsidRDefault="007F3ED6" w:rsidP="00326326">
                    <w:pPr>
                      <w:pStyle w:val="CIRSourceNote"/>
                    </w:pPr>
                    <w:r>
                      <w:t xml:space="preserve">Source: Company data, Citi Research </w:t>
                    </w:r>
                  </w:p>
                </w:tc>
              </w:tr>
            </w:tbl>
            <w:p w:rsidR="007F3ED6" w:rsidRDefault="007F3ED6" w:rsidP="007F3ED6">
              <w:pPr>
                <w:pStyle w:val="CIRMaster"/>
                <w:rPr>
                  <w:lang w:val="en-GB"/>
                </w:rPr>
              </w:pPr>
            </w:p>
            <w:p w:rsidR="007F3ED6" w:rsidRDefault="007F3ED6" w:rsidP="007F3ED6">
              <w:pPr>
                <w:pStyle w:val="Heading3"/>
                <w:rPr>
                  <w:lang w:val="en-GB"/>
                </w:rPr>
              </w:pPr>
              <w:r>
                <w:rPr>
                  <w:lang w:val="en-GB"/>
                </w:rPr>
                <w:t>We expect mid-single-digit diagnostic growth over medium term</w:t>
              </w:r>
            </w:p>
            <w:p w:rsidR="007F3ED6" w:rsidRDefault="007F3ED6" w:rsidP="007F3ED6">
              <w:pPr>
                <w:pStyle w:val="CIRBodyText"/>
                <w:rPr>
                  <w:lang w:val="en-GB"/>
                </w:rPr>
              </w:pPr>
              <w:r>
                <w:rPr>
                  <w:lang w:val="en-GB"/>
                </w:rPr>
                <w:t xml:space="preserve">The hearing diagnostic instrument market is worth around USD425mn, according to William Demant, and has been consolidating from a highly fragmented base as WDH has acquired a number of manufacturers (notably Amplivox and Grason Stadler in 2008-09) and both WDH and GN have acquired distributors in the past </w:t>
              </w:r>
              <w:r w:rsidRPr="00666D76">
                <w:rPr>
                  <w:lang w:val="en-GB"/>
                </w:rPr>
                <w:t xml:space="preserve">couple of years. GN Otometrics has outperformed </w:t>
              </w:r>
              <w:r w:rsidRPr="00F75CF4">
                <w:rPr>
                  <w:lang w:val="en-GB"/>
                </w:rPr>
                <w:t>WDH’s Diagnostic Instruments business since 2012, driven by an upgraded and expanded product portfolio but we would expect both companies to grow organically at a mid-single-digit pace over</w:t>
              </w:r>
              <w:r w:rsidRPr="00666D76">
                <w:rPr>
                  <w:lang w:val="en-GB"/>
                </w:rPr>
                <w:t xml:space="preserve"> the medium</w:t>
              </w:r>
              <w:r>
                <w:rPr>
                  <w:lang w:val="en-GB"/>
                </w:rPr>
                <w:t xml:space="preserve"> </w:t>
              </w:r>
              <w:r w:rsidRPr="00666D76">
                <w:rPr>
                  <w:lang w:val="en-GB"/>
                </w:rPr>
                <w:t>term, slightly above market growth as they continue to take share from smaller players.</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5040" w:type="dxa"/>
                  </w:tcPr>
                  <w:p w:rsidR="007F3ED6" w:rsidRDefault="007F3ED6" w:rsidP="00326326">
                    <w:pPr>
                      <w:pStyle w:val="CIRCaption"/>
                    </w:pPr>
                    <w:r>
                      <w:t xml:space="preserve">Figure </w:t>
                    </w:r>
                    <w:fldSimple w:instr=" SEQ Figure \* ARABIC ">
                      <w:r>
                        <w:rPr>
                          <w:noProof/>
                        </w:rPr>
                        <w:t>35</w:t>
                      </w:r>
                    </w:fldSimple>
                    <w:r>
                      <w:t>. Hearing diagnostics market shares, 2013</w:t>
                    </w:r>
                  </w:p>
                </w:tc>
                <w:tc>
                  <w:tcPr>
                    <w:tcW w:w="140" w:type="dxa"/>
                  </w:tcPr>
                  <w:p w:rsidR="007F3ED6" w:rsidRDefault="007F3ED6" w:rsidP="00326326">
                    <w:pPr>
                      <w:pStyle w:val="CIRT-Left"/>
                    </w:pPr>
                  </w:p>
                </w:tc>
                <w:tc>
                  <w:tcPr>
                    <w:tcW w:w="5040" w:type="dxa"/>
                  </w:tcPr>
                  <w:p w:rsidR="007F3ED6" w:rsidRDefault="007F3ED6" w:rsidP="00326326">
                    <w:pPr>
                      <w:pStyle w:val="CIRCaption"/>
                    </w:pPr>
                    <w:r>
                      <w:t xml:space="preserve">Figure </w:t>
                    </w:r>
                    <w:fldSimple w:instr=" SEQ Figure \* ARABIC ">
                      <w:r>
                        <w:rPr>
                          <w:noProof/>
                        </w:rPr>
                        <w:t>36</w:t>
                      </w:r>
                    </w:fldSimple>
                    <w:r>
                      <w:t>. GN has outperformed WDH in diagnostics 2012-14E</w:t>
                    </w:r>
                  </w:p>
                </w:tc>
              </w:tr>
              <w:tr w:rsidR="007F3ED6" w:rsidRPr="00A34BF0" w:rsidTr="00326326">
                <w:trPr>
                  <w:cantSplit/>
                </w:trPr>
                <w:tc>
                  <w:tcPr>
                    <w:tcW w:w="5040" w:type="dxa"/>
                  </w:tcPr>
                  <w:p w:rsidR="007F3ED6" w:rsidRPr="00A34BF0" w:rsidRDefault="007F3ED6" w:rsidP="00326326">
                    <w:pPr>
                      <w:pStyle w:val="CIRFigure"/>
                    </w:pPr>
                    <w:r>
                      <w:rPr>
                        <w:lang w:eastAsia="en-US"/>
                      </w:rPr>
                      <w:object w:dxaOrig="2385" w:dyaOrig="2205">
                        <v:shape id="_x0000_i1046" type="#_x0000_t75" style="width:164.8pt;height:152.05pt" o:ole="">
                          <v:imagedata r:id="rId73" o:title=""/>
                        </v:shape>
                        <o:OLEObject Type="Link" ProgID="Excel.Sheet.12" ShapeID="_x0000_i1046" DrawAspect="Content" r:id="rId74" UpdateMode="OnCall">
                          <o:LinkType>EnhancedMetaFile</o:LinkType>
                          <o:LockedField/>
                          <o:FieldCodes>\* MERGEFORMAT</o:FieldCodes>
                        </o:OLEObject>
                      </w:object>
                    </w:r>
                  </w:p>
                </w:tc>
                <w:tc>
                  <w:tcPr>
                    <w:tcW w:w="140" w:type="dxa"/>
                  </w:tcPr>
                  <w:p w:rsidR="007F3ED6" w:rsidRPr="00A34BF0" w:rsidRDefault="007F3ED6" w:rsidP="00326326">
                    <w:pPr>
                      <w:pStyle w:val="CIRFigure"/>
                    </w:pPr>
                  </w:p>
                </w:tc>
                <w:tc>
                  <w:tcPr>
                    <w:tcW w:w="5040" w:type="dxa"/>
                  </w:tcPr>
                  <w:p w:rsidR="007F3ED6" w:rsidRPr="00A34BF0" w:rsidRDefault="007F3ED6" w:rsidP="00326326">
                    <w:pPr>
                      <w:pStyle w:val="CIRFigure"/>
                    </w:pPr>
                    <w:r>
                      <w:rPr>
                        <w:lang w:eastAsia="en-US"/>
                      </w:rPr>
                      <w:object w:dxaOrig="6945" w:dyaOrig="3961">
                        <v:shape id="_x0000_i1047" type="#_x0000_t75" style="width:252.1pt;height:143.8pt" o:ole="">
                          <v:imagedata r:id="rId75" o:title=""/>
                        </v:shape>
                        <o:OLEObject Type="Link" ProgID="Excel.Sheet.12" ShapeID="_x0000_i1047" DrawAspect="Content" r:id="rId76" UpdateMode="OnCall">
                          <o:LinkType>EnhancedMetaFile</o:LinkType>
                          <o:LockedField/>
                          <o:FieldCodes>\* MERGEFORMAT</o:FieldCodes>
                        </o:OLEObject>
                      </w:object>
                    </w:r>
                  </w:p>
                </w:tc>
              </w:tr>
              <w:tr w:rsidR="007F3ED6" w:rsidTr="00326326">
                <w:trPr>
                  <w:cantSplit/>
                </w:trPr>
                <w:tc>
                  <w:tcPr>
                    <w:tcW w:w="5040" w:type="dxa"/>
                  </w:tcPr>
                  <w:p w:rsidR="007F3ED6" w:rsidRDefault="007F3ED6" w:rsidP="00326326">
                    <w:pPr>
                      <w:pStyle w:val="CIRSourceNote"/>
                    </w:pPr>
                    <w:r>
                      <w:t xml:space="preserve">Source: Company data, Citi Research </w:t>
                    </w:r>
                  </w:p>
                </w:tc>
                <w:tc>
                  <w:tcPr>
                    <w:tcW w:w="140" w:type="dxa"/>
                  </w:tcPr>
                  <w:p w:rsidR="007F3ED6" w:rsidRDefault="007F3ED6" w:rsidP="00326326">
                    <w:pPr>
                      <w:pStyle w:val="CIRSourceNote"/>
                    </w:pPr>
                  </w:p>
                </w:tc>
                <w:tc>
                  <w:tcPr>
                    <w:tcW w:w="5040" w:type="dxa"/>
                  </w:tcPr>
                  <w:p w:rsidR="007F3ED6" w:rsidRDefault="007F3ED6" w:rsidP="00326326">
                    <w:pPr>
                      <w:pStyle w:val="CIRSourceNote"/>
                    </w:pPr>
                    <w:r>
                      <w:t>Source: Company data, Citi Research estimates</w:t>
                    </w:r>
                  </w:p>
                </w:tc>
              </w:tr>
            </w:tbl>
            <w:p w:rsidR="007F3ED6" w:rsidRDefault="007F3ED6" w:rsidP="007F3ED6">
              <w:pPr>
                <w:pStyle w:val="Heading3"/>
                <w:rPr>
                  <w:lang w:val="en-GB"/>
                </w:rPr>
              </w:pPr>
            </w:p>
            <w:p w:rsidR="007F3ED6" w:rsidRDefault="007F3ED6" w:rsidP="007F3ED6">
              <w:pPr>
                <w:pStyle w:val="CIRBodyText"/>
                <w:rPr>
                  <w:sz w:val="20"/>
                  <w:szCs w:val="20"/>
                  <w:lang w:val="en-GB"/>
                </w:rPr>
              </w:pPr>
              <w:r>
                <w:rPr>
                  <w:lang w:val="en-GB"/>
                </w:rPr>
                <w:br w:type="page"/>
              </w:r>
            </w:p>
            <w:p w:rsidR="007F3ED6" w:rsidRPr="00666D76" w:rsidRDefault="007F3ED6" w:rsidP="007F3ED6">
              <w:pPr>
                <w:pStyle w:val="Heading3"/>
                <w:rPr>
                  <w:lang w:val="en-GB"/>
                </w:rPr>
              </w:pPr>
              <w:r w:rsidRPr="00666D76">
                <w:rPr>
                  <w:lang w:val="en-GB"/>
                </w:rPr>
                <w:t>3D Ear Scanner has potential but business model unclear</w:t>
              </w:r>
            </w:p>
            <w:p w:rsidR="007F3ED6" w:rsidRDefault="007F3ED6" w:rsidP="007F3ED6">
              <w:pPr>
                <w:pStyle w:val="CIRBodyText"/>
                <w:rPr>
                  <w:lang w:val="en-GB"/>
                </w:rPr>
              </w:pPr>
              <w:r w:rsidRPr="00666D76">
                <w:rPr>
                  <w:lang w:val="en-GB"/>
                </w:rPr>
                <w:t>In November 2012, GN acquired the global rights to manufacture and sell a 3D ear scanner (now named OTOSCAN) developed by US-based 3DM Systems within the hearing aid industry for US$12mn (cDKK69mn). The technology has the potential to significantly simplify the current industry</w:t>
              </w:r>
              <w:r>
                <w:rPr>
                  <w:lang w:val="en-GB"/>
                </w:rPr>
                <w:t xml:space="preserve"> standard of designing customised in-the-ear (ITE) hearing aids and ear moulds for behind-the-ear (BTE) hearing aids, which </w:t>
              </w:r>
              <w:r w:rsidRPr="00F525B5">
                <w:rPr>
                  <w:lang w:val="en-GB"/>
                </w:rPr>
                <w:t>entails</w:t>
              </w:r>
              <w:r>
                <w:rPr>
                  <w:lang w:val="en-GB"/>
                </w:rPr>
                <w:t xml:space="preserve"> making </w:t>
              </w:r>
              <w:r w:rsidRPr="00F525B5">
                <w:rPr>
                  <w:lang w:val="en-GB"/>
                </w:rPr>
                <w:t>a silicone impression of the patient’s ear followed by physical shipment to the manufacturer or ear mo</w:t>
              </w:r>
              <w:r>
                <w:rPr>
                  <w:lang w:val="en-GB"/>
                </w:rPr>
                <w:t>u</w:t>
              </w:r>
              <w:r w:rsidRPr="00F525B5">
                <w:rPr>
                  <w:lang w:val="en-GB"/>
                </w:rPr>
                <w:t xml:space="preserve">ld lab </w:t>
              </w:r>
              <w:r>
                <w:rPr>
                  <w:lang w:val="en-GB"/>
                </w:rPr>
                <w:t>to scan</w:t>
              </w:r>
              <w:r w:rsidRPr="00F525B5">
                <w:rPr>
                  <w:lang w:val="en-GB"/>
                </w:rPr>
                <w:t xml:space="preserve"> the impression in</w:t>
              </w:r>
              <w:r>
                <w:rPr>
                  <w:lang w:val="en-GB"/>
                </w:rPr>
                <w:t>to</w:t>
              </w:r>
              <w:r w:rsidRPr="00F525B5">
                <w:rPr>
                  <w:lang w:val="en-GB"/>
                </w:rPr>
                <w:t xml:space="preserve"> a table-top scanner.</w:t>
              </w:r>
            </w:p>
            <w:tbl>
              <w:tblPr>
                <w:tblStyle w:val="CIRTable"/>
                <w:tblW w:w="6700" w:type="dxa"/>
                <w:tblLayout w:type="fixed"/>
                <w:tblLook w:val="04A0" w:firstRow="1" w:lastRow="0" w:firstColumn="1" w:lastColumn="0" w:noHBand="0" w:noVBand="1"/>
                <w:tblDescription w:val="1|Body|0"/>
              </w:tblPr>
              <w:tblGrid>
                <w:gridCol w:w="6700"/>
              </w:tblGrid>
              <w:tr w:rsidR="007F3ED6" w:rsidTr="00326326">
                <w:trPr>
                  <w:cnfStyle w:val="100000000000" w:firstRow="1" w:lastRow="0" w:firstColumn="0" w:lastColumn="0" w:oddVBand="0" w:evenVBand="0" w:oddHBand="0" w:evenHBand="0" w:firstRowFirstColumn="0" w:firstRowLastColumn="0" w:lastRowFirstColumn="0" w:lastRowLastColumn="0"/>
                  <w:cantSplit/>
                </w:trPr>
                <w:tc>
                  <w:tcPr>
                    <w:tcW w:w="6700" w:type="dxa"/>
                  </w:tcPr>
                  <w:p w:rsidR="007F3ED6" w:rsidRDefault="007F3ED6" w:rsidP="00326326">
                    <w:pPr>
                      <w:pStyle w:val="CIRCaption"/>
                    </w:pPr>
                    <w:r>
                      <w:t xml:space="preserve">Figure </w:t>
                    </w:r>
                    <w:fldSimple w:instr=" SEQ Figure \* ARABIC ">
                      <w:r>
                        <w:rPr>
                          <w:noProof/>
                        </w:rPr>
                        <w:t>37</w:t>
                      </w:r>
                    </w:fldSimple>
                    <w:r>
                      <w:t>. OTOSCAN</w:t>
                    </w:r>
                    <w:r w:rsidRPr="00CF0426">
                      <w:t xml:space="preserve"> 3D Earscanning</w:t>
                    </w:r>
                  </w:p>
                </w:tc>
              </w:tr>
              <w:tr w:rsidR="007F3ED6" w:rsidTr="00326326">
                <w:trPr>
                  <w:cantSplit/>
                  <w:trHeight w:val="160"/>
                </w:trPr>
                <w:tc>
                  <w:tcPr>
                    <w:tcW w:w="6700" w:type="dxa"/>
                  </w:tcPr>
                  <w:p w:rsidR="007F3ED6" w:rsidRDefault="007F3ED6" w:rsidP="00326326">
                    <w:pPr>
                      <w:pStyle w:val="CIRFigure"/>
                    </w:pPr>
                    <w:r>
                      <w:rPr>
                        <w:noProof/>
                      </w:rPr>
                      <w:drawing>
                        <wp:inline distT="0" distB="0" distL="0" distR="0" wp14:anchorId="0EF54024" wp14:editId="71AA5627">
                          <wp:extent cx="2601327" cy="2347274"/>
                          <wp:effectExtent l="0" t="0" r="8890" b="0"/>
                          <wp:docPr id="11" name="Picture 11" descr="http://earscanning.com/wp-content/uploads/2014/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arscanning.com/wp-content/uploads/2014/03/1.jp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02874" cy="2348670"/>
                                  </a:xfrm>
                                  <a:prstGeom prst="rect">
                                    <a:avLst/>
                                  </a:prstGeom>
                                  <a:noFill/>
                                  <a:ln>
                                    <a:noFill/>
                                  </a:ln>
                                </pic:spPr>
                              </pic:pic>
                            </a:graphicData>
                          </a:graphic>
                        </wp:inline>
                      </w:drawing>
                    </w:r>
                  </w:p>
                </w:tc>
              </w:tr>
              <w:tr w:rsidR="007F3ED6" w:rsidTr="00326326">
                <w:trPr>
                  <w:cantSplit/>
                </w:trPr>
                <w:tc>
                  <w:tcPr>
                    <w:tcW w:w="6700" w:type="dxa"/>
                  </w:tcPr>
                  <w:p w:rsidR="007F3ED6" w:rsidRDefault="007F3ED6" w:rsidP="00326326">
                    <w:pPr>
                      <w:pStyle w:val="CIRSourceNote"/>
                    </w:pPr>
                    <w:r>
                      <w:t>Source: GN Store Nord</w:t>
                    </w:r>
                  </w:p>
                </w:tc>
              </w:tr>
            </w:tbl>
            <w:p w:rsidR="007F3ED6" w:rsidRDefault="007F3ED6" w:rsidP="007F3ED6">
              <w:pPr>
                <w:pStyle w:val="CIRBodyText"/>
                <w:spacing w:after="0"/>
                <w:rPr>
                  <w:lang w:val="en-GB"/>
                </w:rPr>
              </w:pPr>
            </w:p>
            <w:p w:rsidR="007F3ED6" w:rsidRDefault="007F3ED6" w:rsidP="007F3ED6">
              <w:pPr>
                <w:pStyle w:val="CIRBodyText"/>
                <w:rPr>
                  <w:lang w:val="en-GB"/>
                </w:rPr>
              </w:pPr>
              <w:r w:rsidRPr="003512B5">
                <w:rPr>
                  <w:lang w:val="en-GB"/>
                </w:rPr>
                <w:t>GN has had some teething issues in finalising the technology</w:t>
              </w:r>
              <w:r>
                <w:rPr>
                  <w:lang w:val="en-GB"/>
                </w:rPr>
                <w:t>, hence we believe it</w:t>
              </w:r>
              <w:r w:rsidRPr="003512B5">
                <w:rPr>
                  <w:lang w:val="en-GB"/>
                </w:rPr>
                <w:t xml:space="preserve"> may miss its target of launching in 2014. The</w:t>
              </w:r>
              <w:r>
                <w:rPr>
                  <w:lang w:val="en-GB"/>
                </w:rPr>
                <w:t xml:space="preserve"> commercial model is also unclear, with the most likely route being to give the scanner free in return for a minimum committed volume of scans charged on a fee-per-scan basis. </w:t>
              </w:r>
            </w:p>
            <w:p w:rsidR="007F3ED6" w:rsidRDefault="007F3ED6" w:rsidP="007F3ED6">
              <w:pPr>
                <w:pStyle w:val="CIRBodyText"/>
                <w:rPr>
                  <w:lang w:val="en-GB"/>
                </w:rPr>
              </w:pPr>
              <w:r>
                <w:rPr>
                  <w:lang w:val="en-GB"/>
                </w:rPr>
                <w:t>However, ITE instruments account for only c20% of the market, with this share shrinking slightly in recent years, and it may be that only large audiology practices can commit the required volumes for GN to earn a sufficient return on the scanner. The scanner could also benefit GN’s ITE sales as it has a below-average market share in this form of instrument, but the extent to which this benefit might materialise is unclear given the scanner will be an open system, with scans also being able to be used to order competitor ITE devices.</w:t>
              </w:r>
            </w:p>
            <w:p w:rsidR="007F3ED6" w:rsidRDefault="007F3ED6" w:rsidP="007F3ED6">
              <w:pPr>
                <w:pStyle w:val="Heading3"/>
                <w:rPr>
                  <w:lang w:val="en-GB"/>
                </w:rPr>
              </w:pPr>
              <w:r>
                <w:rPr>
                  <w:lang w:val="en-GB"/>
                </w:rPr>
                <w:t>Synergies exist in both R&amp;D and distribution</w:t>
              </w:r>
            </w:p>
            <w:p w:rsidR="007F3ED6" w:rsidRPr="00DB55AD" w:rsidRDefault="007F3ED6" w:rsidP="007F3ED6">
              <w:pPr>
                <w:pStyle w:val="CIRBodyText"/>
              </w:pPr>
              <w:r>
                <w:rPr>
                  <w:lang w:val="en-GB"/>
                </w:rPr>
                <w:t>Synergies between hearing devices and diagnostic instruments come in the form of audiology</w:t>
              </w:r>
              <w:r w:rsidRPr="00B9779F">
                <w:t xml:space="preserve"> </w:t>
              </w:r>
              <w:r>
                <w:rPr>
                  <w:lang w:val="en-GB"/>
                </w:rPr>
                <w:t>know-how (R&amp;D) and designing of hearing aid fitting systems. Distribution benefits arise as audiologists use</w:t>
              </w:r>
              <w:r w:rsidRPr="00B9779F">
                <w:t xml:space="preserve"> </w:t>
              </w:r>
              <w:r>
                <w:rPr>
                  <w:lang w:val="en-GB"/>
                </w:rPr>
                <w:t>diagnostic instruments in retail outlets. In the case of a retail acquisition, sales synergies are relatively slowly realised as replacement cycles for diagnostic instruments are in the five- to 10-</w:t>
              </w:r>
              <w:r w:rsidRPr="00B9779F">
                <w:t xml:space="preserve"> </w:t>
              </w:r>
              <w:r>
                <w:rPr>
                  <w:lang w:val="en-GB"/>
                </w:rPr>
                <w:t>year range.</w:t>
              </w:r>
              <w:r w:rsidRPr="00B9779F">
                <w:t xml:space="preserve"> </w:t>
              </w:r>
            </w:p>
            <w:p w:rsidR="007F3ED6" w:rsidRDefault="007F3ED6" w:rsidP="007F3ED6">
              <w:pPr>
                <w:spacing w:after="200" w:line="276" w:lineRule="auto"/>
                <w:rPr>
                  <w:rFonts w:eastAsia="MS PGothic" w:cs="Arial"/>
                  <w:b/>
                  <w:bCs/>
                  <w:kern w:val="18"/>
                  <w:sz w:val="20"/>
                  <w:szCs w:val="20"/>
                  <w:lang w:val="en-GB"/>
                </w:rPr>
              </w:pPr>
              <w:r>
                <w:rPr>
                  <w:lang w:val="en-GB"/>
                </w:rPr>
                <w:br w:type="page"/>
              </w:r>
            </w:p>
            <w:p w:rsidR="007F3ED6" w:rsidRDefault="007F3ED6" w:rsidP="007F3ED6">
              <w:pPr>
                <w:pStyle w:val="Heading3"/>
                <w:rPr>
                  <w:lang w:val="en-GB"/>
                </w:rPr>
              </w:pPr>
              <w:r>
                <w:rPr>
                  <w:lang w:val="en-GB"/>
                </w:rPr>
                <w:t>Diagnostics has greater EM exposure</w:t>
              </w:r>
            </w:p>
            <w:p w:rsidR="007F3ED6" w:rsidRDefault="007F3ED6" w:rsidP="007F3ED6">
              <w:pPr>
                <w:pStyle w:val="CIRBodyText"/>
                <w:rPr>
                  <w:lang w:val="en-GB"/>
                </w:rPr>
              </w:pPr>
              <w:r>
                <w:rPr>
                  <w:lang w:val="en-GB"/>
                </w:rPr>
                <w:t xml:space="preserve">Diagnostics are also sold to ear, </w:t>
              </w:r>
              <w:r w:rsidRPr="00F75CF4">
                <w:rPr>
                  <w:lang w:val="en-GB"/>
                </w:rPr>
                <w:t>nose and throat (ENT) clinics and hospitals, which in turn provide a distribution link to paediatric and super</w:t>
              </w:r>
              <w:r>
                <w:rPr>
                  <w:lang w:val="en-GB"/>
                </w:rPr>
                <w:t>-</w:t>
              </w:r>
              <w:r w:rsidRPr="009758A2">
                <w:rPr>
                  <w:lang w:val="en-GB"/>
                </w:rPr>
                <w:t>power hearing</w:t>
              </w:r>
              <w:r>
                <w:rPr>
                  <w:lang w:val="en-GB"/>
                </w:rPr>
                <w:t xml:space="preserve"> aid users and hearing implant patients. This link is especially important in the emerging markets as many EM countries (eg China) are building out hearing care and reimbursement initially just for these profoundly deaf patients, given the greater health-economic benefits. As such the diagnostic business has greater exposure to the emerging markets than the hearing aid business.</w:t>
              </w:r>
            </w:p>
            <w:p w:rsidR="007F3ED6" w:rsidRDefault="007F3ED6" w:rsidP="007F3ED6">
              <w:pPr>
                <w:pStyle w:val="CIRChapter"/>
                <w:framePr w:wrap="around"/>
                <w:rPr>
                  <w:lang w:val="en-GB"/>
                </w:rPr>
              </w:pPr>
              <w:bookmarkStart w:id="66" w:name="_Toc406403985"/>
              <w:bookmarkStart w:id="67" w:name="_Toc406509702"/>
              <w:r>
                <w:rPr>
                  <w:lang w:val="en-GB"/>
                </w:rPr>
                <w:t>GN Netcom (38% of sales, 36% of EBITA)</w:t>
              </w:r>
              <w:bookmarkEnd w:id="66"/>
              <w:bookmarkEnd w:id="67"/>
            </w:p>
            <w:p w:rsidR="007F3ED6" w:rsidRPr="00864D2D" w:rsidRDefault="007F3ED6" w:rsidP="007F3ED6">
              <w:pPr>
                <w:pStyle w:val="Heading2"/>
                <w:rPr>
                  <w:lang w:val="en-GB"/>
                </w:rPr>
              </w:pPr>
              <w:bookmarkStart w:id="68" w:name="_Toc406403986"/>
              <w:bookmarkStart w:id="69" w:name="_Toc406509703"/>
              <w:r w:rsidRPr="00864D2D">
                <w:rPr>
                  <w:lang w:val="en-GB"/>
                </w:rPr>
                <w:t>Unified Communications to accelerate Netcom’s growth</w:t>
              </w:r>
              <w:bookmarkEnd w:id="68"/>
              <w:bookmarkEnd w:id="69"/>
            </w:p>
            <w:p w:rsidR="007F3ED6" w:rsidRDefault="007F3ED6" w:rsidP="007F3ED6">
              <w:pPr>
                <w:pStyle w:val="CIRBodyText"/>
                <w:rPr>
                  <w:lang w:val="en-GB"/>
                </w:rPr>
              </w:pPr>
              <w:r w:rsidRPr="00864D2D">
                <w:rPr>
                  <w:lang w:val="en-GB"/>
                </w:rPr>
                <w:t>GN’s headset business, GN Netcom, generated 66% of its sales from headsets for Contact Centres &amp; Offices (CC&amp;O) and 34% from its Mobile headset and speakerphone business in 2013. Headsets in both businesses</w:t>
              </w:r>
              <w:r>
                <w:rPr>
                  <w:lang w:val="en-GB"/>
                </w:rPr>
                <w:t xml:space="preserve"> are sold under the high-end Jabra brand. GN acquired US-based Jabra in 2000 and brought all products under the brand in 2009.  </w:t>
              </w:r>
            </w:p>
            <w:p w:rsidR="007F3ED6" w:rsidRDefault="007F3ED6" w:rsidP="007F3ED6">
              <w:pPr>
                <w:pStyle w:val="CIRBodyText"/>
                <w:rPr>
                  <w:lang w:val="en-GB"/>
                </w:rPr>
              </w:pPr>
              <w:r>
                <w:rPr>
                  <w:lang w:val="en-GB"/>
                </w:rPr>
                <w:t xml:space="preserve">Netcom has a significantly higher exposure to Europe than ReSound, at 50% of sales, which </w:t>
              </w:r>
              <w:r w:rsidRPr="00033688">
                <w:rPr>
                  <w:lang w:val="en-GB"/>
                </w:rPr>
                <w:t>we believe is largely explained by Plantronics’ extremely strong position in its domestic US market.</w:t>
              </w:r>
              <w:r>
                <w:rPr>
                  <w:lang w:val="en-GB"/>
                </w:rPr>
                <w:t xml:space="preserve"> </w:t>
              </w:r>
            </w:p>
            <w:tbl>
              <w:tblPr>
                <w:tblStyle w:val="CIRTable"/>
                <w:tblW w:w="10220" w:type="dxa"/>
                <w:tblInd w:w="-3528" w:type="dxa"/>
                <w:tblLayout w:type="fixed"/>
                <w:tblLook w:val="04A0" w:firstRow="1" w:lastRow="0" w:firstColumn="1" w:lastColumn="0" w:noHBand="0" w:noVBand="1"/>
                <w:tblCaption w:val="dblChart"/>
              </w:tblPr>
              <w:tblGrid>
                <w:gridCol w:w="4992"/>
                <w:gridCol w:w="236"/>
                <w:gridCol w:w="4992"/>
              </w:tblGrid>
              <w:tr w:rsidR="007F3ED6" w:rsidTr="00326326">
                <w:trPr>
                  <w:cnfStyle w:val="100000000000" w:firstRow="1" w:lastRow="0" w:firstColumn="0" w:lastColumn="0" w:oddVBand="0" w:evenVBand="0" w:oddHBand="0" w:evenHBand="0" w:firstRowFirstColumn="0" w:firstRowLastColumn="0" w:lastRowFirstColumn="0" w:lastRowLastColumn="0"/>
                </w:trPr>
                <w:tc>
                  <w:tcPr>
                    <w:tcW w:w="4992" w:type="dxa"/>
                  </w:tcPr>
                  <w:p w:rsidR="007F3ED6" w:rsidRDefault="007F3ED6" w:rsidP="00326326">
                    <w:pPr>
                      <w:pStyle w:val="CIRCaption"/>
                    </w:pPr>
                    <w:r>
                      <w:t xml:space="preserve">Figure </w:t>
                    </w:r>
                    <w:fldSimple w:instr=" SEQ Figure \* ARABIC ">
                      <w:r>
                        <w:rPr>
                          <w:noProof/>
                        </w:rPr>
                        <w:t>38</w:t>
                      </w:r>
                    </w:fldSimple>
                    <w:r>
                      <w:t>. GN Netcom – Revenues by business, 2013</w:t>
                    </w:r>
                  </w:p>
                </w:tc>
                <w:tc>
                  <w:tcPr>
                    <w:tcW w:w="236" w:type="dxa"/>
                  </w:tcPr>
                  <w:p w:rsidR="007F3ED6" w:rsidRDefault="007F3ED6" w:rsidP="00326326">
                    <w:pPr>
                      <w:pStyle w:val="CIRT-Left"/>
                    </w:pPr>
                  </w:p>
                </w:tc>
                <w:tc>
                  <w:tcPr>
                    <w:tcW w:w="4992" w:type="dxa"/>
                  </w:tcPr>
                  <w:p w:rsidR="007F3ED6" w:rsidRDefault="007F3ED6" w:rsidP="00326326">
                    <w:pPr>
                      <w:pStyle w:val="CIRCaption"/>
                    </w:pPr>
                    <w:r>
                      <w:t xml:space="preserve">Figure </w:t>
                    </w:r>
                    <w:fldSimple w:instr=" SEQ Figure \* ARABIC ">
                      <w:r>
                        <w:rPr>
                          <w:noProof/>
                        </w:rPr>
                        <w:t>39</w:t>
                      </w:r>
                    </w:fldSimple>
                    <w:r>
                      <w:t>. GN Netcom – Revenues by region, 2013</w:t>
                    </w:r>
                  </w:p>
                </w:tc>
              </w:tr>
              <w:tr w:rsidR="007F3ED6" w:rsidRPr="006637A9" w:rsidTr="00326326">
                <w:tblPrEx>
                  <w:tblCellMar>
                    <w:left w:w="108" w:type="dxa"/>
                    <w:right w:w="108" w:type="dxa"/>
                  </w:tblCellMar>
                </w:tblPrEx>
                <w:trPr>
                  <w:cantSplit/>
                </w:trPr>
                <w:tc>
                  <w:tcPr>
                    <w:tcW w:w="4992" w:type="dxa"/>
                  </w:tcPr>
                  <w:p w:rsidR="007F3ED6" w:rsidRPr="006637A9" w:rsidRDefault="007F3ED6" w:rsidP="00326326">
                    <w:pPr>
                      <w:pStyle w:val="CIRFigure"/>
                    </w:pPr>
                    <w:r>
                      <w:rPr>
                        <w:noProof/>
                      </w:rPr>
                      <w:drawing>
                        <wp:inline distT="0" distB="0" distL="0" distR="0" wp14:anchorId="2EB81566" wp14:editId="6719ADDD">
                          <wp:extent cx="2327346" cy="2152974"/>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tc>
                <w:tc>
                  <w:tcPr>
                    <w:tcW w:w="236" w:type="dxa"/>
                  </w:tcPr>
                  <w:p w:rsidR="007F3ED6" w:rsidRPr="006637A9" w:rsidRDefault="007F3ED6" w:rsidP="00326326">
                    <w:pPr>
                      <w:pStyle w:val="CIRFigure"/>
                    </w:pPr>
                  </w:p>
                </w:tc>
                <w:tc>
                  <w:tcPr>
                    <w:tcW w:w="4992" w:type="dxa"/>
                  </w:tcPr>
                  <w:p w:rsidR="007F3ED6" w:rsidRPr="006637A9" w:rsidRDefault="007F3ED6" w:rsidP="00326326">
                    <w:pPr>
                      <w:pStyle w:val="CIRFigure"/>
                    </w:pPr>
                    <w:r>
                      <w:rPr>
                        <w:noProof/>
                      </w:rPr>
                      <w:drawing>
                        <wp:inline distT="0" distB="0" distL="0" distR="0" wp14:anchorId="5F2FDFE2" wp14:editId="4AACD0D2">
                          <wp:extent cx="2327346" cy="2152974"/>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tc>
              </w:tr>
              <w:tr w:rsidR="007F3ED6" w:rsidTr="00326326">
                <w:trPr>
                  <w:cantSplit/>
                </w:trPr>
                <w:tc>
                  <w:tcPr>
                    <w:tcW w:w="4992" w:type="dxa"/>
                  </w:tcPr>
                  <w:p w:rsidR="007F3ED6" w:rsidRDefault="007F3ED6" w:rsidP="00326326">
                    <w:pPr>
                      <w:pStyle w:val="CIRSourceNote"/>
                    </w:pPr>
                    <w:r>
                      <w:t>Source: Company data, Citi Research</w:t>
                    </w:r>
                  </w:p>
                </w:tc>
                <w:tc>
                  <w:tcPr>
                    <w:tcW w:w="236" w:type="dxa"/>
                  </w:tcPr>
                  <w:p w:rsidR="007F3ED6" w:rsidRDefault="007F3ED6" w:rsidP="00326326">
                    <w:pPr>
                      <w:pStyle w:val="CIRSourceNote"/>
                    </w:pPr>
                  </w:p>
                </w:tc>
                <w:tc>
                  <w:tcPr>
                    <w:tcW w:w="4992" w:type="dxa"/>
                  </w:tcPr>
                  <w:p w:rsidR="007F3ED6" w:rsidRDefault="007F3ED6" w:rsidP="00326326">
                    <w:pPr>
                      <w:pStyle w:val="CIRSourceNote"/>
                    </w:pPr>
                    <w:r>
                      <w:t>Source: Company data, Citi Research</w:t>
                    </w:r>
                  </w:p>
                </w:tc>
              </w:tr>
            </w:tbl>
            <w:p w:rsidR="007F3ED6" w:rsidRDefault="007F3ED6" w:rsidP="007F3ED6">
              <w:pPr>
                <w:pStyle w:val="Heading3"/>
                <w:rPr>
                  <w:lang w:val="en-GB"/>
                </w:rPr>
              </w:pPr>
            </w:p>
            <w:p w:rsidR="007F3ED6" w:rsidRPr="00CE67B7" w:rsidRDefault="007F3ED6" w:rsidP="007F3ED6">
              <w:pPr>
                <w:pStyle w:val="Heading3"/>
                <w:rPr>
                  <w:lang w:val="en-GB"/>
                </w:rPr>
              </w:pPr>
              <w:r w:rsidRPr="00CE67B7">
                <w:rPr>
                  <w:lang w:val="en-GB"/>
                </w:rPr>
                <w:t>Underappreciated high ROIC business</w:t>
              </w:r>
            </w:p>
            <w:p w:rsidR="007F3ED6" w:rsidRPr="00CE67B7" w:rsidRDefault="007F3ED6" w:rsidP="007F3ED6">
              <w:pPr>
                <w:pStyle w:val="CIRBodyText"/>
                <w:rPr>
                  <w:lang w:val="en-GB"/>
                </w:rPr>
              </w:pPr>
              <w:r w:rsidRPr="00CE67B7">
                <w:rPr>
                  <w:lang w:val="en-GB"/>
                </w:rPr>
                <w:t>Netcom’s margin improved dramatically in 2010 following the completion of the FAST restructuring programme, which considerably simplified its supply chain. All of Netcom’s production was outsourced to China, with most components sourced in Asia (Netcom currently works with c10 production partners and over 100 subcontractors). In addition, the mobile headset business moved to a configure-to-order business model, with a single logistics centre based in Asia. The CC&amp;O headset business has maintained regional warehouses (US, Europe and Asia) in order to maintain high service levels. R&amp;D is conducted at two facilities in Ballerup, Denmark</w:t>
              </w:r>
              <w:r>
                <w:rPr>
                  <w:lang w:val="en-GB"/>
                </w:rPr>
                <w:t>,</w:t>
              </w:r>
              <w:r w:rsidRPr="00CE67B7">
                <w:rPr>
                  <w:lang w:val="en-GB"/>
                </w:rPr>
                <w:t xml:space="preserve"> and in Xiamen, China.</w:t>
              </w:r>
            </w:p>
            <w:p w:rsidR="007F3ED6" w:rsidRDefault="007F3ED6" w:rsidP="007F3ED6">
              <w:pPr>
                <w:pStyle w:val="CIRBodyText"/>
                <w:rPr>
                  <w:lang w:val="en-GB"/>
                </w:rPr>
              </w:pPr>
              <w:r w:rsidRPr="00CE67B7">
                <w:rPr>
                  <w:lang w:val="en-GB"/>
                </w:rPr>
                <w:t>The supply chain transformation greatly reduced the amount of working capital required, while allowing greater scalability and flexibility. In 2013 Netcom delivered an ROIC (EBITA/Invested Capital) of 64.7% and is aiming to remain &gt;55% over 2014-16. Free Cash Flow conversion (FCF/EBITA) has also been strong in 9M14</w:t>
              </w:r>
              <w:r>
                <w:rPr>
                  <w:lang w:val="en-GB"/>
                </w:rPr>
                <w:t>,</w:t>
              </w:r>
              <w:r w:rsidRPr="00CE67B7">
                <w:rPr>
                  <w:lang w:val="en-GB"/>
                </w:rPr>
                <w:t xml:space="preserve"> at 93%</w:t>
              </w:r>
              <w:r>
                <w:rPr>
                  <w:lang w:val="en-GB"/>
                </w:rPr>
                <w:t>,</w:t>
              </w:r>
              <w:r w:rsidRPr="00CE67B7">
                <w:rPr>
                  <w:lang w:val="en-GB"/>
                </w:rPr>
                <w:t xml:space="preserve"> due to Netcom’s asset-light set-up and further working capital improvements.</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5040" w:type="dxa"/>
                  </w:tcPr>
                  <w:p w:rsidR="007F3ED6" w:rsidRDefault="007F3ED6" w:rsidP="00326326">
                    <w:pPr>
                      <w:pStyle w:val="CIRCaption"/>
                    </w:pPr>
                    <w:r>
                      <w:t xml:space="preserve">Figure </w:t>
                    </w:r>
                    <w:fldSimple w:instr=" SEQ Figure \* ARABIC ">
                      <w:r>
                        <w:rPr>
                          <w:noProof/>
                        </w:rPr>
                        <w:t>40</w:t>
                      </w:r>
                    </w:fldSimple>
                    <w:r>
                      <w:t>. GN Netcom – Sales (DKrbn) and adj. EBITA margin</w:t>
                    </w:r>
                  </w:p>
                </w:tc>
                <w:tc>
                  <w:tcPr>
                    <w:tcW w:w="140" w:type="dxa"/>
                  </w:tcPr>
                  <w:p w:rsidR="007F3ED6" w:rsidRDefault="007F3ED6" w:rsidP="00326326">
                    <w:pPr>
                      <w:pStyle w:val="CIRT-Left"/>
                    </w:pPr>
                  </w:p>
                </w:tc>
                <w:tc>
                  <w:tcPr>
                    <w:tcW w:w="5040" w:type="dxa"/>
                  </w:tcPr>
                  <w:p w:rsidR="007F3ED6" w:rsidRDefault="007F3ED6" w:rsidP="00326326">
                    <w:pPr>
                      <w:pStyle w:val="CIRCaption"/>
                    </w:pPr>
                    <w:r>
                      <w:t xml:space="preserve">Figure </w:t>
                    </w:r>
                    <w:fldSimple w:instr=" SEQ Figure \* ARABIC ">
                      <w:r>
                        <w:rPr>
                          <w:noProof/>
                        </w:rPr>
                        <w:t>41</w:t>
                      </w:r>
                    </w:fldSimple>
                    <w:r>
                      <w:t>. GN Netcom – Organic sales growth</w:t>
                    </w:r>
                  </w:p>
                </w:tc>
              </w:tr>
              <w:tr w:rsidR="007F3ED6" w:rsidRPr="00A61D0D" w:rsidTr="00326326">
                <w:trPr>
                  <w:cantSplit/>
                </w:trPr>
                <w:tc>
                  <w:tcPr>
                    <w:tcW w:w="5040" w:type="dxa"/>
                  </w:tcPr>
                  <w:p w:rsidR="007F3ED6" w:rsidRPr="00A61D0D" w:rsidRDefault="007F3ED6" w:rsidP="00326326">
                    <w:pPr>
                      <w:pStyle w:val="CIRFigure"/>
                    </w:pPr>
                    <w:r>
                      <w:rPr>
                        <w:lang w:eastAsia="en-US"/>
                      </w:rPr>
                      <w:object w:dxaOrig="6796" w:dyaOrig="3720">
                        <v:shape id="_x0000_i1048" type="#_x0000_t75" style="width:259.6pt;height:141.9pt" o:ole="">
                          <v:imagedata r:id="rId80" o:title=""/>
                        </v:shape>
                        <o:OLEObject Type="Link" ProgID="Excel.SheetMacroEnabled.12" ShapeID="_x0000_i1048" DrawAspect="Content" r:id="rId81" UpdateMode="OnCall">
                          <o:LinkType>EnhancedMetaFile</o:LinkType>
                          <o:LockedField/>
                          <o:FieldCodes>\* MERGEFORMAT</o:FieldCodes>
                        </o:OLEObject>
                      </w:object>
                    </w:r>
                  </w:p>
                </w:tc>
                <w:tc>
                  <w:tcPr>
                    <w:tcW w:w="140" w:type="dxa"/>
                  </w:tcPr>
                  <w:p w:rsidR="007F3ED6" w:rsidRPr="00A61D0D" w:rsidRDefault="007F3ED6" w:rsidP="00326326">
                    <w:pPr>
                      <w:pStyle w:val="CIRFigure"/>
                    </w:pPr>
                  </w:p>
                </w:tc>
                <w:tc>
                  <w:tcPr>
                    <w:tcW w:w="5040" w:type="dxa"/>
                  </w:tcPr>
                  <w:p w:rsidR="007F3ED6" w:rsidRPr="00A61D0D" w:rsidRDefault="007F3ED6" w:rsidP="00326326">
                    <w:pPr>
                      <w:pStyle w:val="CIRFigure"/>
                    </w:pPr>
                    <w:r>
                      <w:rPr>
                        <w:lang w:eastAsia="en-US"/>
                      </w:rPr>
                      <w:object w:dxaOrig="6600" w:dyaOrig="3720">
                        <v:shape id="_x0000_i1049" type="#_x0000_t75" style="width:252.1pt;height:141.9pt" o:ole="">
                          <v:imagedata r:id="rId82" o:title=""/>
                        </v:shape>
                        <o:OLEObject Type="Link" ProgID="Excel.SheetMacroEnabled.12" ShapeID="_x0000_i1049" DrawAspect="Content" r:id="rId83" UpdateMode="OnCall">
                          <o:LinkType>EnhancedMetaFile</o:LinkType>
                          <o:LockedField/>
                          <o:FieldCodes>\* MERGEFORMAT</o:FieldCodes>
                        </o:OLEObject>
                      </w:object>
                    </w:r>
                  </w:p>
                </w:tc>
              </w:tr>
              <w:tr w:rsidR="007F3ED6" w:rsidTr="00326326">
                <w:trPr>
                  <w:cantSplit/>
                </w:trPr>
                <w:tc>
                  <w:tcPr>
                    <w:tcW w:w="5040" w:type="dxa"/>
                  </w:tcPr>
                  <w:p w:rsidR="007F3ED6" w:rsidRDefault="007F3ED6" w:rsidP="00326326">
                    <w:pPr>
                      <w:pStyle w:val="CIRSourceNote"/>
                    </w:pPr>
                    <w:r>
                      <w:t>Source: Company data, Citi Research estimates</w:t>
                    </w:r>
                  </w:p>
                </w:tc>
                <w:tc>
                  <w:tcPr>
                    <w:tcW w:w="140" w:type="dxa"/>
                  </w:tcPr>
                  <w:p w:rsidR="007F3ED6" w:rsidRDefault="007F3ED6" w:rsidP="00326326">
                    <w:pPr>
                      <w:pStyle w:val="CIRSourceNote"/>
                    </w:pPr>
                  </w:p>
                </w:tc>
                <w:tc>
                  <w:tcPr>
                    <w:tcW w:w="5040" w:type="dxa"/>
                  </w:tcPr>
                  <w:p w:rsidR="007F3ED6" w:rsidRDefault="007F3ED6" w:rsidP="00326326">
                    <w:pPr>
                      <w:pStyle w:val="CIRSourceNote"/>
                    </w:pPr>
                    <w:r>
                      <w:t>Source: Company data, Citi Research estimates</w:t>
                    </w:r>
                  </w:p>
                </w:tc>
              </w:tr>
            </w:tbl>
            <w:p w:rsidR="007F3ED6" w:rsidRPr="007C709C" w:rsidRDefault="007F3ED6" w:rsidP="007F3ED6"/>
            <w:p w:rsidR="007F3ED6" w:rsidRDefault="007F3ED6" w:rsidP="007F3ED6">
              <w:pPr>
                <w:pStyle w:val="Heading2"/>
                <w:rPr>
                  <w:lang w:val="en-GB"/>
                </w:rPr>
              </w:pPr>
              <w:bookmarkStart w:id="70" w:name="_Toc406403987"/>
              <w:bookmarkStart w:id="71" w:name="_Toc406509704"/>
              <w:r w:rsidRPr="00A3133B">
                <w:rPr>
                  <w:lang w:val="en-GB"/>
                </w:rPr>
                <w:t xml:space="preserve">Margin should recover </w:t>
              </w:r>
              <w:r>
                <w:rPr>
                  <w:lang w:val="en-GB"/>
                </w:rPr>
                <w:t>to top 18-19% target range</w:t>
              </w:r>
              <w:bookmarkEnd w:id="70"/>
              <w:bookmarkEnd w:id="71"/>
              <w:r>
                <w:rPr>
                  <w:lang w:val="en-GB"/>
                </w:rPr>
                <w:t xml:space="preserve"> </w:t>
              </w:r>
            </w:p>
            <w:p w:rsidR="007F3ED6" w:rsidRPr="003B5375" w:rsidRDefault="007F3ED6" w:rsidP="007F3ED6">
              <w:pPr>
                <w:pStyle w:val="CIRBodyText"/>
              </w:pPr>
              <w:r w:rsidRPr="00A3133B">
                <w:rPr>
                  <w:lang w:val="en-GB"/>
                </w:rPr>
                <w:t xml:space="preserve">As GN considers Netcom’s set-up to be efficient, its focus is on growing the top line. Over 2014-16 </w:t>
              </w:r>
              <w:r w:rsidRPr="00A3133B">
                <w:t>GN’s Netcom’s target is to grow sales &gt;10% p.a. organically</w:t>
              </w:r>
              <w:r>
                <w:t xml:space="preserve"> while </w:t>
              </w:r>
              <w:r w:rsidRPr="003B5375">
                <w:t xml:space="preserve">maintaining an EBITA margin of 18-19%, in line with 18.1% in 2013. </w:t>
              </w:r>
            </w:p>
            <w:p w:rsidR="007F3ED6" w:rsidRDefault="007F3ED6" w:rsidP="007F3ED6">
              <w:pPr>
                <w:pStyle w:val="CIRBodyText"/>
              </w:pPr>
              <w:r w:rsidRPr="003B5375">
                <w:t xml:space="preserve">As can be seen in Figure </w:t>
              </w:r>
              <w:r>
                <w:t xml:space="preserve">40, Netcom has historically demonstrated significant operating leverage, with strong organic growth (Figure 41) also translating into substantial margin improvement during 2010-13, aided by measures taken in the FAST restructuring programme. Indeed, the EBITA margin continued to expand in 2012 and 2013 despite significant gross margin pressure (see Figure 42). </w:t>
              </w:r>
            </w:p>
            <w:p w:rsidR="007F3ED6" w:rsidRDefault="007F3ED6" w:rsidP="007F3ED6">
              <w:pPr>
                <w:pStyle w:val="CIRBodyText"/>
              </w:pPr>
              <w:r>
                <w:t>However, as with the ReSound business, GN’s 2014-16 strategy signaled an intention to increase investments in Netcom to benefit top-line growth, which has pressured the margin in FY14E (combined with gross margin pressure in the Mobile business, as described in more detail below). Key measures include:</w:t>
              </w:r>
            </w:p>
            <w:p w:rsidR="007F3ED6" w:rsidRPr="0000204B" w:rsidRDefault="007F3ED6" w:rsidP="007F3ED6">
              <w:pPr>
                <w:pStyle w:val="CIRTextBullet"/>
                <w:numPr>
                  <w:ilvl w:val="0"/>
                  <w:numId w:val="1"/>
                </w:numPr>
                <w:rPr>
                  <w:lang w:val="en-GB"/>
                </w:rPr>
              </w:pPr>
              <w:r w:rsidRPr="0000204B">
                <w:rPr>
                  <w:lang w:val="en-GB"/>
                </w:rPr>
                <w:t>Increas</w:t>
              </w:r>
              <w:r>
                <w:rPr>
                  <w:lang w:val="en-GB"/>
                </w:rPr>
                <w:t>ing</w:t>
              </w:r>
              <w:r w:rsidRPr="0000204B">
                <w:rPr>
                  <w:lang w:val="en-GB"/>
                </w:rPr>
                <w:t xml:space="preserve"> marketing and sales efforts</w:t>
              </w:r>
            </w:p>
            <w:p w:rsidR="007F3ED6" w:rsidRPr="00F75CF4" w:rsidRDefault="007F3ED6" w:rsidP="007F3ED6">
              <w:pPr>
                <w:pStyle w:val="CIRTextBullet"/>
                <w:numPr>
                  <w:ilvl w:val="0"/>
                  <w:numId w:val="1"/>
                </w:numPr>
                <w:rPr>
                  <w:lang w:val="en-GB"/>
                </w:rPr>
              </w:pPr>
              <w:r>
                <w:rPr>
                  <w:lang w:val="en-GB"/>
                </w:rPr>
                <w:t>Key market</w:t>
              </w:r>
              <w:r w:rsidRPr="0000204B">
                <w:rPr>
                  <w:lang w:val="en-GB"/>
                </w:rPr>
                <w:t xml:space="preserve"> </w:t>
              </w:r>
              <w:r w:rsidRPr="00F75CF4">
                <w:rPr>
                  <w:lang w:val="en-GB"/>
                </w:rPr>
                <w:t>initiatives (North America and China)</w:t>
              </w:r>
            </w:p>
            <w:p w:rsidR="007F3ED6" w:rsidRPr="00F75CF4" w:rsidRDefault="007F3ED6" w:rsidP="007F3ED6">
              <w:pPr>
                <w:pStyle w:val="CIRTextBullet"/>
                <w:numPr>
                  <w:ilvl w:val="0"/>
                  <w:numId w:val="1"/>
                </w:numPr>
                <w:rPr>
                  <w:lang w:val="en-GB"/>
                </w:rPr>
              </w:pPr>
              <w:r w:rsidRPr="00F75CF4">
                <w:rPr>
                  <w:lang w:val="en-GB"/>
                </w:rPr>
                <w:t>Deepening and broadening customer focus</w:t>
              </w:r>
            </w:p>
            <w:p w:rsidR="007F3ED6" w:rsidRPr="00F75CF4" w:rsidRDefault="007F3ED6" w:rsidP="007F3ED6">
              <w:pPr>
                <w:pStyle w:val="CIRTextBullet"/>
                <w:numPr>
                  <w:ilvl w:val="0"/>
                  <w:numId w:val="1"/>
                </w:numPr>
                <w:rPr>
                  <w:lang w:val="en-GB"/>
                </w:rPr>
              </w:pPr>
              <w:r w:rsidRPr="00F75CF4">
                <w:rPr>
                  <w:lang w:val="en-GB"/>
                </w:rPr>
                <w:t>Strengthening online presence, including digital marketing</w:t>
              </w:r>
            </w:p>
            <w:p w:rsidR="007F3ED6" w:rsidRPr="00F75CF4" w:rsidRDefault="007F3ED6" w:rsidP="007F3ED6">
              <w:pPr>
                <w:pStyle w:val="CIRTextBullet"/>
                <w:numPr>
                  <w:ilvl w:val="0"/>
                  <w:numId w:val="1"/>
                </w:numPr>
                <w:rPr>
                  <w:lang w:val="en-GB"/>
                </w:rPr>
              </w:pPr>
              <w:r w:rsidRPr="00F75CF4">
                <w:rPr>
                  <w:lang w:val="en-GB"/>
                </w:rPr>
                <w:t>Broadening music product portfolio</w:t>
              </w:r>
            </w:p>
            <w:p w:rsidR="007F3ED6" w:rsidRPr="008E5E48" w:rsidRDefault="007F3ED6" w:rsidP="007F3ED6">
              <w:pPr>
                <w:pStyle w:val="CIRTextBullet"/>
                <w:numPr>
                  <w:ilvl w:val="0"/>
                  <w:numId w:val="0"/>
                </w:numPr>
                <w:spacing w:after="120"/>
                <w:rPr>
                  <w:lang w:val="en-GB"/>
                </w:rPr>
              </w:pPr>
              <w:r w:rsidRPr="00F75CF4">
                <w:rPr>
                  <w:lang w:val="en-GB"/>
                </w:rPr>
                <w:t>While we see merit in investments into the CC&amp;O business, which has structural growth drivers within Unified Communications and a significantly higher EBITA margin than the Mobile business</w:t>
              </w:r>
              <w:r w:rsidRPr="00A73606">
                <w:rPr>
                  <w:lang w:val="en-GB"/>
                </w:rPr>
                <w:t xml:space="preserve"> (est. 24% vs 6% in 2014E), we are concerned about the potential margin dilution from over-investing into the competitive music product market. We take comfort that management recognise</w:t>
              </w:r>
              <w:r>
                <w:rPr>
                  <w:lang w:val="en-GB"/>
                </w:rPr>
                <w:t>s</w:t>
              </w:r>
              <w:r w:rsidRPr="00A73606">
                <w:rPr>
                  <w:lang w:val="en-GB"/>
                </w:rPr>
                <w:t xml:space="preserve"> this </w:t>
              </w:r>
              <w:r>
                <w:rPr>
                  <w:lang w:val="en-GB"/>
                </w:rPr>
                <w:t xml:space="preserve">risk </w:t>
              </w:r>
              <w:r w:rsidRPr="00A73606">
                <w:rPr>
                  <w:lang w:val="en-GB"/>
                </w:rPr>
                <w:t>from the refocusing of its music product portfolio in 1H14.</w:t>
              </w:r>
            </w:p>
            <w:p w:rsidR="007F3ED6" w:rsidRPr="008E5E48" w:rsidRDefault="007F3ED6" w:rsidP="007F3ED6">
              <w:pPr>
                <w:pStyle w:val="Heading3"/>
                <w:rPr>
                  <w:lang w:val="en-GB"/>
                </w:rPr>
              </w:pPr>
              <w:r>
                <w:t>Gross margin pressure was caused by Mobile business</w:t>
              </w:r>
            </w:p>
            <w:p w:rsidR="007F3ED6" w:rsidRDefault="007F3ED6" w:rsidP="007F3ED6">
              <w:pPr>
                <w:pStyle w:val="CIRBodyText"/>
              </w:pPr>
              <w:r>
                <w:t xml:space="preserve">We believe pressure on Netcom’s gross margin was caused by the increasing weight of Mobile headsets in 2012-13 (aided by </w:t>
              </w:r>
              <w:r>
                <w:rPr>
                  <w:lang w:val="en-GB"/>
                </w:rPr>
                <w:t>China banning the use of mobile phones whilst driving in Jan 2013)</w:t>
              </w:r>
              <w:r>
                <w:t xml:space="preserve">, which are sold at an ASP of cUS$35 vs US$60-70 for office headsets. In 2014 this continued due to a refocus of Mobile’s music product portfolio, which we believe should reverse in 2015E as this process is finalised. </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5040" w:type="dxa"/>
                  </w:tcPr>
                  <w:p w:rsidR="007F3ED6" w:rsidRDefault="007F3ED6" w:rsidP="00326326">
                    <w:pPr>
                      <w:pStyle w:val="CIRCaption"/>
                    </w:pPr>
                    <w:r>
                      <w:t xml:space="preserve">Figure </w:t>
                    </w:r>
                    <w:fldSimple w:instr=" SEQ Figure \* ARABIC ">
                      <w:r>
                        <w:rPr>
                          <w:noProof/>
                        </w:rPr>
                        <w:t>42</w:t>
                      </w:r>
                    </w:fldSimple>
                    <w:r>
                      <w:t xml:space="preserve">. </w:t>
                    </w:r>
                    <w:r w:rsidRPr="002C6AA8">
                      <w:t>GN Netcom – Gross margin pressure</w:t>
                    </w:r>
                    <w:r>
                      <w:t xml:space="preserve"> from significant from Mobile business 2012-14E should abate going forwards</w:t>
                    </w:r>
                  </w:p>
                </w:tc>
                <w:tc>
                  <w:tcPr>
                    <w:tcW w:w="140" w:type="dxa"/>
                  </w:tcPr>
                  <w:p w:rsidR="007F3ED6" w:rsidRDefault="007F3ED6" w:rsidP="00326326">
                    <w:pPr>
                      <w:pStyle w:val="CIRT-Left"/>
                    </w:pPr>
                  </w:p>
                </w:tc>
                <w:tc>
                  <w:tcPr>
                    <w:tcW w:w="5040" w:type="dxa"/>
                  </w:tcPr>
                  <w:p w:rsidR="007F3ED6" w:rsidRDefault="007F3ED6" w:rsidP="00326326">
                    <w:pPr>
                      <w:pStyle w:val="CIRCaption"/>
                    </w:pPr>
                    <w:r>
                      <w:t xml:space="preserve">Figure </w:t>
                    </w:r>
                    <w:fldSimple w:instr=" SEQ Figure \* ARABIC ">
                      <w:r>
                        <w:rPr>
                          <w:noProof/>
                        </w:rPr>
                        <w:t>43</w:t>
                      </w:r>
                    </w:fldSimple>
                    <w:r>
                      <w:t>. GN Netcom – Sales mix</w:t>
                    </w:r>
                  </w:p>
                </w:tc>
              </w:tr>
              <w:tr w:rsidR="007F3ED6" w:rsidRPr="002C6AA8" w:rsidTr="00326326">
                <w:trPr>
                  <w:cantSplit/>
                </w:trPr>
                <w:tc>
                  <w:tcPr>
                    <w:tcW w:w="5040" w:type="dxa"/>
                  </w:tcPr>
                  <w:p w:rsidR="007F3ED6" w:rsidRPr="002C6AA8" w:rsidRDefault="007F3ED6" w:rsidP="00326326">
                    <w:pPr>
                      <w:pStyle w:val="CIRFigure"/>
                    </w:pPr>
                    <w:r>
                      <w:rPr>
                        <w:lang w:eastAsia="en-US"/>
                      </w:rPr>
                      <w:object w:dxaOrig="6030" w:dyaOrig="4035">
                        <v:shape id="_x0000_i1050" type="#_x0000_t75" style="width:252.05pt;height:168.45pt" o:ole="">
                          <v:imagedata r:id="rId84" o:title=""/>
                        </v:shape>
                        <o:OLEObject Type="Link" ProgID="Excel.SheetMacroEnabled.12" ShapeID="_x0000_i1050" DrawAspect="Content" r:id="rId85" UpdateMode="OnCall">
                          <o:LinkType>EnhancedMetaFile</o:LinkType>
                          <o:LockedField/>
                          <o:FieldCodes>\* MERGEFORMAT</o:FieldCodes>
                        </o:OLEObject>
                      </w:object>
                    </w:r>
                  </w:p>
                </w:tc>
                <w:tc>
                  <w:tcPr>
                    <w:tcW w:w="140" w:type="dxa"/>
                  </w:tcPr>
                  <w:p w:rsidR="007F3ED6" w:rsidRPr="002C6AA8" w:rsidRDefault="007F3ED6" w:rsidP="00326326">
                    <w:pPr>
                      <w:pStyle w:val="CIRFigure"/>
                    </w:pPr>
                  </w:p>
                </w:tc>
                <w:tc>
                  <w:tcPr>
                    <w:tcW w:w="5040" w:type="dxa"/>
                  </w:tcPr>
                  <w:p w:rsidR="007F3ED6" w:rsidRPr="002C6AA8" w:rsidRDefault="007F3ED6" w:rsidP="00326326">
                    <w:pPr>
                      <w:pStyle w:val="CIRFigure"/>
                    </w:pPr>
                    <w:r>
                      <w:rPr>
                        <w:lang w:eastAsia="en-US"/>
                      </w:rPr>
                      <w:object w:dxaOrig="6825" w:dyaOrig="4966">
                        <v:shape id="_x0000_i1051" type="#_x0000_t75" style="width:251.85pt;height:183.25pt" o:ole="">
                          <v:imagedata r:id="rId86" o:title=""/>
                        </v:shape>
                        <o:OLEObject Type="Link" ProgID="Excel.SheetMacroEnabled.12" ShapeID="_x0000_i1051" DrawAspect="Content" r:id="rId87" UpdateMode="OnCall">
                          <o:LinkType>EnhancedMetaFile</o:LinkType>
                          <o:LockedField/>
                          <o:FieldCodes>\* MERGEFORMAT</o:FieldCodes>
                        </o:OLEObject>
                      </w:object>
                    </w:r>
                  </w:p>
                </w:tc>
              </w:tr>
              <w:tr w:rsidR="007F3ED6" w:rsidTr="00326326">
                <w:trPr>
                  <w:cantSplit/>
                </w:trPr>
                <w:tc>
                  <w:tcPr>
                    <w:tcW w:w="5040" w:type="dxa"/>
                  </w:tcPr>
                  <w:p w:rsidR="007F3ED6" w:rsidRDefault="007F3ED6" w:rsidP="00326326">
                    <w:pPr>
                      <w:pStyle w:val="CIRSourceNote"/>
                    </w:pPr>
                    <w:r>
                      <w:t>Source: Company data, Citi Research estimates</w:t>
                    </w:r>
                  </w:p>
                </w:tc>
                <w:tc>
                  <w:tcPr>
                    <w:tcW w:w="140" w:type="dxa"/>
                  </w:tcPr>
                  <w:p w:rsidR="007F3ED6" w:rsidRDefault="007F3ED6" w:rsidP="00326326">
                    <w:pPr>
                      <w:pStyle w:val="CIRSourceNote"/>
                    </w:pPr>
                  </w:p>
                </w:tc>
                <w:tc>
                  <w:tcPr>
                    <w:tcW w:w="5040" w:type="dxa"/>
                  </w:tcPr>
                  <w:p w:rsidR="007F3ED6" w:rsidRDefault="007F3ED6" w:rsidP="00326326">
                    <w:pPr>
                      <w:pStyle w:val="CIRSourceNote"/>
                    </w:pPr>
                    <w:r>
                      <w:t>Source: Company data, Citi Research estimates</w:t>
                    </w:r>
                  </w:p>
                </w:tc>
              </w:tr>
            </w:tbl>
            <w:p w:rsidR="007F3ED6" w:rsidRDefault="007F3ED6" w:rsidP="007F3ED6">
              <w:pPr>
                <w:pStyle w:val="Heading3"/>
              </w:pPr>
            </w:p>
            <w:p w:rsidR="007F3ED6" w:rsidRDefault="007F3ED6" w:rsidP="007F3ED6">
              <w:pPr>
                <w:pStyle w:val="Heading3"/>
              </w:pPr>
              <w:r>
                <w:t>UC margin-accretive, on our estimates…</w:t>
              </w:r>
            </w:p>
            <w:p w:rsidR="007F3ED6" w:rsidRDefault="007F3ED6" w:rsidP="007F3ED6">
              <w:pPr>
                <w:pStyle w:val="CIRBodyText"/>
              </w:pPr>
              <w:r>
                <w:t xml:space="preserve">We believe there may be a misperception in the market that pressure on Netcom’s gross margin has been caused by the significant growth in Unified Communications (UC) headsets, given </w:t>
              </w:r>
              <w:r w:rsidRPr="00336455">
                <w:t>management commentary that UC ASPs</w:t>
              </w:r>
              <w:r>
                <w:t xml:space="preserve"> are below those for Traditional CC&amp;O Headsets. However, despite the c10% discount (cUS$60-70) to traditional CC&amp;O headsets (cUS$65-75), we estimate that the UC gross margin is still above the Netcom average, given dilution from Mobile headsets (ASP cUS$35, as discussed above). </w:t>
              </w:r>
            </w:p>
            <w:p w:rsidR="007F3ED6" w:rsidRDefault="007F3ED6" w:rsidP="007F3ED6">
              <w:pPr>
                <w:pStyle w:val="CIRBodyText"/>
              </w:pPr>
              <w:r>
                <w:t xml:space="preserve">Furthermore, this accretion may be higher at the EBITA level as UC sales have scale benefits, in our view, as they tend to be sold at a higher volume per contract as many corporates are currently rolling-out firm-wide UC installations. </w:t>
              </w:r>
            </w:p>
            <w:tbl>
              <w:tblPr>
                <w:tblStyle w:val="CIRTable"/>
                <w:tblW w:w="6700" w:type="dxa"/>
                <w:tblLayout w:type="fixed"/>
                <w:tblLook w:val="04A0" w:firstRow="1" w:lastRow="0" w:firstColumn="1" w:lastColumn="0" w:noHBand="0" w:noVBand="1"/>
                <w:tblDescription w:val="1|Body|0"/>
              </w:tblPr>
              <w:tblGrid>
                <w:gridCol w:w="6700"/>
              </w:tblGrid>
              <w:tr w:rsidR="007F3ED6" w:rsidTr="00326326">
                <w:trPr>
                  <w:cnfStyle w:val="100000000000" w:firstRow="1" w:lastRow="0" w:firstColumn="0" w:lastColumn="0" w:oddVBand="0" w:evenVBand="0" w:oddHBand="0" w:evenHBand="0" w:firstRowFirstColumn="0" w:firstRowLastColumn="0" w:lastRowFirstColumn="0" w:lastRowLastColumn="0"/>
                  <w:cantSplit/>
                </w:trPr>
                <w:tc>
                  <w:tcPr>
                    <w:tcW w:w="6700" w:type="dxa"/>
                  </w:tcPr>
                  <w:p w:rsidR="007F3ED6" w:rsidRDefault="007F3ED6" w:rsidP="00326326">
                    <w:pPr>
                      <w:pStyle w:val="CIRCaption"/>
                    </w:pPr>
                    <w:r>
                      <w:t xml:space="preserve">Figure </w:t>
                    </w:r>
                    <w:fldSimple w:instr=" SEQ Figure \* ARABIC ">
                      <w:r>
                        <w:rPr>
                          <w:noProof/>
                        </w:rPr>
                        <w:t>44</w:t>
                      </w:r>
                    </w:fldSimple>
                    <w:r>
                      <w:t xml:space="preserve">. GN Netcom gross margin breakdown </w:t>
                    </w:r>
                  </w:p>
                </w:tc>
              </w:tr>
              <w:tr w:rsidR="007F3ED6" w:rsidTr="00326326">
                <w:trPr>
                  <w:cantSplit/>
                  <w:trHeight w:val="160"/>
                </w:trPr>
                <w:tc>
                  <w:tcPr>
                    <w:tcW w:w="6700" w:type="dxa"/>
                  </w:tcPr>
                  <w:p w:rsidR="007F3ED6" w:rsidRDefault="007F3ED6" w:rsidP="00326326">
                    <w:pPr>
                      <w:pStyle w:val="CIRFigure"/>
                    </w:pPr>
                    <w:r>
                      <w:rPr>
                        <w:lang w:eastAsia="en-US"/>
                      </w:rPr>
                      <w:object w:dxaOrig="7335" w:dyaOrig="3826">
                        <v:shape id="_x0000_i1052" type="#_x0000_t75" alt="CIRACHART" style="width:334.5pt;height:174.45pt" o:ole="">
                          <v:imagedata r:id="rId88" o:title=""/>
                        </v:shape>
                        <o:OLEObject Type="Link" ProgID="Excel.SheetMacroEnabled.12" ShapeID="_x0000_i1052" DrawAspect="Content" r:id="rId89" UpdateMode="OnCall">
                          <o:LinkType>EnhancedMetaFile</o:LinkType>
                          <o:LockedField/>
                          <o:FieldCodes>\* MERGEFORMAT</o:FieldCodes>
                        </o:OLEObject>
                      </w:object>
                    </w:r>
                  </w:p>
                </w:tc>
              </w:tr>
              <w:tr w:rsidR="007F3ED6" w:rsidTr="00326326">
                <w:trPr>
                  <w:cantSplit/>
                </w:trPr>
                <w:tc>
                  <w:tcPr>
                    <w:tcW w:w="6700" w:type="dxa"/>
                  </w:tcPr>
                  <w:p w:rsidR="007F3ED6" w:rsidRDefault="007F3ED6" w:rsidP="00326326">
                    <w:pPr>
                      <w:pStyle w:val="CIRSourceNote"/>
                    </w:pPr>
                    <w:r>
                      <w:t>Source: Citi Research estimates</w:t>
                    </w:r>
                  </w:p>
                </w:tc>
              </w:tr>
            </w:tbl>
            <w:p w:rsidR="007F3ED6" w:rsidRDefault="007F3ED6" w:rsidP="007F3ED6">
              <w:pPr>
                <w:pStyle w:val="CIRMaster"/>
              </w:pPr>
            </w:p>
            <w:p w:rsidR="007F3ED6" w:rsidRDefault="007F3ED6" w:rsidP="007F3ED6">
              <w:pPr>
                <w:pStyle w:val="Heading3"/>
              </w:pPr>
              <w:r w:rsidRPr="00372BCD">
                <w:t>…and the growth driver for the business on our forecasts</w:t>
              </w:r>
            </w:p>
            <w:p w:rsidR="007F3ED6" w:rsidRDefault="007F3ED6" w:rsidP="007F3ED6">
              <w:pPr>
                <w:pStyle w:val="CIRBodyText"/>
              </w:pPr>
              <w:r>
                <w:t xml:space="preserve">Given the above and our &gt;25% sales CAGR for Netcom’s UC headset </w:t>
              </w:r>
              <w:r w:rsidRPr="000E7019">
                <w:t xml:space="preserve">business </w:t>
              </w:r>
              <w:r>
                <w:rPr>
                  <w:lang w:val="en-GB"/>
                </w:rPr>
                <w:t xml:space="preserve">2014-17E (discussed in more detail </w:t>
              </w:r>
              <w:r w:rsidRPr="00336455">
                <w:rPr>
                  <w:lang w:val="en-GB"/>
                </w:rPr>
                <w:t>below) vs our relatively</w:t>
              </w:r>
              <w:r>
                <w:rPr>
                  <w:lang w:val="en-GB"/>
                </w:rPr>
                <w:t xml:space="preserve"> pessimistic forecasts for the mobile headset business, we forecast a turnaround in Netcom’s EBITA margin to 19.4% in 2016E – slightly above the company’s 18-19% target range in its 2014-16 strategy.</w:t>
              </w:r>
            </w:p>
            <w:p w:rsidR="007F3ED6" w:rsidRDefault="007F3ED6" w:rsidP="007F3ED6">
              <w:pPr>
                <w:pStyle w:val="Heading2"/>
                <w:rPr>
                  <w:lang w:val="en-GB"/>
                </w:rPr>
              </w:pPr>
              <w:bookmarkStart w:id="72" w:name="_Toc406403988"/>
              <w:bookmarkStart w:id="73" w:name="_Toc406509705"/>
              <w:r>
                <w:rPr>
                  <w:lang w:val="en-GB"/>
                </w:rPr>
                <w:t>CC&amp;O Headsets (23% of Group sales)</w:t>
              </w:r>
              <w:bookmarkEnd w:id="72"/>
              <w:bookmarkEnd w:id="73"/>
            </w:p>
            <w:p w:rsidR="007F3ED6" w:rsidRDefault="007F3ED6" w:rsidP="007F3ED6">
              <w:pPr>
                <w:pStyle w:val="Heading3"/>
                <w:rPr>
                  <w:lang w:val="en-GB"/>
                </w:rPr>
              </w:pPr>
              <w:r>
                <w:rPr>
                  <w:lang w:val="en-GB"/>
                </w:rPr>
                <w:t>Duopolistic market</w:t>
              </w:r>
            </w:p>
            <w:p w:rsidR="007F3ED6" w:rsidRDefault="007F3ED6" w:rsidP="007F3ED6">
              <w:pPr>
                <w:pStyle w:val="CIRBodyText"/>
                <w:rPr>
                  <w:lang w:val="en-GB"/>
                </w:rPr>
              </w:pPr>
              <w:r>
                <w:rPr>
                  <w:lang w:val="en-GB"/>
                </w:rPr>
                <w:t xml:space="preserve">The Contact Centres &amp; Offices (CC&amp;O) headset market was worth around US$1.1bn in 2013 (DKK5.6bn), on our estimates, with around 80% of the market being controlled by GN Netcom and US-based competitor Plantronics (PLT). Other notable competitors include Logitech and Sennheiser Communications, although they appear to have been unsuccessful thus far in taking significant share away from GN and PLT. </w:t>
              </w:r>
            </w:p>
            <w:tbl>
              <w:tblPr>
                <w:tblStyle w:val="CIRTable"/>
                <w:tblW w:w="10220" w:type="dxa"/>
                <w:tblInd w:w="-3528" w:type="dxa"/>
                <w:tblLayout w:type="fixed"/>
                <w:tblLook w:val="04A0" w:firstRow="1" w:lastRow="0" w:firstColumn="1" w:lastColumn="0" w:noHBand="0" w:noVBand="1"/>
                <w:tblCaption w:val="dblChart"/>
              </w:tblPr>
              <w:tblGrid>
                <w:gridCol w:w="4992"/>
                <w:gridCol w:w="236"/>
                <w:gridCol w:w="4992"/>
              </w:tblGrid>
              <w:tr w:rsidR="007F3ED6" w:rsidTr="00326326">
                <w:trPr>
                  <w:cnfStyle w:val="100000000000" w:firstRow="1" w:lastRow="0" w:firstColumn="0" w:lastColumn="0" w:oddVBand="0" w:evenVBand="0" w:oddHBand="0" w:evenHBand="0" w:firstRowFirstColumn="0" w:firstRowLastColumn="0" w:lastRowFirstColumn="0" w:lastRowLastColumn="0"/>
                </w:trPr>
                <w:tc>
                  <w:tcPr>
                    <w:tcW w:w="4992" w:type="dxa"/>
                  </w:tcPr>
                  <w:p w:rsidR="007F3ED6" w:rsidRDefault="007F3ED6" w:rsidP="00326326">
                    <w:pPr>
                      <w:pStyle w:val="CIRCaption"/>
                    </w:pPr>
                    <w:r>
                      <w:t xml:space="preserve">Figure </w:t>
                    </w:r>
                    <w:fldSimple w:instr=" SEQ Figure \* ARABIC ">
                      <w:r>
                        <w:rPr>
                          <w:noProof/>
                        </w:rPr>
                        <w:t>45</w:t>
                      </w:r>
                    </w:fldSimple>
                    <w:r>
                      <w:t xml:space="preserve">. Contact Centre &amp; Office headset market shares, 2013 </w:t>
                    </w:r>
                  </w:p>
                </w:tc>
                <w:tc>
                  <w:tcPr>
                    <w:tcW w:w="236" w:type="dxa"/>
                  </w:tcPr>
                  <w:p w:rsidR="007F3ED6" w:rsidRDefault="007F3ED6" w:rsidP="00326326">
                    <w:pPr>
                      <w:pStyle w:val="CIRT-Left"/>
                    </w:pPr>
                  </w:p>
                </w:tc>
                <w:tc>
                  <w:tcPr>
                    <w:tcW w:w="4992" w:type="dxa"/>
                  </w:tcPr>
                  <w:p w:rsidR="007F3ED6" w:rsidRDefault="007F3ED6" w:rsidP="00326326">
                    <w:pPr>
                      <w:pStyle w:val="CIRCaption"/>
                    </w:pPr>
                    <w:r>
                      <w:t xml:space="preserve">Figure </w:t>
                    </w:r>
                    <w:fldSimple w:instr=" SEQ Figure \* ARABIC ">
                      <w:r>
                        <w:rPr>
                          <w:noProof/>
                        </w:rPr>
                        <w:t>46</w:t>
                      </w:r>
                    </w:fldSimple>
                    <w:r>
                      <w:t>. CC&amp;O headset market growth has improved due to UC</w:t>
                    </w:r>
                  </w:p>
                </w:tc>
              </w:tr>
              <w:tr w:rsidR="007F3ED6" w:rsidRPr="004B3078" w:rsidTr="00326326">
                <w:tblPrEx>
                  <w:tblCellMar>
                    <w:left w:w="108" w:type="dxa"/>
                    <w:right w:w="108" w:type="dxa"/>
                  </w:tblCellMar>
                </w:tblPrEx>
                <w:trPr>
                  <w:cantSplit/>
                </w:trPr>
                <w:tc>
                  <w:tcPr>
                    <w:tcW w:w="4992" w:type="dxa"/>
                  </w:tcPr>
                  <w:p w:rsidR="007F3ED6" w:rsidRPr="004B3078" w:rsidRDefault="007F3ED6" w:rsidP="00326326">
                    <w:pPr>
                      <w:pStyle w:val="CIRFigure"/>
                    </w:pPr>
                    <w:r>
                      <w:rPr>
                        <w:noProof/>
                      </w:rPr>
                      <w:drawing>
                        <wp:inline distT="0" distB="0" distL="0" distR="0" wp14:anchorId="62D3DB75" wp14:editId="7497092B">
                          <wp:extent cx="1967969" cy="1857374"/>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tc>
                <w:tc>
                  <w:tcPr>
                    <w:tcW w:w="236" w:type="dxa"/>
                  </w:tcPr>
                  <w:p w:rsidR="007F3ED6" w:rsidRPr="004B3078" w:rsidRDefault="007F3ED6" w:rsidP="00326326">
                    <w:pPr>
                      <w:pStyle w:val="CIRFigure"/>
                    </w:pPr>
                  </w:p>
                </w:tc>
                <w:tc>
                  <w:tcPr>
                    <w:tcW w:w="4992" w:type="dxa"/>
                  </w:tcPr>
                  <w:p w:rsidR="007F3ED6" w:rsidRPr="004B3078" w:rsidRDefault="007F3ED6" w:rsidP="00326326">
                    <w:pPr>
                      <w:pStyle w:val="CIRFigure"/>
                    </w:pPr>
                    <w:r>
                      <w:rPr>
                        <w:lang w:eastAsia="en-US"/>
                      </w:rPr>
                      <w:object w:dxaOrig="6525" w:dyaOrig="3540">
                        <v:shape id="_x0000_i1053" type="#_x0000_t75" style="width:249.6pt;height:135.95pt" o:ole="">
                          <v:imagedata r:id="rId91" o:title=""/>
                        </v:shape>
                        <o:OLEObject Type="Link" ProgID="Excel.Sheet.12" ShapeID="_x0000_i1053" DrawAspect="Content" r:id="rId92" UpdateMode="OnCall">
                          <o:LinkType>EnhancedMetaFile</o:LinkType>
                          <o:LockedField/>
                          <o:FieldCodes>\* MERGEFORMAT</o:FieldCodes>
                        </o:OLEObject>
                      </w:object>
                    </w:r>
                  </w:p>
                </w:tc>
              </w:tr>
              <w:tr w:rsidR="007F3ED6" w:rsidTr="00326326">
                <w:trPr>
                  <w:cantSplit/>
                </w:trPr>
                <w:tc>
                  <w:tcPr>
                    <w:tcW w:w="4992" w:type="dxa"/>
                  </w:tcPr>
                  <w:p w:rsidR="007F3ED6" w:rsidRDefault="007F3ED6" w:rsidP="00326326">
                    <w:pPr>
                      <w:pStyle w:val="CIRSourceNote"/>
                    </w:pPr>
                    <w:r>
                      <w:t>Source: Company data, Citi Research</w:t>
                    </w:r>
                  </w:p>
                </w:tc>
                <w:tc>
                  <w:tcPr>
                    <w:tcW w:w="236" w:type="dxa"/>
                  </w:tcPr>
                  <w:p w:rsidR="007F3ED6" w:rsidRDefault="007F3ED6" w:rsidP="00326326">
                    <w:pPr>
                      <w:pStyle w:val="CIRSourceNote"/>
                    </w:pPr>
                  </w:p>
                </w:tc>
                <w:tc>
                  <w:tcPr>
                    <w:tcW w:w="4992" w:type="dxa"/>
                  </w:tcPr>
                  <w:p w:rsidR="007F3ED6" w:rsidRDefault="007F3ED6" w:rsidP="00326326">
                    <w:pPr>
                      <w:pStyle w:val="CIRSourceNote"/>
                    </w:pPr>
                    <w:r>
                      <w:t>Note: Plantronics rebased to DKK for comparability with GN Netcom.</w:t>
                    </w:r>
                    <w:r>
                      <w:br/>
                      <w:t>Source: Company data, Citi Research</w:t>
                    </w:r>
                  </w:p>
                </w:tc>
              </w:tr>
            </w:tbl>
            <w:p w:rsidR="007F3ED6" w:rsidRDefault="007F3ED6" w:rsidP="007F3ED6">
              <w:pPr>
                <w:pStyle w:val="Heading3"/>
                <w:rPr>
                  <w:lang w:val="en-GB"/>
                </w:rPr>
              </w:pPr>
            </w:p>
            <w:p w:rsidR="007F3ED6" w:rsidRDefault="007F3ED6" w:rsidP="007F3ED6">
              <w:pPr>
                <w:pStyle w:val="Heading3"/>
                <w:rPr>
                  <w:lang w:val="en-GB"/>
                </w:rPr>
              </w:pPr>
              <w:r>
                <w:rPr>
                  <w:lang w:val="en-GB"/>
                </w:rPr>
                <w:t>Barriers to entry underappreciated</w:t>
              </w:r>
            </w:p>
            <w:p w:rsidR="007F3ED6" w:rsidRDefault="007F3ED6" w:rsidP="007F3ED6">
              <w:pPr>
                <w:pStyle w:val="CIRBodyText"/>
              </w:pPr>
              <w:r>
                <w:rPr>
                  <w:lang w:val="en-GB"/>
                </w:rPr>
                <w:t xml:space="preserve">Being a </w:t>
              </w:r>
              <w:r w:rsidRPr="002E3541">
                <w:rPr>
                  <w:lang w:val="en-GB"/>
                </w:rPr>
                <w:t>B2B market, we believe that barriers to entry are higher than many market participants appreciate as</w:t>
              </w:r>
              <w:r>
                <w:rPr>
                  <w:lang w:val="en-GB"/>
                </w:rPr>
                <w:t xml:space="preserve"> business telephony and software providers (eg Microsoft, Cisco and Avaya) employ rigorous headset </w:t>
              </w:r>
              <w:r w:rsidRPr="00336455">
                <w:rPr>
                  <w:lang w:val="en-GB"/>
                </w:rPr>
                <w:t>certification processes to ensure that compatible headsets work seamlessly and do not adversely effect user experience. In addition, headset manufacturers need to build and maintain relationships with system integrators (IT consultants), who also play an important role</w:t>
              </w:r>
              <w:r>
                <w:rPr>
                  <w:lang w:val="en-GB"/>
                </w:rPr>
                <w:t xml:space="preserve"> in recommending which manufacturers’ headsets to deploy </w:t>
              </w:r>
              <w:r w:rsidRPr="00C95A27">
                <w:rPr>
                  <w:lang w:val="en-GB"/>
                </w:rPr>
                <w:t xml:space="preserve">across an organisation. </w:t>
              </w:r>
              <w:r w:rsidRPr="00C95A27">
                <w:t xml:space="preserve">GN believes that its proximity to customers and ability to provide customized </w:t>
              </w:r>
              <w:r w:rsidRPr="00D85B5E">
                <w:t>solutions has been key to its recent CC&amp;O market share gains (see Figure 49).</w:t>
              </w:r>
              <w:r>
                <w:t xml:space="preserve"> </w:t>
              </w:r>
            </w:p>
            <w:p w:rsidR="007F3ED6" w:rsidRPr="00C95A27" w:rsidRDefault="007F3ED6" w:rsidP="007F3ED6">
              <w:pPr>
                <w:pStyle w:val="Heading3"/>
                <w:rPr>
                  <w:rFonts w:ascii="Gotham-Book" w:eastAsia="Gotham-Book" w:hAnsiTheme="minorHAnsi" w:cs="Gotham-Book"/>
                  <w:sz w:val="16"/>
                  <w:szCs w:val="16"/>
                  <w:lang w:val="en-GB"/>
                </w:rPr>
              </w:pPr>
              <w:r>
                <w:t>Netcom has preferred supplier status with UC software providers</w:t>
              </w:r>
            </w:p>
            <w:p w:rsidR="007F3ED6" w:rsidRDefault="007F3ED6" w:rsidP="007F3ED6">
              <w:pPr>
                <w:pStyle w:val="CIRBodyText"/>
                <w:rPr>
                  <w:lang w:val="en-GB"/>
                </w:rPr>
              </w:pPr>
              <w:r w:rsidRPr="008E1E45">
                <w:rPr>
                  <w:lang w:val="en-GB"/>
                </w:rPr>
                <w:t xml:space="preserve">Netcom has obtained preferred supplier status among all of the largest </w:t>
              </w:r>
              <w:r>
                <w:rPr>
                  <w:lang w:val="en-GB"/>
                </w:rPr>
                <w:t xml:space="preserve">suppliers </w:t>
              </w:r>
              <w:r w:rsidRPr="00851F34">
                <w:rPr>
                  <w:lang w:val="en-GB"/>
                </w:rPr>
                <w:t xml:space="preserve">of UC </w:t>
              </w:r>
              <w:r>
                <w:rPr>
                  <w:lang w:val="en-GB"/>
                </w:rPr>
                <w:t>software and solutions, being</w:t>
              </w:r>
              <w:r w:rsidRPr="00851F34">
                <w:rPr>
                  <w:lang w:val="en-GB"/>
                </w:rPr>
                <w:t xml:space="preserve"> Microsoft</w:t>
              </w:r>
              <w:r>
                <w:rPr>
                  <w:lang w:val="en-GB"/>
                </w:rPr>
                <w:t xml:space="preserve"> (Lync, etc)</w:t>
              </w:r>
              <w:r w:rsidRPr="00851F34">
                <w:rPr>
                  <w:lang w:val="en-GB"/>
                </w:rPr>
                <w:t>, Cisco</w:t>
              </w:r>
              <w:r>
                <w:rPr>
                  <w:lang w:val="en-GB"/>
                </w:rPr>
                <w:t xml:space="preserve"> (Jabber, etc)</w:t>
              </w:r>
              <w:r w:rsidRPr="00851F34">
                <w:rPr>
                  <w:lang w:val="en-GB"/>
                </w:rPr>
                <w:t xml:space="preserve"> and Avaya</w:t>
              </w:r>
              <w:r>
                <w:rPr>
                  <w:lang w:val="en-GB"/>
                </w:rPr>
                <w:t xml:space="preserve"> (</w:t>
              </w:r>
              <w:r w:rsidRPr="00A10DE2">
                <w:rPr>
                  <w:lang w:val="en-GB"/>
                </w:rPr>
                <w:t>Aura, etc). Indeed, during 2013 GN Netcom was appointed a Cisco “Preferred Solution Developer”, the highest ranking within the Cisco Developer Network, as the only B2B headset supplier.</w:t>
              </w:r>
              <w:r>
                <w:rPr>
                  <w:lang w:val="en-GB"/>
                </w:rPr>
                <w:t xml:space="preserve"> </w:t>
              </w:r>
            </w:p>
            <w:p w:rsidR="007F3ED6" w:rsidRPr="004325B3" w:rsidRDefault="007F3ED6" w:rsidP="007F3ED6">
              <w:pPr>
                <w:pStyle w:val="Heading3"/>
                <w:rPr>
                  <w:lang w:val="en-GB"/>
                </w:rPr>
              </w:pPr>
              <w:r w:rsidRPr="00336455">
                <w:rPr>
                  <w:lang w:val="en-GB"/>
                </w:rPr>
                <w:t>UC deployment to drive up office headset</w:t>
              </w:r>
              <w:r w:rsidRPr="00F27210">
                <w:rPr>
                  <w:lang w:val="en-GB"/>
                </w:rPr>
                <w:t xml:space="preserve"> attachment rates</w:t>
              </w:r>
            </w:p>
            <w:p w:rsidR="007F3ED6" w:rsidRDefault="007F3ED6" w:rsidP="007F3ED6">
              <w:pPr>
                <w:pStyle w:val="CIRBodyText"/>
                <w:rPr>
                  <w:lang w:val="en-GB"/>
                </w:rPr>
              </w:pPr>
              <w:r>
                <w:rPr>
                  <w:lang w:val="en-GB"/>
                </w:rPr>
                <w:t>Unified Communications (UC) is the integration of office communication services (email, telephony, audio/video conferencing) onto one common technology platform. When UC is deployed in an office, a far greater proportion of communication takes place through a computer and headset vs a desk phone. Hence, feedback from the key market participants suggests t</w:t>
              </w:r>
              <w:r w:rsidRPr="00CA77DF">
                <w:rPr>
                  <w:lang w:val="en-GB"/>
                </w:rPr>
                <w:t xml:space="preserve">he average headset attachment rate for </w:t>
              </w:r>
              <w:r>
                <w:rPr>
                  <w:lang w:val="en-GB"/>
                </w:rPr>
                <w:t xml:space="preserve">offices with </w:t>
              </w:r>
              <w:r w:rsidRPr="00CA77DF">
                <w:rPr>
                  <w:lang w:val="en-GB"/>
                </w:rPr>
                <w:t>UC</w:t>
              </w:r>
              <w:r>
                <w:rPr>
                  <w:lang w:val="en-GB"/>
                </w:rPr>
                <w:t xml:space="preserve"> is c40-</w:t>
              </w:r>
              <w:r w:rsidRPr="00CA77DF">
                <w:rPr>
                  <w:lang w:val="en-GB"/>
                </w:rPr>
                <w:t xml:space="preserve">45% </w:t>
              </w:r>
              <w:r>
                <w:rPr>
                  <w:lang w:val="en-GB"/>
                </w:rPr>
                <w:t>vs &lt;5% for those without UC</w:t>
              </w:r>
              <w:r w:rsidRPr="00CA77DF">
                <w:rPr>
                  <w:lang w:val="en-GB"/>
                </w:rPr>
                <w:t>.</w:t>
              </w:r>
            </w:p>
            <w:tbl>
              <w:tblPr>
                <w:tblStyle w:val="CIRTable"/>
                <w:tblW w:w="6700" w:type="dxa"/>
                <w:tblLayout w:type="fixed"/>
                <w:tblLook w:val="04A0" w:firstRow="1" w:lastRow="0" w:firstColumn="1" w:lastColumn="0" w:noHBand="0" w:noVBand="1"/>
                <w:tblCaption w:val="EmbedTable"/>
                <w:tblDescription w:val="1|Body|0"/>
              </w:tblPr>
              <w:tblGrid>
                <w:gridCol w:w="670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6700" w:type="dxa"/>
                  </w:tcPr>
                  <w:p w:rsidR="007F3ED6" w:rsidRDefault="007F3ED6" w:rsidP="00326326">
                    <w:pPr>
                      <w:pStyle w:val="CIRCaption"/>
                    </w:pPr>
                    <w:r>
                      <w:t xml:space="preserve">Figure </w:t>
                    </w:r>
                    <w:fldSimple w:instr=" SEQ Figure \* ARABIC ">
                      <w:r>
                        <w:rPr>
                          <w:noProof/>
                        </w:rPr>
                        <w:t>47</w:t>
                      </w:r>
                    </w:fldSimple>
                    <w:r>
                      <w:t>. Headset attachment rate significantly higher in UC equipped offices</w:t>
                    </w:r>
                  </w:p>
                </w:tc>
              </w:tr>
              <w:tr w:rsidR="007F3ED6" w:rsidTr="00326326">
                <w:trPr>
                  <w:trHeight w:val="160"/>
                </w:trPr>
                <w:tc>
                  <w:tcPr>
                    <w:tcW w:w="6700" w:type="dxa"/>
                  </w:tcPr>
                  <w:tbl>
                    <w:tblPr>
                      <w:tblStyle w:val="CIRTableNoLines"/>
                      <w:tblW w:w="6700" w:type="dxa"/>
                      <w:tblLayout w:type="fixed"/>
                      <w:tblLook w:val="04A0" w:firstRow="1" w:lastRow="0" w:firstColumn="1" w:lastColumn="0" w:noHBand="0" w:noVBand="1"/>
                      <w:tblCaption w:val="EmbedTable"/>
                      <w:tblDescription w:val="1|Body|0"/>
                    </w:tblPr>
                    <w:tblGrid>
                      <w:gridCol w:w="3350"/>
                      <w:gridCol w:w="3350"/>
                    </w:tblGrid>
                    <w:tr w:rsidR="007F3ED6" w:rsidRPr="007A2EF4" w:rsidTr="00326326">
                      <w:trPr>
                        <w:cnfStyle w:val="100000000000" w:firstRow="1" w:lastRow="0" w:firstColumn="0" w:lastColumn="0" w:oddVBand="0" w:evenVBand="0" w:oddHBand="0" w:evenHBand="0" w:firstRowFirstColumn="0" w:firstRowLastColumn="0" w:lastRowFirstColumn="0" w:lastRowLastColumn="0"/>
                      </w:trPr>
                      <w:tc>
                        <w:tcPr>
                          <w:tcW w:w="3350" w:type="dxa"/>
                          <w:tcBorders>
                            <w:top w:val="single" w:sz="4" w:space="0" w:color="FFFFFF"/>
                            <w:left w:val="single" w:sz="4" w:space="0" w:color="FFFFFF"/>
                            <w:bottom w:val="single" w:sz="4" w:space="0" w:color="FFFFFF"/>
                            <w:right w:val="single" w:sz="4" w:space="0" w:color="FFFFFF"/>
                          </w:tcBorders>
                          <w:shd w:val="clear" w:color="auto" w:fill="002D72"/>
                        </w:tcPr>
                        <w:p w:rsidR="007F3ED6" w:rsidRPr="007A2EF4" w:rsidRDefault="007F3ED6" w:rsidP="00326326">
                          <w:pPr>
                            <w:pStyle w:val="CIRT-LeftBold"/>
                            <w:jc w:val="center"/>
                            <w:rPr>
                              <w:color w:val="FFFFFF"/>
                            </w:rPr>
                          </w:pPr>
                          <w:r>
                            <w:rPr>
                              <w:color w:val="FFFFFF"/>
                            </w:rPr>
                            <w:t>Office type</w:t>
                          </w:r>
                        </w:p>
                      </w:tc>
                      <w:tc>
                        <w:tcPr>
                          <w:tcW w:w="3350" w:type="dxa"/>
                          <w:tcBorders>
                            <w:top w:val="single" w:sz="4" w:space="0" w:color="FFFFFF"/>
                            <w:left w:val="single" w:sz="4" w:space="0" w:color="FFFFFF"/>
                            <w:bottom w:val="single" w:sz="4" w:space="0" w:color="FFFFFF"/>
                            <w:right w:val="single" w:sz="4" w:space="0" w:color="FFFFFF"/>
                          </w:tcBorders>
                          <w:shd w:val="clear" w:color="auto" w:fill="002D72"/>
                        </w:tcPr>
                        <w:p w:rsidR="007F3ED6" w:rsidRPr="007A2EF4" w:rsidRDefault="007F3ED6" w:rsidP="00326326">
                          <w:pPr>
                            <w:pStyle w:val="CIRT-RightBold"/>
                            <w:jc w:val="center"/>
                            <w:rPr>
                              <w:color w:val="FFFFFF"/>
                            </w:rPr>
                          </w:pPr>
                          <w:r>
                            <w:rPr>
                              <w:color w:val="FFFFFF"/>
                            </w:rPr>
                            <w:t>Headset attachment rate</w:t>
                          </w:r>
                        </w:p>
                      </w:tc>
                    </w:tr>
                    <w:tr w:rsidR="007F3ED6" w:rsidRPr="007A2EF4" w:rsidTr="00326326">
                      <w:tc>
                        <w:tcPr>
                          <w:tcW w:w="3350" w:type="dxa"/>
                          <w:tcBorders>
                            <w:top w:val="single" w:sz="4" w:space="0" w:color="FFFFFF"/>
                          </w:tcBorders>
                          <w:shd w:val="clear" w:color="auto" w:fill="auto"/>
                        </w:tcPr>
                        <w:p w:rsidR="007F3ED6" w:rsidRPr="007A2EF4" w:rsidRDefault="007F3ED6" w:rsidP="00326326">
                          <w:pPr>
                            <w:pStyle w:val="CIRT-Left"/>
                            <w:jc w:val="center"/>
                          </w:pPr>
                          <w:r>
                            <w:t>Office with UC</w:t>
                          </w:r>
                        </w:p>
                      </w:tc>
                      <w:tc>
                        <w:tcPr>
                          <w:tcW w:w="3350" w:type="dxa"/>
                          <w:tcBorders>
                            <w:top w:val="single" w:sz="4" w:space="0" w:color="FFFFFF"/>
                          </w:tcBorders>
                          <w:shd w:val="clear" w:color="auto" w:fill="auto"/>
                        </w:tcPr>
                        <w:p w:rsidR="007F3ED6" w:rsidRPr="007A2EF4" w:rsidRDefault="007F3ED6" w:rsidP="00326326">
                          <w:pPr>
                            <w:pStyle w:val="CIRT-Right"/>
                            <w:jc w:val="center"/>
                          </w:pPr>
                          <w:r>
                            <w:t>40-45%</w:t>
                          </w:r>
                        </w:p>
                      </w:tc>
                    </w:tr>
                    <w:tr w:rsidR="007F3ED6" w:rsidRPr="007A2EF4" w:rsidTr="00326326">
                      <w:tc>
                        <w:tcPr>
                          <w:tcW w:w="3350" w:type="dxa"/>
                          <w:shd w:val="clear" w:color="auto" w:fill="auto"/>
                        </w:tcPr>
                        <w:p w:rsidR="007F3ED6" w:rsidRPr="007A2EF4" w:rsidRDefault="007F3ED6" w:rsidP="00326326">
                          <w:pPr>
                            <w:pStyle w:val="CIRT-Left"/>
                            <w:jc w:val="center"/>
                          </w:pPr>
                          <w:r>
                            <w:t>Office without UC</w:t>
                          </w:r>
                        </w:p>
                      </w:tc>
                      <w:tc>
                        <w:tcPr>
                          <w:tcW w:w="3350" w:type="dxa"/>
                          <w:shd w:val="clear" w:color="auto" w:fill="auto"/>
                        </w:tcPr>
                        <w:p w:rsidR="007F3ED6" w:rsidRPr="007A2EF4" w:rsidRDefault="007F3ED6" w:rsidP="00326326">
                          <w:pPr>
                            <w:pStyle w:val="CIRT-Right"/>
                            <w:jc w:val="center"/>
                          </w:pPr>
                          <w:r>
                            <w:t>&lt;5%</w:t>
                          </w:r>
                        </w:p>
                      </w:tc>
                    </w:tr>
                  </w:tbl>
                  <w:p w:rsidR="007F3ED6" w:rsidRDefault="007F3ED6" w:rsidP="00326326">
                    <w:pPr>
                      <w:pStyle w:val="CIRMaster"/>
                      <w:spacing w:line="14" w:lineRule="auto"/>
                    </w:pPr>
                  </w:p>
                </w:tc>
              </w:tr>
              <w:tr w:rsidR="007F3ED6" w:rsidTr="00326326">
                <w:trPr>
                  <w:cantSplit/>
                </w:trPr>
                <w:tc>
                  <w:tcPr>
                    <w:tcW w:w="6700" w:type="dxa"/>
                  </w:tcPr>
                  <w:p w:rsidR="007F3ED6" w:rsidRDefault="007F3ED6" w:rsidP="00326326">
                    <w:pPr>
                      <w:pStyle w:val="CIRSourceNote"/>
                    </w:pPr>
                    <w:r>
                      <w:t xml:space="preserve">Source: Company data, Citi Research </w:t>
                    </w:r>
                  </w:p>
                </w:tc>
              </w:tr>
            </w:tbl>
            <w:p w:rsidR="007F3ED6" w:rsidRDefault="007F3ED6" w:rsidP="007F3ED6">
              <w:pPr>
                <w:pStyle w:val="CIRBodyText"/>
                <w:rPr>
                  <w:lang w:val="en-GB"/>
                </w:rPr>
              </w:pPr>
            </w:p>
            <w:p w:rsidR="007F3ED6" w:rsidRDefault="007F3ED6" w:rsidP="007F3ED6">
              <w:pPr>
                <w:pStyle w:val="CIRBodyText"/>
                <w:rPr>
                  <w:lang w:val="en-GB"/>
                </w:rPr>
              </w:pPr>
              <w:r>
                <w:rPr>
                  <w:lang w:val="en-GB"/>
                </w:rPr>
                <w:t xml:space="preserve">Importantly, UC also represents an attractive proposition for corporates as communication is simplified and efficiency improved by the ability to see whether an employee is in the office, travelling, offline, etc. and for </w:t>
              </w:r>
              <w:r w:rsidRPr="00CC2E33">
                <w:rPr>
                  <w:lang w:val="en-GB"/>
                </w:rPr>
                <w:t xml:space="preserve">employees </w:t>
              </w:r>
              <w:r>
                <w:rPr>
                  <w:lang w:val="en-GB"/>
                </w:rPr>
                <w:t>to</w:t>
              </w:r>
              <w:r w:rsidRPr="00CC2E33">
                <w:rPr>
                  <w:lang w:val="en-GB"/>
                </w:rPr>
                <w:t xml:space="preserve"> autom</w:t>
              </w:r>
              <w:r>
                <w:rPr>
                  <w:lang w:val="en-GB"/>
                </w:rPr>
                <w:t xml:space="preserve">atically redirect calls to their </w:t>
              </w:r>
              <w:r w:rsidRPr="00CC2E33">
                <w:rPr>
                  <w:lang w:val="en-GB"/>
                </w:rPr>
                <w:t xml:space="preserve">headsets when </w:t>
              </w:r>
              <w:r>
                <w:rPr>
                  <w:lang w:val="en-GB"/>
                </w:rPr>
                <w:t>travelling (eg via mobile/cell phone or laptop). According to Frost &amp; Sullivan, 80% of all companies deploying UC achieve a payback period of less than two years.</w:t>
              </w:r>
            </w:p>
            <w:p w:rsidR="007F3ED6" w:rsidRDefault="007F3ED6" w:rsidP="007F3ED6">
              <w:pPr>
                <w:pStyle w:val="Heading3"/>
                <w:rPr>
                  <w:lang w:val="en-GB"/>
                </w:rPr>
              </w:pPr>
              <w:r w:rsidRPr="002E3541">
                <w:rPr>
                  <w:lang w:val="en-GB"/>
                </w:rPr>
                <w:t>We forecast a 25% UC headset</w:t>
              </w:r>
              <w:r>
                <w:rPr>
                  <w:lang w:val="en-GB"/>
                </w:rPr>
                <w:t xml:space="preserve"> market CAGR 2015-18</w:t>
              </w:r>
            </w:p>
            <w:p w:rsidR="007F3ED6" w:rsidRDefault="007F3ED6" w:rsidP="007F3ED6">
              <w:pPr>
                <w:pStyle w:val="CIRBodyText"/>
                <w:rPr>
                  <w:lang w:val="en-GB"/>
                </w:rPr>
              </w:pPr>
              <w:r>
                <w:rPr>
                  <w:lang w:val="en-GB"/>
                </w:rPr>
                <w:t xml:space="preserve">The UC market has been growing rapidly since the launch of Microsoft’s Lync in 2H10 as large corporates have increasingly adopted UC technology and we estimate that the UC headset market has grown at a c40% CAGR 2011-14E.  Going forwards, GN expects the UC headset market to grow at a 30% CAGR 2014-16, while competitor Plantronics expects a 38-40% CAGR 2013-18. </w:t>
              </w:r>
            </w:p>
            <w:p w:rsidR="007F3ED6" w:rsidRDefault="007F3ED6" w:rsidP="007F3ED6">
              <w:pPr>
                <w:pStyle w:val="CIRBodyText"/>
                <w:rPr>
                  <w:lang w:val="en-GB"/>
                </w:rPr>
              </w:pPr>
              <w:r>
                <w:rPr>
                  <w:lang w:val="en-GB"/>
                </w:rPr>
                <w:t xml:space="preserve">We </w:t>
              </w:r>
              <w:r w:rsidRPr="00336455">
                <w:rPr>
                  <w:lang w:val="en-GB"/>
                </w:rPr>
                <w:t xml:space="preserve">more conservatively forecast a 25% UC headset market CAGR 2014E-17E as we </w:t>
              </w:r>
              <w:r w:rsidRPr="003B5375">
                <w:rPr>
                  <w:lang w:val="en-GB"/>
                </w:rPr>
                <w:t xml:space="preserve">caution that the CC&amp;O headset market could slow somewhat in the event of an economic slowdown, leading corporates to revise their capital expenditure plans (see </w:t>
              </w:r>
              <w:r>
                <w:rPr>
                  <w:lang w:val="en-GB"/>
                </w:rPr>
                <w:t>2008-09</w:t>
              </w:r>
              <w:r w:rsidRPr="003B5375">
                <w:rPr>
                  <w:lang w:val="en-GB"/>
                </w:rPr>
                <w:t>). Within CC&amp;O, we</w:t>
              </w:r>
              <w:r w:rsidRPr="00336455">
                <w:rPr>
                  <w:lang w:val="en-GB"/>
                </w:rPr>
                <w:t xml:space="preserve"> think UC should</w:t>
              </w:r>
              <w:r>
                <w:rPr>
                  <w:lang w:val="en-GB"/>
                </w:rPr>
                <w:t xml:space="preserve"> be relatively sheltered vs traditional CC&amp;O, given the short payback period mentioned above. </w:t>
              </w:r>
            </w:p>
            <w:tbl>
              <w:tblPr>
                <w:tblStyle w:val="CIRTable"/>
                <w:tblW w:w="10220" w:type="dxa"/>
                <w:tblInd w:w="-3528" w:type="dxa"/>
                <w:tblLayout w:type="fixed"/>
                <w:tblLook w:val="04A0" w:firstRow="1" w:lastRow="0" w:firstColumn="1" w:lastColumn="0" w:noHBand="0" w:noVBand="1"/>
                <w:tblCaption w:val="dblChart"/>
              </w:tblPr>
              <w:tblGrid>
                <w:gridCol w:w="5040"/>
                <w:gridCol w:w="140"/>
                <w:gridCol w:w="504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5040" w:type="dxa"/>
                  </w:tcPr>
                  <w:p w:rsidR="007F3ED6" w:rsidRDefault="007F3ED6" w:rsidP="00326326">
                    <w:pPr>
                      <w:pStyle w:val="CIRCaption"/>
                    </w:pPr>
                    <w:r>
                      <w:t xml:space="preserve">Figure </w:t>
                    </w:r>
                    <w:fldSimple w:instr=" SEQ Figure \* ARABIC ">
                      <w:r>
                        <w:rPr>
                          <w:noProof/>
                        </w:rPr>
                        <w:t>48</w:t>
                      </w:r>
                    </w:fldSimple>
                    <w:r>
                      <w:t xml:space="preserve">. UC headset market growth should remain strong (DKrbn) </w:t>
                    </w:r>
                  </w:p>
                </w:tc>
                <w:tc>
                  <w:tcPr>
                    <w:tcW w:w="140" w:type="dxa"/>
                  </w:tcPr>
                  <w:p w:rsidR="007F3ED6" w:rsidRDefault="007F3ED6" w:rsidP="00326326">
                    <w:pPr>
                      <w:pStyle w:val="CIRT-Left"/>
                    </w:pPr>
                  </w:p>
                </w:tc>
                <w:tc>
                  <w:tcPr>
                    <w:tcW w:w="5040" w:type="dxa"/>
                  </w:tcPr>
                  <w:p w:rsidR="007F3ED6" w:rsidRDefault="007F3ED6" w:rsidP="00326326">
                    <w:pPr>
                      <w:pStyle w:val="CIRCaption"/>
                    </w:pPr>
                    <w:r>
                      <w:t xml:space="preserve">Figure </w:t>
                    </w:r>
                    <w:fldSimple w:instr=" SEQ Figure \* ARABIC ">
                      <w:r>
                        <w:rPr>
                          <w:noProof/>
                        </w:rPr>
                        <w:t>49</w:t>
                      </w:r>
                    </w:fldSimple>
                    <w:r>
                      <w:t xml:space="preserve">. Netcom UC sales (DKKmn) and market share assumptions </w:t>
                    </w:r>
                  </w:p>
                </w:tc>
              </w:tr>
              <w:tr w:rsidR="007F3ED6" w:rsidRPr="003F55AB" w:rsidTr="00326326">
                <w:trPr>
                  <w:cantSplit/>
                </w:trPr>
                <w:tc>
                  <w:tcPr>
                    <w:tcW w:w="5040" w:type="dxa"/>
                  </w:tcPr>
                  <w:p w:rsidR="007F3ED6" w:rsidRPr="003F55AB" w:rsidRDefault="007F3ED6" w:rsidP="00326326">
                    <w:pPr>
                      <w:pStyle w:val="CIRFigure"/>
                    </w:pPr>
                    <w:r>
                      <w:rPr>
                        <w:lang w:eastAsia="en-US"/>
                      </w:rPr>
                      <w:object w:dxaOrig="6600" w:dyaOrig="3720">
                        <v:shape id="_x0000_i1054" type="#_x0000_t75" style="width:252.1pt;height:141.9pt" o:ole="">
                          <v:imagedata r:id="rId93" o:title=""/>
                        </v:shape>
                        <o:OLEObject Type="Link" ProgID="Excel.Sheet.12" ShapeID="_x0000_i1054" DrawAspect="Content" r:id="rId94" UpdateMode="OnCall">
                          <o:LinkType>EnhancedMetaFile</o:LinkType>
                          <o:LockedField/>
                          <o:FieldCodes>\* MERGEFORMAT</o:FieldCodes>
                        </o:OLEObject>
                      </w:object>
                    </w:r>
                  </w:p>
                </w:tc>
                <w:tc>
                  <w:tcPr>
                    <w:tcW w:w="140" w:type="dxa"/>
                  </w:tcPr>
                  <w:p w:rsidR="007F3ED6" w:rsidRPr="003F55AB" w:rsidRDefault="007F3ED6" w:rsidP="00326326">
                    <w:pPr>
                      <w:pStyle w:val="CIRFigure"/>
                    </w:pPr>
                  </w:p>
                </w:tc>
                <w:tc>
                  <w:tcPr>
                    <w:tcW w:w="5040" w:type="dxa"/>
                  </w:tcPr>
                  <w:p w:rsidR="007F3ED6" w:rsidRPr="003F55AB" w:rsidRDefault="007F3ED6" w:rsidP="00326326">
                    <w:pPr>
                      <w:pStyle w:val="CIRFigure"/>
                    </w:pPr>
                    <w:r>
                      <w:rPr>
                        <w:lang w:eastAsia="en-US"/>
                      </w:rPr>
                      <w:object w:dxaOrig="6600" w:dyaOrig="3720">
                        <v:shape id="_x0000_i1055" type="#_x0000_t75" style="width:252.1pt;height:141.9pt" o:ole="">
                          <v:imagedata r:id="rId95" o:title=""/>
                        </v:shape>
                        <o:OLEObject Type="Link" ProgID="Excel.Sheet.12" ShapeID="_x0000_i1055" DrawAspect="Content" r:id="rId96" UpdateMode="OnCall">
                          <o:LinkType>EnhancedMetaFile</o:LinkType>
                          <o:LockedField/>
                          <o:FieldCodes>\* MERGEFORMAT</o:FieldCodes>
                        </o:OLEObject>
                      </w:object>
                    </w:r>
                  </w:p>
                </w:tc>
              </w:tr>
              <w:tr w:rsidR="007F3ED6" w:rsidTr="00326326">
                <w:trPr>
                  <w:cantSplit/>
                </w:trPr>
                <w:tc>
                  <w:tcPr>
                    <w:tcW w:w="5040" w:type="dxa"/>
                  </w:tcPr>
                  <w:p w:rsidR="007F3ED6" w:rsidRDefault="007F3ED6" w:rsidP="00326326">
                    <w:pPr>
                      <w:pStyle w:val="CIRSourceNote"/>
                    </w:pPr>
                    <w:r>
                      <w:t>Source: Company data, Citi Research estimates</w:t>
                    </w:r>
                  </w:p>
                </w:tc>
                <w:tc>
                  <w:tcPr>
                    <w:tcW w:w="140" w:type="dxa"/>
                  </w:tcPr>
                  <w:p w:rsidR="007F3ED6" w:rsidRDefault="007F3ED6" w:rsidP="00326326">
                    <w:pPr>
                      <w:pStyle w:val="CIRSourceNote"/>
                    </w:pPr>
                  </w:p>
                </w:tc>
                <w:tc>
                  <w:tcPr>
                    <w:tcW w:w="5040" w:type="dxa"/>
                  </w:tcPr>
                  <w:p w:rsidR="007F3ED6" w:rsidRDefault="007F3ED6" w:rsidP="00326326">
                    <w:pPr>
                      <w:pStyle w:val="CIRSourceNote"/>
                    </w:pPr>
                    <w:r>
                      <w:t>Source: Company data, Citi Research estimates</w:t>
                    </w:r>
                  </w:p>
                </w:tc>
              </w:tr>
            </w:tbl>
            <w:p w:rsidR="007F3ED6" w:rsidRDefault="007F3ED6" w:rsidP="007F3ED6">
              <w:pPr>
                <w:pStyle w:val="Heading3"/>
                <w:rPr>
                  <w:lang w:val="en-GB"/>
                </w:rPr>
              </w:pPr>
            </w:p>
            <w:p w:rsidR="007F3ED6" w:rsidRDefault="007F3ED6" w:rsidP="007F3ED6">
              <w:pPr>
                <w:pStyle w:val="CIRBodyText"/>
                <w:rPr>
                  <w:sz w:val="20"/>
                  <w:szCs w:val="20"/>
                  <w:lang w:val="en-GB"/>
                </w:rPr>
              </w:pPr>
              <w:r>
                <w:rPr>
                  <w:lang w:val="en-GB"/>
                </w:rPr>
                <w:br w:type="page"/>
              </w:r>
            </w:p>
            <w:p w:rsidR="007F3ED6" w:rsidRDefault="007F3ED6" w:rsidP="007F3ED6">
              <w:pPr>
                <w:pStyle w:val="Heading3"/>
                <w:rPr>
                  <w:lang w:val="en-GB"/>
                </w:rPr>
              </w:pPr>
              <w:r>
                <w:rPr>
                  <w:lang w:val="en-GB"/>
                </w:rPr>
                <w:t xml:space="preserve">GN should be able to take UC market share over 2015-16 </w:t>
              </w:r>
            </w:p>
            <w:p w:rsidR="007F3ED6" w:rsidRDefault="007F3ED6" w:rsidP="007F3ED6">
              <w:pPr>
                <w:pStyle w:val="CIRBodyText"/>
                <w:rPr>
                  <w:lang w:val="en-GB"/>
                </w:rPr>
              </w:pPr>
              <w:r>
                <w:rPr>
                  <w:lang w:val="en-GB"/>
                </w:rPr>
                <w:t xml:space="preserve">We estimate that </w:t>
              </w:r>
              <w:r w:rsidRPr="00737E31">
                <w:rPr>
                  <w:lang w:val="en-GB"/>
                </w:rPr>
                <w:t>GN will have c45% UC market share in 2014E, having gained market leadership from Plantronics in 4Q13 and</w:t>
              </w:r>
              <w:r>
                <w:rPr>
                  <w:lang w:val="en-GB"/>
                </w:rPr>
                <w:t xml:space="preserve"> grown 36% organically in 9M14. Given large recent contract wins (see below), we think GN could gain further share in 2015-16 due to a recent large contract win (see below) but then assume some </w:t>
              </w:r>
              <w:r w:rsidRPr="00496E69">
                <w:rPr>
                  <w:lang w:val="en-GB"/>
                </w:rPr>
                <w:t>share loss, given the potential for new entrants or for Logitech and Sennheiser Communications (par</w:t>
              </w:r>
              <w:r>
                <w:rPr>
                  <w:lang w:val="en-GB"/>
                </w:rPr>
                <w:t>t-owned by William Demant)</w:t>
              </w:r>
              <w:r w:rsidRPr="000A1FF3">
                <w:rPr>
                  <w:lang w:val="en-GB"/>
                </w:rPr>
                <w:t xml:space="preserve"> to gain some momentum in </w:t>
              </w:r>
              <w:r>
                <w:rPr>
                  <w:lang w:val="en-GB"/>
                </w:rPr>
                <w:t xml:space="preserve">the </w:t>
              </w:r>
              <w:r w:rsidRPr="000A1FF3">
                <w:rPr>
                  <w:lang w:val="en-GB"/>
                </w:rPr>
                <w:t>market. Nevertheless, this implies a &gt;25% UC sales CAGR 2014-17E and</w:t>
              </w:r>
              <w:r>
                <w:rPr>
                  <w:lang w:val="en-GB"/>
                </w:rPr>
                <w:t>,</w:t>
              </w:r>
              <w:r w:rsidRPr="000A1FF3">
                <w:rPr>
                  <w:lang w:val="en-GB"/>
                </w:rPr>
                <w:t xml:space="preserve"> given the increasing weight of UC sales, we believe Netcom’s organic CC&amp;O growth could accelerate from 10% in 2014E to 14% in 2016E</w:t>
              </w:r>
              <w:r>
                <w:rPr>
                  <w:lang w:val="en-GB"/>
                </w:rPr>
                <w:t xml:space="preserve"> (see Figure 41).</w:t>
              </w:r>
            </w:p>
            <w:p w:rsidR="007F3ED6" w:rsidRPr="007C709C" w:rsidRDefault="007F3ED6" w:rsidP="007F3ED6">
              <w:pPr>
                <w:pStyle w:val="Heading3"/>
                <w:rPr>
                  <w:lang w:val="en-GB"/>
                </w:rPr>
              </w:pPr>
              <w:r w:rsidRPr="00974C6F">
                <w:rPr>
                  <w:lang w:val="en-GB"/>
                </w:rPr>
                <w:t xml:space="preserve">200k </w:t>
              </w:r>
              <w:r>
                <w:rPr>
                  <w:lang w:val="en-GB"/>
                </w:rPr>
                <w:t xml:space="preserve">UC </w:t>
              </w:r>
              <w:r w:rsidRPr="00974C6F">
                <w:rPr>
                  <w:lang w:val="en-GB"/>
                </w:rPr>
                <w:t>contract win should help sustain growth in 2015-16</w:t>
              </w:r>
            </w:p>
            <w:p w:rsidR="007F3ED6" w:rsidRDefault="007F3ED6" w:rsidP="007F3ED6">
              <w:r>
                <w:t xml:space="preserve">Netcom won the largest contract in its history in July 2014. The contract is for c200,000 headsets for a financial institution’s global UC implementation, which we believe </w:t>
              </w:r>
              <w:r w:rsidRPr="002E3541">
                <w:t>is likely to be fulfilled over 2015-16. Assuming an ASP of US$60</w:t>
              </w:r>
              <w:r>
                <w:t>,</w:t>
              </w:r>
              <w:r w:rsidRPr="002E3541">
                <w:t xml:space="preserve"> we estimate the contract could be worth $12mn (cDKK72.5mn), equivalent to 7% of 2014E UC sales or 2.5% of 2014E total Netcom sales.</w:t>
              </w:r>
              <w:r>
                <w:t xml:space="preserve"> </w:t>
              </w:r>
            </w:p>
            <w:p w:rsidR="007F3ED6" w:rsidRPr="00A16856" w:rsidRDefault="007F3ED6" w:rsidP="007F3ED6"/>
            <w:p w:rsidR="007F3ED6" w:rsidRDefault="007F3ED6" w:rsidP="007F3ED6">
              <w:pPr>
                <w:pStyle w:val="Heading3"/>
                <w:rPr>
                  <w:highlight w:val="yellow"/>
                  <w:lang w:val="en-GB"/>
                </w:rPr>
              </w:pPr>
              <w:r w:rsidRPr="0086706A">
                <w:rPr>
                  <w:lang w:val="en-GB"/>
                </w:rPr>
                <w:t xml:space="preserve">US court case against Plantronics could change market dynamics </w:t>
              </w:r>
            </w:p>
            <w:p w:rsidR="007F3ED6" w:rsidRDefault="007F3ED6" w:rsidP="007F3ED6">
              <w:pPr>
                <w:pStyle w:val="CIRBodyText"/>
                <w:rPr>
                  <w:lang w:val="en-GB"/>
                </w:rPr>
              </w:pPr>
              <w:r w:rsidRPr="004068B6">
                <w:rPr>
                  <w:lang w:val="en-GB"/>
                </w:rPr>
                <w:t xml:space="preserve">In 2012, GN Netcom filed suit against Plantronics for </w:t>
              </w:r>
              <w:r>
                <w:rPr>
                  <w:lang w:val="en-GB"/>
                </w:rPr>
                <w:t>“</w:t>
              </w:r>
              <w:r w:rsidRPr="004068B6">
                <w:rPr>
                  <w:lang w:val="en-GB"/>
                </w:rPr>
                <w:t>attempted monopolization of the distributors</w:t>
              </w:r>
              <w:r>
                <w:rPr>
                  <w:lang w:val="en-GB"/>
                </w:rPr>
                <w:t xml:space="preserve">’ </w:t>
              </w:r>
              <w:r w:rsidRPr="004068B6">
                <w:rPr>
                  <w:lang w:val="en-GB"/>
                </w:rPr>
                <w:t>market in the US</w:t>
              </w:r>
              <w:r>
                <w:rPr>
                  <w:lang w:val="en-GB"/>
                </w:rPr>
                <w:t>”</w:t>
              </w:r>
              <w:r w:rsidRPr="004068B6">
                <w:rPr>
                  <w:lang w:val="en-GB"/>
                </w:rPr>
                <w:t xml:space="preserve">. </w:t>
              </w:r>
              <w:r>
                <w:rPr>
                  <w:lang w:val="en-GB"/>
                </w:rPr>
                <w:t>In Sep</w:t>
              </w:r>
              <w:r w:rsidRPr="004068B6">
                <w:rPr>
                  <w:lang w:val="en-GB"/>
                </w:rPr>
                <w:t xml:space="preserve"> 2013, the federal district court in Wilmington, Delaware, dismissed Plantronics</w:t>
              </w:r>
              <w:r>
                <w:rPr>
                  <w:lang w:val="en-GB"/>
                </w:rPr>
                <w:t xml:space="preserve">’ </w:t>
              </w:r>
              <w:r w:rsidRPr="004068B6">
                <w:rPr>
                  <w:lang w:val="en-GB"/>
                </w:rPr>
                <w:t xml:space="preserve">motion to dismiss the case in its entirety. The court also stated that GN Netcom’s allegations were sufficiently substantiated to allow the case to proceed into discovery. The discovery phase commenced in mid-November 2013 and </w:t>
              </w:r>
              <w:r>
                <w:rPr>
                  <w:lang w:val="en-GB"/>
                </w:rPr>
                <w:t>has been extended into 1Q15</w:t>
              </w:r>
              <w:r w:rsidRPr="004068B6">
                <w:rPr>
                  <w:lang w:val="en-GB"/>
                </w:rPr>
                <w:t>.</w:t>
              </w:r>
            </w:p>
            <w:p w:rsidR="007F3ED6" w:rsidRDefault="007F3ED6" w:rsidP="007F3ED6">
              <w:pPr>
                <w:pStyle w:val="CIRBodyText"/>
                <w:rPr>
                  <w:lang w:val="en-GB"/>
                </w:rPr>
              </w:pPr>
              <w:r w:rsidRPr="004068B6">
                <w:rPr>
                  <w:lang w:val="en-GB"/>
                </w:rPr>
                <w:t>Furthermore, GN believes that Netcom</w:t>
              </w:r>
              <w:r w:rsidRPr="004068B6">
                <w:rPr>
                  <w:rFonts w:hint="eastAsia"/>
                  <w:lang w:val="en-GB"/>
                </w:rPr>
                <w:t>’</w:t>
              </w:r>
              <w:r w:rsidRPr="004068B6">
                <w:rPr>
                  <w:lang w:val="en-GB"/>
                </w:rPr>
                <w:t>s CC&amp;O headset business “has significant potential to increase its market shares with distributors where its presence is fundamentally under-</w:t>
              </w:r>
              <w:r w:rsidRPr="00737E31">
                <w:rPr>
                  <w:lang w:val="en-GB"/>
                </w:rPr>
                <w:t>represented” and that “growth traction in North America may be positively influenced by the legal measures that GN Netcom is taking against Plantronics.” Hence, a successful</w:t>
              </w:r>
              <w:r>
                <w:rPr>
                  <w:lang w:val="en-GB"/>
                </w:rPr>
                <w:t xml:space="preserve"> outcome to the suit could represent upside to our Netcom forecasts </w:t>
              </w:r>
            </w:p>
            <w:tbl>
              <w:tblPr>
                <w:tblStyle w:val="CIRTable"/>
                <w:tblW w:w="6700" w:type="dxa"/>
                <w:tblLayout w:type="fixed"/>
                <w:tblLook w:val="04A0" w:firstRow="1" w:lastRow="0" w:firstColumn="1" w:lastColumn="0" w:noHBand="0" w:noVBand="1"/>
                <w:tblDescription w:val="1|Body|0"/>
              </w:tblPr>
              <w:tblGrid>
                <w:gridCol w:w="6700"/>
              </w:tblGrid>
              <w:tr w:rsidR="007F3ED6" w:rsidTr="00326326">
                <w:trPr>
                  <w:cnfStyle w:val="100000000000" w:firstRow="1" w:lastRow="0" w:firstColumn="0" w:lastColumn="0" w:oddVBand="0" w:evenVBand="0" w:oddHBand="0" w:evenHBand="0" w:firstRowFirstColumn="0" w:firstRowLastColumn="0" w:lastRowFirstColumn="0" w:lastRowLastColumn="0"/>
                  <w:cantSplit/>
                </w:trPr>
                <w:tc>
                  <w:tcPr>
                    <w:tcW w:w="6700" w:type="dxa"/>
                  </w:tcPr>
                  <w:p w:rsidR="007F3ED6" w:rsidRDefault="007F3ED6" w:rsidP="00326326">
                    <w:pPr>
                      <w:pStyle w:val="CIRCaption"/>
                    </w:pPr>
                    <w:r>
                      <w:t xml:space="preserve">Figure </w:t>
                    </w:r>
                    <w:fldSimple w:instr=" SEQ Figure \* ARABIC ">
                      <w:r>
                        <w:rPr>
                          <w:noProof/>
                        </w:rPr>
                        <w:t>50</w:t>
                      </w:r>
                    </w:fldSimple>
                    <w:r>
                      <w:t xml:space="preserve">. GN Netcom’s market position is much weaker in the US than in Europe </w:t>
                    </w:r>
                  </w:p>
                </w:tc>
              </w:tr>
              <w:tr w:rsidR="007F3ED6" w:rsidTr="00326326">
                <w:trPr>
                  <w:cantSplit/>
                  <w:trHeight w:val="160"/>
                </w:trPr>
                <w:tc>
                  <w:tcPr>
                    <w:tcW w:w="6700" w:type="dxa"/>
                  </w:tcPr>
                  <w:p w:rsidR="007F3ED6" w:rsidRDefault="007F3ED6" w:rsidP="00326326">
                    <w:pPr>
                      <w:pStyle w:val="CIRFigure"/>
                    </w:pPr>
                    <w:r>
                      <w:rPr>
                        <w:lang w:eastAsia="en-US"/>
                      </w:rPr>
                      <w:object w:dxaOrig="6495" w:dyaOrig="2881">
                        <v:shape id="_x0000_i1056" type="#_x0000_t75" alt="CIRACHART" style="width:334.8pt;height:148.8pt" o:ole="">
                          <v:imagedata r:id="rId97" o:title=""/>
                        </v:shape>
                        <o:OLEObject Type="Link" ProgID="Excel.Sheet.12" ShapeID="_x0000_i1056" DrawAspect="Content" r:id="rId98" UpdateMode="OnCall">
                          <o:LinkType>EnhancedMetaFile</o:LinkType>
                          <o:LockedField/>
                          <o:FieldCodes>\* MERGEFORMAT</o:FieldCodes>
                        </o:OLEObject>
                      </w:object>
                    </w:r>
                  </w:p>
                </w:tc>
              </w:tr>
              <w:tr w:rsidR="007F3ED6" w:rsidTr="00326326">
                <w:trPr>
                  <w:cantSplit/>
                </w:trPr>
                <w:tc>
                  <w:tcPr>
                    <w:tcW w:w="6700" w:type="dxa"/>
                  </w:tcPr>
                  <w:p w:rsidR="007F3ED6" w:rsidRDefault="007F3ED6" w:rsidP="00326326">
                    <w:pPr>
                      <w:pStyle w:val="CIRSourceNote"/>
                    </w:pPr>
                    <w:r>
                      <w:t xml:space="preserve">Note: GN data LTM to Mar 14 (we assume same regional split as in 2013)   Source: Company data, Citi Research </w:t>
                    </w:r>
                  </w:p>
                </w:tc>
              </w:tr>
            </w:tbl>
            <w:p w:rsidR="007F3ED6" w:rsidRDefault="007F3ED6" w:rsidP="007F3ED6"/>
            <w:p w:rsidR="007F3ED6" w:rsidRDefault="007F3ED6" w:rsidP="007F3ED6">
              <w:pPr>
                <w:pStyle w:val="CIRBodyText"/>
              </w:pPr>
              <w:r>
                <w:t>Plantronics reported total US sales of US</w:t>
              </w:r>
              <w:r w:rsidRPr="00737E31">
                <w:t>$475mn in its FY14 (YE Mar), whereas GN Netcom’s total North American sales were cUS$155mn, on our estimates. By comparison, Plantronics reported US$195mn sales in EMEA in its FY14 vs cUS$240mn in Europe for GN Netcom, on our estimates.</w:t>
              </w:r>
            </w:p>
            <w:p w:rsidR="007F3ED6" w:rsidRDefault="007F3ED6" w:rsidP="007F3ED6">
              <w:pPr>
                <w:pStyle w:val="Heading2"/>
                <w:rPr>
                  <w:lang w:val="en-GB"/>
                </w:rPr>
              </w:pPr>
              <w:bookmarkStart w:id="74" w:name="_Toc406403989"/>
              <w:bookmarkStart w:id="75" w:name="_Toc406509706"/>
              <w:r>
                <w:rPr>
                  <w:lang w:val="en-GB"/>
                </w:rPr>
                <w:t>Mobile Headsets (15% of Group sales)</w:t>
              </w:r>
              <w:bookmarkEnd w:id="74"/>
              <w:bookmarkEnd w:id="75"/>
            </w:p>
            <w:p w:rsidR="007F3ED6" w:rsidRDefault="007F3ED6" w:rsidP="007F3ED6">
              <w:pPr>
                <w:pStyle w:val="Heading3"/>
                <w:rPr>
                  <w:lang w:val="en-GB"/>
                </w:rPr>
              </w:pPr>
              <w:r w:rsidRPr="00CA1426">
                <w:rPr>
                  <w:lang w:val="en-GB"/>
                </w:rPr>
                <w:t>Cyclical</w:t>
              </w:r>
              <w:r>
                <w:rPr>
                  <w:lang w:val="en-GB"/>
                </w:rPr>
                <w:t>, fragmented market</w:t>
              </w:r>
            </w:p>
            <w:p w:rsidR="007F3ED6" w:rsidRDefault="007F3ED6" w:rsidP="007F3ED6">
              <w:pPr>
                <w:pStyle w:val="CIRBodyText"/>
                <w:rPr>
                  <w:lang w:val="en-GB"/>
                </w:rPr>
              </w:pPr>
              <w:r>
                <w:rPr>
                  <w:lang w:val="en-GB"/>
                </w:rPr>
                <w:t xml:space="preserve">Netcom’s Mobile business addresses the consumer headset and speakerphone market. Products are sold globally via multiple channels, including mobile operators, telecom retailers, consumer electronics channels and mass market retailers. </w:t>
              </w:r>
            </w:p>
            <w:p w:rsidR="007F3ED6" w:rsidRDefault="007F3ED6" w:rsidP="007F3ED6">
              <w:pPr>
                <w:pStyle w:val="CIRBodyText"/>
                <w:rPr>
                  <w:lang w:val="en-GB"/>
                </w:rPr>
              </w:pPr>
              <w:r w:rsidRPr="00FC5329">
                <w:rPr>
                  <w:lang w:val="en-GB"/>
                </w:rPr>
                <w:t>The mobile headset market is far more fragmented and competitive than the market for office headsets, with an ASP roughly half that of the latter</w:t>
              </w:r>
              <w:r>
                <w:rPr>
                  <w:lang w:val="en-GB"/>
                </w:rPr>
                <w:t>,</w:t>
              </w:r>
              <w:r w:rsidRPr="00FC5329">
                <w:rPr>
                  <w:lang w:val="en-GB"/>
                </w:rPr>
                <w:t xml:space="preserve"> at cUS$30-35. Key competitors besides Plantronics include Sony, Nokia, Samsung, Motorola, Bose and Sennheiser.  GN believes it is market leader in the key growth market of China.</w:t>
              </w:r>
            </w:p>
            <w:tbl>
              <w:tblPr>
                <w:tblStyle w:val="CIRTable"/>
                <w:tblW w:w="10220" w:type="dxa"/>
                <w:tblInd w:w="-3528" w:type="dxa"/>
                <w:tblLayout w:type="fixed"/>
                <w:tblLook w:val="04A0" w:firstRow="1" w:lastRow="0" w:firstColumn="1" w:lastColumn="0" w:noHBand="0" w:noVBand="1"/>
                <w:tblCaption w:val="dblChart"/>
              </w:tblPr>
              <w:tblGrid>
                <w:gridCol w:w="4992"/>
                <w:gridCol w:w="236"/>
                <w:gridCol w:w="4992"/>
              </w:tblGrid>
              <w:tr w:rsidR="007F3ED6" w:rsidTr="00326326">
                <w:trPr>
                  <w:cnfStyle w:val="100000000000" w:firstRow="1" w:lastRow="0" w:firstColumn="0" w:lastColumn="0" w:oddVBand="0" w:evenVBand="0" w:oddHBand="0" w:evenHBand="0" w:firstRowFirstColumn="0" w:firstRowLastColumn="0" w:lastRowFirstColumn="0" w:lastRowLastColumn="0"/>
                </w:trPr>
                <w:tc>
                  <w:tcPr>
                    <w:tcW w:w="4992" w:type="dxa"/>
                  </w:tcPr>
                  <w:p w:rsidR="007F3ED6" w:rsidRPr="00EA7899" w:rsidRDefault="007F3ED6" w:rsidP="00326326">
                    <w:pPr>
                      <w:pStyle w:val="CIRCaption"/>
                      <w:rPr>
                        <w:highlight w:val="yellow"/>
                      </w:rPr>
                    </w:pPr>
                    <w:r w:rsidRPr="00252DDF">
                      <w:t xml:space="preserve">Figure </w:t>
                    </w:r>
                    <w:fldSimple w:instr=" SEQ Figure \* ARABIC ">
                      <w:r>
                        <w:rPr>
                          <w:noProof/>
                        </w:rPr>
                        <w:t>51</w:t>
                      </w:r>
                    </w:fldSimple>
                    <w:r w:rsidRPr="00252DDF">
                      <w:t xml:space="preserve">. Mobile headset (excl. music) market </w:t>
                    </w:r>
                    <w:r w:rsidRPr="007D3A11">
                      <w:t>shares, 2013</w:t>
                    </w:r>
                  </w:p>
                </w:tc>
                <w:tc>
                  <w:tcPr>
                    <w:tcW w:w="236" w:type="dxa"/>
                  </w:tcPr>
                  <w:p w:rsidR="007F3ED6" w:rsidRPr="003A2536" w:rsidRDefault="007F3ED6" w:rsidP="00326326">
                    <w:pPr>
                      <w:pStyle w:val="CIRT-Left"/>
                    </w:pPr>
                  </w:p>
                </w:tc>
                <w:tc>
                  <w:tcPr>
                    <w:tcW w:w="4992" w:type="dxa"/>
                  </w:tcPr>
                  <w:p w:rsidR="007F3ED6" w:rsidRPr="003A2536" w:rsidRDefault="007F3ED6" w:rsidP="00326326">
                    <w:pPr>
                      <w:pStyle w:val="CIRCaption"/>
                    </w:pPr>
                    <w:r w:rsidRPr="003A2536">
                      <w:t xml:space="preserve">Figure </w:t>
                    </w:r>
                    <w:fldSimple w:instr=" SEQ Figure \* ARABIC ">
                      <w:r>
                        <w:rPr>
                          <w:noProof/>
                        </w:rPr>
                        <w:t>52</w:t>
                      </w:r>
                    </w:fldSimple>
                    <w:r w:rsidRPr="003A2536">
                      <w:t xml:space="preserve">. Mobile headset </w:t>
                    </w:r>
                    <w:r>
                      <w:t>market more cyclical than CC&amp;O</w:t>
                    </w:r>
                  </w:p>
                </w:tc>
              </w:tr>
              <w:tr w:rsidR="007F3ED6" w:rsidRPr="004B3078" w:rsidTr="00326326">
                <w:tblPrEx>
                  <w:tblCellMar>
                    <w:left w:w="108" w:type="dxa"/>
                    <w:right w:w="108" w:type="dxa"/>
                  </w:tblCellMar>
                </w:tblPrEx>
                <w:trPr>
                  <w:cantSplit/>
                </w:trPr>
                <w:tc>
                  <w:tcPr>
                    <w:tcW w:w="4992" w:type="dxa"/>
                  </w:tcPr>
                  <w:p w:rsidR="007F3ED6" w:rsidRPr="004B3078" w:rsidRDefault="007F3ED6" w:rsidP="00326326">
                    <w:pPr>
                      <w:pStyle w:val="CIRFigure"/>
                    </w:pPr>
                    <w:r>
                      <w:rPr>
                        <w:noProof/>
                      </w:rPr>
                      <w:drawing>
                        <wp:inline distT="0" distB="0" distL="0" distR="0" wp14:anchorId="6147A583" wp14:editId="14A58C34">
                          <wp:extent cx="1967969" cy="1857374"/>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tc>
                <w:tc>
                  <w:tcPr>
                    <w:tcW w:w="236" w:type="dxa"/>
                  </w:tcPr>
                  <w:p w:rsidR="007F3ED6" w:rsidRPr="004B3078" w:rsidRDefault="007F3ED6" w:rsidP="00326326">
                    <w:pPr>
                      <w:pStyle w:val="CIRFigure"/>
                    </w:pPr>
                  </w:p>
                </w:tc>
                <w:tc>
                  <w:tcPr>
                    <w:tcW w:w="4992" w:type="dxa"/>
                  </w:tcPr>
                  <w:p w:rsidR="007F3ED6" w:rsidRPr="004B3078" w:rsidRDefault="007F3ED6" w:rsidP="00326326">
                    <w:pPr>
                      <w:pStyle w:val="CIRFigure"/>
                    </w:pPr>
                    <w:r>
                      <w:rPr>
                        <w:lang w:eastAsia="en-US"/>
                      </w:rPr>
                      <w:object w:dxaOrig="6525" w:dyaOrig="3705">
                        <v:shape id="_x0000_i1057" type="#_x0000_t75" style="width:249.6pt;height:141.9pt" o:ole="">
                          <v:imagedata r:id="rId100" o:title=""/>
                        </v:shape>
                        <o:OLEObject Type="Link" ProgID="Excel.Sheet.12" ShapeID="_x0000_i1057" DrawAspect="Content" r:id="rId101" UpdateMode="OnCall">
                          <o:LinkType>EnhancedMetaFile</o:LinkType>
                          <o:LockedField/>
                          <o:FieldCodes>\* MERGEFORMAT</o:FieldCodes>
                        </o:OLEObject>
                      </w:object>
                    </w:r>
                  </w:p>
                </w:tc>
              </w:tr>
              <w:tr w:rsidR="007F3ED6" w:rsidTr="00326326">
                <w:trPr>
                  <w:cantSplit/>
                </w:trPr>
                <w:tc>
                  <w:tcPr>
                    <w:tcW w:w="4992" w:type="dxa"/>
                  </w:tcPr>
                  <w:p w:rsidR="007F3ED6" w:rsidRDefault="007F3ED6" w:rsidP="00326326">
                    <w:pPr>
                      <w:pStyle w:val="CIRSourceNote"/>
                    </w:pPr>
                    <w:r>
                      <w:t>Source: Company data, Citi Research</w:t>
                    </w:r>
                  </w:p>
                </w:tc>
                <w:tc>
                  <w:tcPr>
                    <w:tcW w:w="236" w:type="dxa"/>
                  </w:tcPr>
                  <w:p w:rsidR="007F3ED6" w:rsidRDefault="007F3ED6" w:rsidP="00326326">
                    <w:pPr>
                      <w:pStyle w:val="CIRSourceNote"/>
                    </w:pPr>
                  </w:p>
                </w:tc>
                <w:tc>
                  <w:tcPr>
                    <w:tcW w:w="4992" w:type="dxa"/>
                  </w:tcPr>
                  <w:p w:rsidR="007F3ED6" w:rsidRDefault="007F3ED6" w:rsidP="00326326">
                    <w:pPr>
                      <w:pStyle w:val="CIRSourceNote"/>
                    </w:pPr>
                    <w:r>
                      <w:t>Note: Plantronics rebased to DKK for comparability with GN Netcom.</w:t>
                    </w:r>
                    <w:r>
                      <w:br/>
                      <w:t>Source: Company data, Citi Research</w:t>
                    </w:r>
                  </w:p>
                </w:tc>
              </w:tr>
            </w:tbl>
            <w:p w:rsidR="007F3ED6" w:rsidRDefault="007F3ED6" w:rsidP="007F3ED6">
              <w:pPr>
                <w:pStyle w:val="Heading3"/>
                <w:rPr>
                  <w:lang w:val="en-GB"/>
                </w:rPr>
              </w:pPr>
            </w:p>
            <w:p w:rsidR="007F3ED6" w:rsidRDefault="007F3ED6" w:rsidP="007F3ED6">
              <w:pPr>
                <w:pStyle w:val="Heading3"/>
                <w:rPr>
                  <w:lang w:val="en-GB"/>
                </w:rPr>
              </w:pPr>
              <w:r>
                <w:rPr>
                  <w:lang w:val="en-GB"/>
                </w:rPr>
                <w:t>Business was expended into music products in 2012-13</w:t>
              </w:r>
            </w:p>
            <w:p w:rsidR="007F3ED6" w:rsidRDefault="007F3ED6" w:rsidP="007F3ED6">
              <w:pPr>
                <w:pStyle w:val="CIRBodyText"/>
                <w:rPr>
                  <w:lang w:val="en-GB"/>
                </w:rPr>
              </w:pPr>
              <w:r>
                <w:rPr>
                  <w:lang w:val="en-GB"/>
                </w:rPr>
                <w:t>Having expanded the business beyond mobile headsets into music headsets and Bluetooth speakers in late 2012 (eg Jabra Revo, Jabra Vox and Jabra Solemate), GN now believes the business’ addressable market has doubled to cDKK13bn (US$2.3bn) vs cDKK6.</w:t>
              </w:r>
              <w:r w:rsidRPr="00A61A94">
                <w:rPr>
                  <w:lang w:val="en-GB"/>
                </w:rPr>
                <w:t xml:space="preserve">5bn previously (US$1.2bn). </w:t>
              </w:r>
              <w:r>
                <w:rPr>
                  <w:lang w:val="en-GB"/>
                </w:rPr>
                <w:t>During 2013, GN believes t</w:t>
              </w:r>
              <w:r w:rsidRPr="00CD47FD">
                <w:rPr>
                  <w:lang w:val="en-GB"/>
                </w:rPr>
                <w:t>he market segment where music and voice integrate</w:t>
              </w:r>
              <w:r>
                <w:rPr>
                  <w:lang w:val="en-GB"/>
                </w:rPr>
                <w:t xml:space="preserve"> grew by &gt;40%, driven primarily by a doubling of the </w:t>
              </w:r>
              <w:r w:rsidRPr="00CD47FD">
                <w:rPr>
                  <w:lang w:val="en-GB"/>
                </w:rPr>
                <w:t>Bluetooth speaker market.</w:t>
              </w:r>
            </w:p>
            <w:p w:rsidR="007F3ED6" w:rsidRDefault="007F3ED6" w:rsidP="007F3ED6">
              <w:pPr>
                <w:pStyle w:val="Heading3"/>
                <w:rPr>
                  <w:lang w:val="en-GB"/>
                </w:rPr>
              </w:pPr>
              <w:r w:rsidRPr="0086706A">
                <w:rPr>
                  <w:lang w:val="en-GB"/>
                </w:rPr>
                <w:t>Mobile profitability should recover on music product refocus</w:t>
              </w:r>
            </w:p>
            <w:p w:rsidR="007F3ED6" w:rsidRPr="008121F8" w:rsidRDefault="007F3ED6" w:rsidP="007F3ED6">
              <w:pPr>
                <w:pStyle w:val="CIRBodyText"/>
                <w:rPr>
                  <w:lang w:val="en-GB"/>
                </w:rPr>
              </w:pPr>
              <w:r w:rsidRPr="00A61A94">
                <w:rPr>
                  <w:lang w:val="en-GB"/>
                </w:rPr>
                <w:t xml:space="preserve">However, GN’s market share in this expanded portion of the market is only c1% and stiff competition </w:t>
              </w:r>
              <w:r>
                <w:rPr>
                  <w:lang w:val="en-GB"/>
                </w:rPr>
                <w:t xml:space="preserve">in products </w:t>
              </w:r>
              <w:r w:rsidRPr="008A1519">
                <w:rPr>
                  <w:lang w:val="en-GB"/>
                </w:rPr>
                <w:t xml:space="preserve">where GN did not have a technological edge pressured Netcom Mobile’s EBITA margin in 1H14 as GN sold off inventory of some of the less </w:t>
              </w:r>
              <w:r w:rsidRPr="008121F8">
                <w:rPr>
                  <w:lang w:val="en-GB"/>
                </w:rPr>
                <w:t xml:space="preserve">successful music launches (eg Bluetooth speakers) from 2013 at reduced prices.  </w:t>
              </w:r>
            </w:p>
            <w:p w:rsidR="007F3ED6" w:rsidRDefault="007F3ED6" w:rsidP="007F3ED6">
              <w:pPr>
                <w:pStyle w:val="CIRBodyText"/>
                <w:rPr>
                  <w:lang w:val="en-GB"/>
                </w:rPr>
              </w:pPr>
              <w:r w:rsidRPr="008121F8">
                <w:rPr>
                  <w:lang w:val="en-GB"/>
                </w:rPr>
                <w:t xml:space="preserve">Going forwards we expect the company to </w:t>
              </w:r>
              <w:r w:rsidRPr="007D3A11">
                <w:rPr>
                  <w:lang w:val="en-GB"/>
                </w:rPr>
                <w:t>focus on innovative products such as the Jabra Sport Pulse Wireless headset (launched Oct 2014). This headset, which tracks the user’s heart rate and has integrated training management via the Jabra Sport Life app, has received positive online reviews, and sells for a significantly higher ASP than the current Mobile average (US$200 vs</w:t>
              </w:r>
              <w:r w:rsidRPr="008121F8">
                <w:rPr>
                  <w:lang w:val="en-GB"/>
                </w:rPr>
                <w:t xml:space="preserve"> the US$30-35 average).</w:t>
              </w:r>
            </w:p>
            <w:p w:rsidR="007F3ED6" w:rsidRDefault="007F3ED6" w:rsidP="007F3ED6">
              <w:pPr>
                <w:pStyle w:val="CIRBodyText"/>
                <w:rPr>
                  <w:lang w:val="en-GB"/>
                </w:rPr>
              </w:pPr>
              <w:r w:rsidRPr="008A1519">
                <w:rPr>
                  <w:lang w:val="en-GB"/>
                </w:rPr>
                <w:t xml:space="preserve">We estimate the Mobile business achieved only a </w:t>
              </w:r>
              <w:r>
                <w:rPr>
                  <w:lang w:val="en-GB"/>
                </w:rPr>
                <w:t>3-4% margin in 1H14 vs the high-</w:t>
              </w:r>
              <w:r w:rsidRPr="008A1519">
                <w:rPr>
                  <w:lang w:val="en-GB"/>
                </w:rPr>
                <w:t>single-digit margin achieved by in 2013 (albeit aided by China banning the use of mobile phones whilst driving, which led to c40% organic growth in mobile headsets for GN in 1H13).</w:t>
              </w:r>
              <w:r>
                <w:rPr>
                  <w:lang w:val="en-GB"/>
                </w:rPr>
                <w:t xml:space="preserve"> However, now that GN has had an opportunity to refocus towards products where it has had greater success, we believe the Mobile business’ profitability should recover, with the first signs of this seen in 3Q14 as the Mobile business was a key factor behind Netcom’s gross margin improving to 54.7% (+180bp YoY) vs 51.8% in 2Q14 (-130bp YoY).</w:t>
              </w:r>
            </w:p>
            <w:tbl>
              <w:tblPr>
                <w:tblStyle w:val="CIRTable"/>
                <w:tblW w:w="6700" w:type="dxa"/>
                <w:tblLayout w:type="fixed"/>
                <w:tblLook w:val="04A0" w:firstRow="1" w:lastRow="0" w:firstColumn="1" w:lastColumn="0" w:noHBand="0" w:noVBand="1"/>
                <w:tblDescription w:val="1|Body|0"/>
              </w:tblPr>
              <w:tblGrid>
                <w:gridCol w:w="6700"/>
              </w:tblGrid>
              <w:tr w:rsidR="007F3ED6" w:rsidTr="00326326">
                <w:trPr>
                  <w:cnfStyle w:val="100000000000" w:firstRow="1" w:lastRow="0" w:firstColumn="0" w:lastColumn="0" w:oddVBand="0" w:evenVBand="0" w:oddHBand="0" w:evenHBand="0" w:firstRowFirstColumn="0" w:firstRowLastColumn="0" w:lastRowFirstColumn="0" w:lastRowLastColumn="0"/>
                  <w:cantSplit/>
                </w:trPr>
                <w:tc>
                  <w:tcPr>
                    <w:tcW w:w="6700" w:type="dxa"/>
                  </w:tcPr>
                  <w:p w:rsidR="007F3ED6" w:rsidRDefault="007F3ED6" w:rsidP="00326326">
                    <w:pPr>
                      <w:pStyle w:val="CIRCaption"/>
                    </w:pPr>
                    <w:r>
                      <w:t xml:space="preserve">Figure </w:t>
                    </w:r>
                    <w:fldSimple w:instr=" SEQ Figure \* ARABIC ">
                      <w:r>
                        <w:rPr>
                          <w:noProof/>
                        </w:rPr>
                        <w:t>53</w:t>
                      </w:r>
                    </w:fldSimple>
                    <w:r>
                      <w:t>. Netcom Mobile EBITA margin should recover on music product refocus</w:t>
                    </w:r>
                  </w:p>
                </w:tc>
              </w:tr>
              <w:tr w:rsidR="007F3ED6" w:rsidTr="00326326">
                <w:trPr>
                  <w:cantSplit/>
                  <w:trHeight w:val="160"/>
                </w:trPr>
                <w:tc>
                  <w:tcPr>
                    <w:tcW w:w="6700" w:type="dxa"/>
                  </w:tcPr>
                  <w:p w:rsidR="007F3ED6" w:rsidRDefault="007F3ED6" w:rsidP="00326326">
                    <w:pPr>
                      <w:pStyle w:val="CIRFigure"/>
                    </w:pPr>
                    <w:r>
                      <w:rPr>
                        <w:lang w:eastAsia="en-US"/>
                      </w:rPr>
                      <w:object w:dxaOrig="6600" w:dyaOrig="3120">
                        <v:shape id="_x0000_i1058" type="#_x0000_t75" alt="CIRACHART" style="width:334.95pt;height:158.35pt" o:ole="">
                          <v:imagedata r:id="rId102" o:title=""/>
                        </v:shape>
                        <o:OLEObject Type="Link" ProgID="Excel.SheetMacroEnabled.12" ShapeID="_x0000_i1058" DrawAspect="Content" r:id="rId103" UpdateMode="OnCall">
                          <o:LinkType>EnhancedMetaFile</o:LinkType>
                          <o:LockedField/>
                          <o:FieldCodes>\* MERGEFORMAT</o:FieldCodes>
                        </o:OLEObject>
                      </w:object>
                    </w:r>
                  </w:p>
                </w:tc>
              </w:tr>
              <w:tr w:rsidR="007F3ED6" w:rsidTr="00326326">
                <w:trPr>
                  <w:cantSplit/>
                </w:trPr>
                <w:tc>
                  <w:tcPr>
                    <w:tcW w:w="6700" w:type="dxa"/>
                  </w:tcPr>
                  <w:p w:rsidR="007F3ED6" w:rsidRDefault="007F3ED6" w:rsidP="00326326">
                    <w:pPr>
                      <w:pStyle w:val="CIRSourceNote"/>
                    </w:pPr>
                    <w:r>
                      <w:t>Source: Company data, Citi Research estimates</w:t>
                    </w:r>
                  </w:p>
                </w:tc>
              </w:tr>
            </w:tbl>
            <w:p w:rsidR="007F3ED6" w:rsidRDefault="007F3ED6" w:rsidP="007F3ED6">
              <w:pPr>
                <w:pStyle w:val="Heading3"/>
                <w:rPr>
                  <w:highlight w:val="green"/>
                  <w:lang w:val="en-GB"/>
                </w:rPr>
              </w:pPr>
            </w:p>
            <w:p w:rsidR="007F3ED6" w:rsidRDefault="007F3ED6" w:rsidP="007F3ED6">
              <w:pPr>
                <w:pStyle w:val="Heading3"/>
                <w:rPr>
                  <w:lang w:val="en-GB"/>
                </w:rPr>
              </w:pPr>
              <w:r w:rsidRPr="00740971">
                <w:rPr>
                  <w:lang w:val="en-GB"/>
                </w:rPr>
                <w:t>US e-commerce platform launched July 2014, offers margin upside</w:t>
              </w:r>
            </w:p>
            <w:p w:rsidR="007F3ED6" w:rsidRDefault="007F3ED6" w:rsidP="007F3ED6">
              <w:pPr>
                <w:pStyle w:val="CIRBodyText"/>
              </w:pPr>
              <w:r>
                <w:rPr>
                  <w:lang w:val="en-GB"/>
                </w:rPr>
                <w:t xml:space="preserve">As part of the increase in its marketing efforts, Netcom aims to make the Jabra brand more visible by </w:t>
              </w:r>
              <w:r w:rsidRPr="001379BF">
                <w:rPr>
                  <w:lang w:val="en-GB"/>
                </w:rPr>
                <w:t xml:space="preserve">positioning it as </w:t>
              </w:r>
              <w:r w:rsidRPr="001379BF">
                <w:rPr>
                  <w:rFonts w:hint="eastAsia"/>
                  <w:lang w:val="en-GB"/>
                </w:rPr>
                <w:t>“</w:t>
              </w:r>
              <w:r w:rsidRPr="001379BF">
                <w:rPr>
                  <w:lang w:val="en-GB"/>
                </w:rPr>
                <w:t>the wireless company</w:t>
              </w:r>
              <w:r w:rsidRPr="001379BF">
                <w:rPr>
                  <w:rFonts w:hint="eastAsia"/>
                  <w:lang w:val="en-GB"/>
                </w:rPr>
                <w:t>”</w:t>
              </w:r>
              <w:r w:rsidRPr="001379BF">
                <w:rPr>
                  <w:lang w:val="en-GB"/>
                </w:rPr>
                <w:t>, while</w:t>
              </w:r>
              <w:r>
                <w:rPr>
                  <w:lang w:val="en-GB"/>
                </w:rPr>
                <w:t xml:space="preserve"> digital </w:t>
              </w:r>
              <w:r w:rsidRPr="008E5E48">
                <w:rPr>
                  <w:lang w:val="en-GB"/>
                </w:rPr>
                <w:t>marketing will become a more i</w:t>
              </w:r>
              <w:r>
                <w:rPr>
                  <w:lang w:val="en-GB"/>
                </w:rPr>
                <w:t xml:space="preserve">ntegrated part of the marketing </w:t>
              </w:r>
              <w:r w:rsidRPr="008E5E48">
                <w:rPr>
                  <w:lang w:val="en-GB"/>
                </w:rPr>
                <w:t>initiatives</w:t>
              </w:r>
              <w:r>
                <w:rPr>
                  <w:lang w:val="en-GB"/>
                </w:rPr>
                <w:t xml:space="preserve"> </w:t>
              </w:r>
              <w:r>
                <w:t xml:space="preserve">as it believes </w:t>
              </w:r>
              <w:r w:rsidRPr="005001C8">
                <w:t>that online</w:t>
              </w:r>
              <w:r>
                <w:t xml:space="preserve"> sales will account for &gt;50% of the market for its Mobile business </w:t>
              </w:r>
              <w:r w:rsidRPr="00FC5329">
                <w:t xml:space="preserve">vs c20% in 2013. </w:t>
              </w:r>
            </w:p>
            <w:p w:rsidR="007F3ED6" w:rsidRPr="00740971" w:rsidRDefault="007F3ED6" w:rsidP="007F3ED6">
              <w:pPr>
                <w:pStyle w:val="CIRBodyText"/>
              </w:pPr>
              <w:r>
                <w:t>In July 2014, Netcom launched a consumer focused e-commerce platform in the US for the Jabra brand, which while currently a small part of the business could offer margin upside to the Mobile business given that profitability is not given away to online intermediaries, who can take up to a 50% retail markup.</w:t>
              </w:r>
            </w:p>
            <w:p w:rsidR="007F3ED6" w:rsidRDefault="007F3ED6" w:rsidP="007F3ED6">
              <w:pPr>
                <w:pStyle w:val="Heading1"/>
                <w:rPr>
                  <w:lang w:val="en-GB"/>
                </w:rPr>
              </w:pPr>
              <w:bookmarkStart w:id="76" w:name="_Toc406403990"/>
              <w:bookmarkStart w:id="77" w:name="_Toc406509707"/>
              <w:r>
                <w:rPr>
                  <w:lang w:val="en-GB"/>
                </w:rPr>
                <w:t>Management</w:t>
              </w:r>
              <w:bookmarkEnd w:id="76"/>
              <w:bookmarkEnd w:id="77"/>
            </w:p>
            <w:p w:rsidR="007F3ED6" w:rsidRDefault="007F3ED6" w:rsidP="007F3ED6">
              <w:pPr>
                <w:pStyle w:val="Heading3"/>
                <w:rPr>
                  <w:lang w:val="en-GB"/>
                </w:rPr>
              </w:pPr>
              <w:r w:rsidRPr="00175EEA">
                <w:rPr>
                  <w:lang w:val="en-GB"/>
                </w:rPr>
                <w:t>Recent management changes raise execution risks</w:t>
              </w:r>
            </w:p>
            <w:p w:rsidR="007F3ED6" w:rsidRPr="007D3A11" w:rsidRDefault="007F3ED6" w:rsidP="007F3ED6">
              <w:pPr>
                <w:pStyle w:val="CIRBodyText"/>
                <w:rPr>
                  <w:lang w:val="en-GB"/>
                </w:rPr>
              </w:pPr>
              <w:r>
                <w:rPr>
                  <w:lang w:val="en-GB"/>
                </w:rPr>
                <w:t>The CEOs of both GN ReSound and GN Netcom have changed during 2014. Given the strong turnaround of both segments under previous management over the last five years, we believe this raises the risk of executing on GN’s 2014-16 strategy (</w:t>
              </w:r>
              <w:r w:rsidRPr="007D3A11">
                <w:rPr>
                  <w:lang w:val="en-GB"/>
                </w:rPr>
                <w:t xml:space="preserve">announced under previous management but maintained to date). </w:t>
              </w:r>
            </w:p>
            <w:p w:rsidR="007F3ED6" w:rsidRPr="007D3A11" w:rsidRDefault="007F3ED6" w:rsidP="007F3ED6">
              <w:pPr>
                <w:pStyle w:val="CIRBodyText"/>
                <w:rPr>
                  <w:lang w:val="en-GB"/>
                </w:rPr>
              </w:pPr>
              <w:r w:rsidRPr="007D3A11">
                <w:rPr>
                  <w:lang w:val="en-GB"/>
                </w:rPr>
                <w:t xml:space="preserve">Anders Hedegaard (b. 1960) has been </w:t>
              </w:r>
              <w:r w:rsidRPr="007D3A11">
                <w:rPr>
                  <w:b/>
                  <w:lang w:val="en-GB"/>
                </w:rPr>
                <w:t>CEO of GN ReSound</w:t>
              </w:r>
              <w:r w:rsidRPr="007D3A11">
                <w:rPr>
                  <w:lang w:val="en-GB"/>
                </w:rPr>
                <w:t xml:space="preserve"> since August 2014, having replaced Lars Viksmoen (CEO since March 2010), who decided to step down to change his work-life balance but will continue to work with the GN strategy committee. Mr. Hedegaard was previously CEO of biotech company Bavarian Nordic A/S from 2007-14.</w:t>
              </w:r>
            </w:p>
            <w:p w:rsidR="007F3ED6" w:rsidRPr="007D3A11" w:rsidRDefault="007F3ED6" w:rsidP="007F3ED6">
              <w:pPr>
                <w:pStyle w:val="CIRBodyText"/>
                <w:rPr>
                  <w:lang w:val="en-GB"/>
                </w:rPr>
              </w:pPr>
              <w:r w:rsidRPr="007D3A11">
                <w:rPr>
                  <w:lang w:val="en-GB"/>
                </w:rPr>
                <w:t xml:space="preserve">Niels Svenningsen (b. 1964) has been </w:t>
              </w:r>
              <w:r w:rsidRPr="007D3A11">
                <w:rPr>
                  <w:b/>
                  <w:lang w:val="en-GB"/>
                </w:rPr>
                <w:t>CEO of GN Netcom</w:t>
              </w:r>
              <w:r w:rsidRPr="007D3A11">
                <w:rPr>
                  <w:lang w:val="en-GB"/>
                </w:rPr>
                <w:t xml:space="preserve"> since January 2014, having replaced Mogens Elsberg (CEO since June 2009), who departed to pursue other career opportunities. Mr Svenningsen was previously Senior Vice President in Hitachi Data Systems in the EMEA region.</w:t>
              </w:r>
            </w:p>
            <w:p w:rsidR="007F3ED6" w:rsidRPr="00A61A94" w:rsidRDefault="007F3ED6" w:rsidP="007F3ED6">
              <w:pPr>
                <w:pStyle w:val="CIRBodyText"/>
                <w:rPr>
                  <w:lang w:val="en-GB"/>
                </w:rPr>
              </w:pPr>
              <w:r w:rsidRPr="007D3A11">
                <w:rPr>
                  <w:lang w:val="en-GB"/>
                </w:rPr>
                <w:t xml:space="preserve">Anders Boyer (b. 1970) has been </w:t>
              </w:r>
              <w:r w:rsidRPr="007D3A11">
                <w:rPr>
                  <w:b/>
                  <w:lang w:val="en-GB"/>
                </w:rPr>
                <w:t>CFO</w:t>
              </w:r>
              <w:r>
                <w:rPr>
                  <w:lang w:val="en-GB"/>
                </w:rPr>
                <w:t xml:space="preserve"> of GN Store Nord since August 2009, having </w:t>
              </w:r>
              <w:r w:rsidRPr="00A61A94">
                <w:rPr>
                  <w:lang w:val="en-GB"/>
                </w:rPr>
                <w:t>previously been CFO of GN Netcom since 2007.</w:t>
              </w:r>
            </w:p>
            <w:p w:rsidR="007F3ED6" w:rsidRDefault="007F3ED6" w:rsidP="007F3ED6">
              <w:pPr>
                <w:pStyle w:val="CIRBodyText"/>
                <w:rPr>
                  <w:lang w:val="en-GB"/>
                </w:rPr>
              </w:pPr>
              <w:r w:rsidRPr="00A61A94">
                <w:rPr>
                  <w:lang w:val="en-GB"/>
                </w:rPr>
                <w:t>Per Wold-</w:t>
              </w:r>
              <w:r w:rsidRPr="007D3A11">
                <w:rPr>
                  <w:lang w:val="en-GB"/>
                </w:rPr>
                <w:t xml:space="preserve">Olsen (b. 1947) has been </w:t>
              </w:r>
              <w:r w:rsidRPr="007D3A11">
                <w:rPr>
                  <w:b/>
                  <w:lang w:val="en-GB"/>
                </w:rPr>
                <w:t>Chairman</w:t>
              </w:r>
              <w:r w:rsidRPr="007D3A11">
                <w:rPr>
                  <w:lang w:val="en-GB"/>
                </w:rPr>
                <w:t xml:space="preserve"> of GN Store Nord since 2008, having worked in Merck &amp; Co., Inc. fr</w:t>
              </w:r>
              <w:r w:rsidRPr="00A61A94">
                <w:rPr>
                  <w:lang w:val="en-GB"/>
                </w:rPr>
                <w:t xml:space="preserve">om 1991 to 2006 where he was member of </w:t>
              </w:r>
              <w:r>
                <w:rPr>
                  <w:lang w:val="en-GB"/>
                </w:rPr>
                <w:t>the</w:t>
              </w:r>
              <w:r w:rsidRPr="00A61A94">
                <w:rPr>
                  <w:lang w:val="en-GB"/>
                </w:rPr>
                <w:t xml:space="preserve"> Management Committee. He is also a member of the board at Novo A/S, Gilead Sciences Inc. and Exiqon A/S.</w:t>
              </w:r>
              <w:r w:rsidRPr="00D56A16">
                <w:rPr>
                  <w:lang w:val="en-GB"/>
                </w:rPr>
                <w:t xml:space="preserve">  </w:t>
              </w:r>
            </w:p>
            <w:p w:rsidR="007F3ED6" w:rsidRDefault="007F3ED6" w:rsidP="007F3ED6">
              <w:pPr>
                <w:pStyle w:val="Heading3"/>
                <w:rPr>
                  <w:lang w:val="en-GB"/>
                </w:rPr>
              </w:pPr>
              <w:r>
                <w:rPr>
                  <w:lang w:val="en-GB"/>
                </w:rPr>
                <w:t>Remuneration</w:t>
              </w:r>
            </w:p>
            <w:p w:rsidR="007F3ED6" w:rsidRPr="007D3A11" w:rsidRDefault="007F3ED6" w:rsidP="007F3ED6">
              <w:pPr>
                <w:pStyle w:val="CIRBodyText"/>
                <w:rPr>
                  <w:lang w:val="en-GB"/>
                </w:rPr>
              </w:pPr>
              <w:r>
                <w:rPr>
                  <w:lang w:val="en-GB"/>
                </w:rPr>
                <w:t xml:space="preserve">Remuneration of the executive management is based on a fixed base salary plus a target bonus of up to 50% of the base salary, with a potential bonus ranging from 0 - 100% of the base salary. </w:t>
              </w:r>
              <w:r w:rsidRPr="007D3A11">
                <w:rPr>
                  <w:lang w:val="en-GB"/>
                </w:rPr>
                <w:t>Management are also granted warrant programmes in GN ReSound and GN Netcom, whose value is calculated based on the value of GN Store Nord shares.</w:t>
              </w:r>
            </w:p>
            <w:p w:rsidR="007F3ED6" w:rsidRPr="008E202C" w:rsidRDefault="007F3ED6" w:rsidP="007F3ED6">
              <w:pPr>
                <w:pStyle w:val="CIRBodyText"/>
                <w:rPr>
                  <w:lang w:val="en-GB"/>
                </w:rPr>
              </w:pPr>
              <w:r w:rsidRPr="007D3A11">
                <w:rPr>
                  <w:lang w:val="en-GB"/>
                </w:rPr>
                <w:t>In 2013, GN Netcom CEO’s bonus was subject to GN Netcom’s performance vs its EBITA, revenue and individual performance targets. The bonuses of the GN ReSound CEO and the CFO were subject to GN ReSound’s performance vs its EBITA, revenue, gross margin and individual targets.</w:t>
              </w:r>
              <w:r>
                <w:rPr>
                  <w:lang w:val="en-GB"/>
                </w:rPr>
                <w:t xml:space="preserve"> </w:t>
              </w:r>
            </w:p>
            <w:p w:rsidR="007F3ED6" w:rsidRPr="001071D9" w:rsidRDefault="007F3ED6" w:rsidP="007F3ED6">
              <w:pPr>
                <w:pStyle w:val="Heading1"/>
                <w:rPr>
                  <w:lang w:val="en-GB"/>
                </w:rPr>
              </w:pPr>
              <w:bookmarkStart w:id="78" w:name="_Toc406403991"/>
              <w:bookmarkStart w:id="79" w:name="_Toc406509708"/>
              <w:r>
                <w:rPr>
                  <w:lang w:val="en-GB"/>
                </w:rPr>
                <w:t>Shareholder Structure</w:t>
              </w:r>
              <w:bookmarkEnd w:id="78"/>
              <w:bookmarkEnd w:id="79"/>
            </w:p>
            <w:p w:rsidR="007F3ED6" w:rsidRDefault="007F3ED6" w:rsidP="007F3ED6">
              <w:pPr>
                <w:pStyle w:val="CIRBodyText"/>
                <w:rPr>
                  <w:lang w:val="en-GB"/>
                </w:rPr>
              </w:pPr>
              <w:r>
                <w:rPr>
                  <w:lang w:val="en-GB"/>
                </w:rPr>
                <w:t>GN Store Nord’s shares are close to 100</w:t>
              </w:r>
              <w:r w:rsidRPr="007D3A11">
                <w:rPr>
                  <w:lang w:val="en-GB"/>
                </w:rPr>
                <w:t>% free float, on our estimates.</w:t>
              </w:r>
            </w:p>
            <w:p w:rsidR="007F3ED6" w:rsidRPr="00B426EE" w:rsidRDefault="007F3ED6" w:rsidP="007F3ED6">
              <w:pPr>
                <w:pStyle w:val="CIRChapter"/>
                <w:framePr w:wrap="around"/>
                <w:rPr>
                  <w:lang w:val="en-GB"/>
                </w:rPr>
              </w:pPr>
              <w:bookmarkStart w:id="80" w:name="_Toc406403992"/>
              <w:bookmarkStart w:id="81" w:name="_Toc406509709"/>
              <w:r>
                <w:rPr>
                  <w:lang w:val="en-GB"/>
                </w:rPr>
                <w:t>Forecasts and Assumptions</w:t>
              </w:r>
              <w:bookmarkEnd w:id="80"/>
              <w:bookmarkEnd w:id="81"/>
            </w:p>
            <w:p w:rsidR="007F3ED6" w:rsidRDefault="006460EA" w:rsidP="007F3ED6">
              <w:pPr>
                <w:spacing w:line="14" w:lineRule="auto"/>
              </w:pPr>
            </w:p>
          </w:sdtContent>
        </w:sdt>
        <w:p w:rsidR="007F3ED6" w:rsidRPr="00F95D47" w:rsidRDefault="007F3ED6" w:rsidP="007F3ED6">
          <w:pPr>
            <w:pStyle w:val="CIRBodyText"/>
            <w:rPr>
              <w:lang w:val="en-GB"/>
            </w:rPr>
          </w:pPr>
          <w:r>
            <w:t xml:space="preserve">We forecast FY14E-17E sales and adj. EPS CAGRs of 9.8% and 19.7%, respectively, and </w:t>
          </w:r>
          <w:r w:rsidRPr="00FE6A06">
            <w:t>believe the lower-end of Group FY14 guidance is achievable (</w:t>
          </w:r>
          <w:r>
            <w:t xml:space="preserve">2014E </w:t>
          </w:r>
          <w:r w:rsidRPr="00FE6A06">
            <w:t>PBT DKr1,117mn vs &gt;DKr1,110mn guidance.</w:t>
          </w:r>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10220" w:type="dxa"/>
              </w:tcPr>
              <w:p w:rsidR="007F3ED6" w:rsidRDefault="007F3ED6" w:rsidP="00326326">
                <w:pPr>
                  <w:pStyle w:val="CIRCaption"/>
                </w:pPr>
                <w:r>
                  <w:t xml:space="preserve">Figure </w:t>
                </w:r>
                <w:fldSimple w:instr=" SEQ Figure \* ARABIC ">
                  <w:r>
                    <w:rPr>
                      <w:noProof/>
                    </w:rPr>
                    <w:t>54</w:t>
                  </w:r>
                </w:fldSimple>
                <w:r>
                  <w:t>. GN Store Nord – Summary forecasts</w:t>
                </w:r>
              </w:p>
            </w:tc>
          </w:tr>
          <w:tr w:rsidR="007F3ED6" w:rsidTr="00326326">
            <w:trPr>
              <w:trHeight w:val="160"/>
            </w:trPr>
            <w:tc>
              <w:tcPr>
                <w:tcW w:w="10220" w:type="dxa"/>
              </w:tcPr>
              <w:p w:rsidR="007F3ED6" w:rsidRDefault="007F3ED6" w:rsidP="00326326">
                <w:pPr>
                  <w:pStyle w:val="CIRMaster"/>
                  <w:spacing w:line="14" w:lineRule="auto"/>
                  <w:rPr>
                    <w:rFonts w:asciiTheme="minorHAnsi" w:eastAsiaTheme="minorEastAsia" w:hAnsiTheme="minorHAnsi" w:cstheme="minorBidi"/>
                    <w:kern w:val="0"/>
                    <w:sz w:val="22"/>
                    <w:szCs w:val="22"/>
                    <w:lang w:eastAsia="en-US"/>
                  </w:rPr>
                </w:pPr>
                <w:r>
                  <w:fldChar w:fldCharType="begin" w:fldLock="1"/>
                </w:r>
                <w:r>
                  <w:instrText xml:space="preserve"> LINK Excel.SheetMacroEnabled.12 "\\\\ldnvnaseqr0006\\eqr_erpharma\\MEDTECH\\Models\\Live Models\\GN Store Nord model (Citi).xlsm" Tables!R69C1:R114C16 \f 4 \r  \* MERGEFORMAT</w:instrText>
                </w:r>
                <w:r>
                  <w:fldChar w:fldCharType="separate"/>
                </w:r>
              </w:p>
              <w:tbl>
                <w:tblPr>
                  <w:tblW w:w="10220" w:type="dxa"/>
                  <w:tblLayout w:type="fixed"/>
                  <w:tblCellMar>
                    <w:left w:w="0" w:type="dxa"/>
                    <w:right w:w="36" w:type="dxa"/>
                  </w:tblCellMar>
                  <w:tblLook w:val="0000" w:firstRow="0" w:lastRow="0" w:firstColumn="0" w:lastColumn="0" w:noHBand="0" w:noVBand="0"/>
                </w:tblPr>
                <w:tblGrid>
                  <w:gridCol w:w="2520"/>
                  <w:gridCol w:w="700"/>
                  <w:gridCol w:w="700"/>
                  <w:gridCol w:w="700"/>
                  <w:gridCol w:w="700"/>
                  <w:gridCol w:w="700"/>
                  <w:gridCol w:w="700"/>
                  <w:gridCol w:w="700"/>
                  <w:gridCol w:w="700"/>
                  <w:gridCol w:w="700"/>
                  <w:gridCol w:w="700"/>
                  <w:gridCol w:w="700"/>
                </w:tblGrid>
                <w:tr w:rsidR="007F3ED6" w:rsidRPr="00C9723E" w:rsidTr="00326326">
                  <w:tc>
                    <w:tcPr>
                      <w:tcW w:w="2520" w:type="dxa"/>
                      <w:tcBorders>
                        <w:top w:val="single" w:sz="6" w:space="0" w:color="FFFFFF"/>
                        <w:left w:val="single" w:sz="4" w:space="0" w:color="FFFFFF"/>
                        <w:bottom w:val="single" w:sz="6" w:space="0" w:color="FFFFFF"/>
                        <w:right w:val="single" w:sz="4" w:space="0" w:color="FFFFFF"/>
                      </w:tcBorders>
                      <w:shd w:val="clear" w:color="auto" w:fill="002D72"/>
                    </w:tcPr>
                    <w:p w:rsidR="007F3ED6" w:rsidRPr="00C9723E" w:rsidRDefault="007F3ED6" w:rsidP="00326326">
                      <w:pPr>
                        <w:keepNext/>
                        <w:autoSpaceDE w:val="0"/>
                        <w:autoSpaceDN w:val="0"/>
                        <w:adjustRightInd w:val="0"/>
                        <w:spacing w:before="40" w:line="160" w:lineRule="exac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DKrmn</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2011</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2012</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2013</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1Q14</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2Q14</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3Q14</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4Q14E</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2014E</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2015E</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2016E</w:t>
                      </w:r>
                    </w:p>
                  </w:tc>
                  <w:tc>
                    <w:tcPr>
                      <w:tcW w:w="700" w:type="dxa"/>
                      <w:tcBorders>
                        <w:top w:val="single" w:sz="6" w:space="0" w:color="FFFFFF"/>
                        <w:left w:val="single" w:sz="4" w:space="0" w:color="FFFFFF"/>
                        <w:bottom w:val="single" w:sz="6" w:space="0" w:color="FFFFFF"/>
                        <w:right w:val="single" w:sz="4" w:space="0" w:color="FFFFFF"/>
                      </w:tcBorders>
                      <w:shd w:val="clear" w:color="auto" w:fill="002D72"/>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C9723E">
                        <w:rPr>
                          <w:rFonts w:ascii="Arial Narrow" w:hAnsi="Arial Narrow" w:cs="Arial"/>
                          <w:b/>
                          <w:bCs/>
                          <w:color w:val="FFFFFF"/>
                          <w:sz w:val="16"/>
                          <w:szCs w:val="18"/>
                          <w:lang w:val="en-GB" w:eastAsia="en-GB"/>
                        </w:rPr>
                        <w:t>2017E</w:t>
                      </w:r>
                    </w:p>
                  </w:tc>
                </w:tr>
                <w:tr w:rsidR="007F3ED6" w:rsidRPr="00C9723E" w:rsidTr="00326326">
                  <w:tc>
                    <w:tcPr>
                      <w:tcW w:w="2520" w:type="dxa"/>
                      <w:tcBorders>
                        <w:top w:val="single" w:sz="6" w:space="0" w:color="FFFFFF"/>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CC&amp;O Headset Sales</w:t>
                      </w:r>
                    </w:p>
                  </w:tc>
                  <w:tc>
                    <w:tcPr>
                      <w:tcW w:w="700" w:type="dxa"/>
                      <w:tcBorders>
                        <w:top w:val="single" w:sz="6" w:space="0" w:color="FFFFFF"/>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1,400</w:t>
                      </w:r>
                    </w:p>
                  </w:tc>
                  <w:tc>
                    <w:tcPr>
                      <w:tcW w:w="700" w:type="dxa"/>
                      <w:tcBorders>
                        <w:top w:val="single" w:sz="6" w:space="0" w:color="FFFFFF"/>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1,530</w:t>
                      </w:r>
                    </w:p>
                  </w:tc>
                  <w:tc>
                    <w:tcPr>
                      <w:tcW w:w="700" w:type="dxa"/>
                      <w:tcBorders>
                        <w:top w:val="single" w:sz="6" w:space="0" w:color="FFFFFF"/>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1,591</w:t>
                      </w:r>
                    </w:p>
                  </w:tc>
                  <w:tc>
                    <w:tcPr>
                      <w:tcW w:w="700" w:type="dxa"/>
                      <w:tcBorders>
                        <w:top w:val="single" w:sz="6" w:space="0" w:color="FFFFFF"/>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430</w:t>
                      </w:r>
                    </w:p>
                  </w:tc>
                  <w:tc>
                    <w:tcPr>
                      <w:tcW w:w="700" w:type="dxa"/>
                      <w:tcBorders>
                        <w:top w:val="single" w:sz="6" w:space="0" w:color="FFFFFF"/>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461</w:t>
                      </w:r>
                    </w:p>
                  </w:tc>
                  <w:tc>
                    <w:tcPr>
                      <w:tcW w:w="700" w:type="dxa"/>
                      <w:tcBorders>
                        <w:top w:val="single" w:sz="6" w:space="0" w:color="FFFFFF"/>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413</w:t>
                      </w:r>
                    </w:p>
                  </w:tc>
                  <w:tc>
                    <w:tcPr>
                      <w:tcW w:w="700" w:type="dxa"/>
                      <w:tcBorders>
                        <w:top w:val="single" w:sz="6" w:space="0" w:color="FFFFFF"/>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542</w:t>
                      </w:r>
                    </w:p>
                  </w:tc>
                  <w:tc>
                    <w:tcPr>
                      <w:tcW w:w="700" w:type="dxa"/>
                      <w:tcBorders>
                        <w:top w:val="single" w:sz="6" w:space="0" w:color="FFFFFF"/>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1,846</w:t>
                      </w:r>
                    </w:p>
                  </w:tc>
                  <w:tc>
                    <w:tcPr>
                      <w:tcW w:w="700" w:type="dxa"/>
                      <w:tcBorders>
                        <w:top w:val="single" w:sz="6" w:space="0" w:color="FFFFFF"/>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2,195</w:t>
                      </w:r>
                    </w:p>
                  </w:tc>
                  <w:tc>
                    <w:tcPr>
                      <w:tcW w:w="700" w:type="dxa"/>
                      <w:tcBorders>
                        <w:top w:val="single" w:sz="6" w:space="0" w:color="FFFFFF"/>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2,599</w:t>
                      </w:r>
                    </w:p>
                  </w:tc>
                  <w:tc>
                    <w:tcPr>
                      <w:tcW w:w="700" w:type="dxa"/>
                      <w:tcBorders>
                        <w:top w:val="single" w:sz="6" w:space="0" w:color="FFFFFF"/>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2,987</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organic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12.0%</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13.0%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26.0%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9.0%</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18.5%</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16.6%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18.4%</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15.0%</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3.8%</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10.5%</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23.3%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8.1%</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21.5%</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16.0%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18.9%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18.4%</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15.0%</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Mobile Headsets Sales</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706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825</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1,019</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222</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237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214</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348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1,019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1,126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1,182</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1,241</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organic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27.0%</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3.0%</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20.0%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0.7%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7.5%</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-0.3%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16.9%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23.5%</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-14.0%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2.9%</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23.0%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0.0%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10.5%</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7F3ED6" w:rsidRPr="00C9723E" w:rsidTr="00326326">
                  <w:tc>
                    <w:tcPr>
                      <w:tcW w:w="252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GN Netcom Sales</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2,106</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2,355</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2,610</w:t>
                      </w:r>
                    </w:p>
                  </w:tc>
                  <w:tc>
                    <w:tcPr>
                      <w:tcW w:w="700" w:type="dxa"/>
                      <w:tcBorders>
                        <w:top w:val="single" w:sz="6" w:space="0" w:color="auto"/>
                        <w:left w:val="single" w:sz="6" w:space="0" w:color="auto"/>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652</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698</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627</w:t>
                      </w:r>
                    </w:p>
                  </w:tc>
                  <w:tc>
                    <w:tcPr>
                      <w:tcW w:w="700" w:type="dxa"/>
                      <w:tcBorders>
                        <w:top w:val="single" w:sz="6" w:space="0" w:color="auto"/>
                        <w:left w:val="nil"/>
                        <w:bottom w:val="single" w:sz="6" w:space="0" w:color="auto"/>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890</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2,865</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3,321</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3,781</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4,229</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 organic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18.0%</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11.0%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6.9%</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19.1%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10.4%</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12.9%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13.8%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11.8%</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10.8%</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0.8%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6.3%</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22.1%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13.8%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11.8%</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7F3ED6" w:rsidRPr="00C9723E" w:rsidTr="00326326">
                  <w:tc>
                    <w:tcPr>
                      <w:tcW w:w="252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GN Netcom adj. EBITA</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310</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362</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472</w:t>
                      </w:r>
                    </w:p>
                  </w:tc>
                  <w:tc>
                    <w:tcPr>
                      <w:tcW w:w="700" w:type="dxa"/>
                      <w:tcBorders>
                        <w:top w:val="single" w:sz="6" w:space="0" w:color="auto"/>
                        <w:left w:val="single" w:sz="6" w:space="0" w:color="auto"/>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104</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108</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109</w:t>
                      </w:r>
                    </w:p>
                  </w:tc>
                  <w:tc>
                    <w:tcPr>
                      <w:tcW w:w="700" w:type="dxa"/>
                      <w:tcBorders>
                        <w:top w:val="single" w:sz="6" w:space="0" w:color="auto"/>
                        <w:left w:val="nil"/>
                        <w:bottom w:val="single" w:sz="6" w:space="0" w:color="auto"/>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189</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509</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611</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733</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860</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margin</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14.7%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15.4%</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18.1%</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16.0%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15.4%</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17.4%</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21.2%</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17.8%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18.4%</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19.4%</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20.3%</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38.4%</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16.8%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30.4%</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8.0%</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34.0%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20.0%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19.9%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17.4%</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Hearing aid Sales</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3,058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3,423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3,636</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895</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969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966</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1,121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3,951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4,327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4,630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4,861</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organic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10.0%</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9.0%</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8.5%</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6.8%</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6.5%</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8.8%</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13.5%</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9.5%</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Diagnostics Sales</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392</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473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543</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132</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139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142</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163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576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637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668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702</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organic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13.0%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10.0%</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2.0%</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1.4%</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7.2%</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20.6%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15.1%</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8.4%</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14.0%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10.5%</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7F3ED6" w:rsidRPr="00C9723E" w:rsidTr="00326326">
                  <w:tc>
                    <w:tcPr>
                      <w:tcW w:w="252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GN ReSound Sales</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3,450</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3,896</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4,179</w:t>
                      </w:r>
                    </w:p>
                  </w:tc>
                  <w:tc>
                    <w:tcPr>
                      <w:tcW w:w="700" w:type="dxa"/>
                      <w:tcBorders>
                        <w:top w:val="single" w:sz="6" w:space="0" w:color="auto"/>
                        <w:left w:val="single" w:sz="6" w:space="0" w:color="auto"/>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1,027</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1,108</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1,108</w:t>
                      </w:r>
                    </w:p>
                  </w:tc>
                  <w:tc>
                    <w:tcPr>
                      <w:tcW w:w="700" w:type="dxa"/>
                      <w:tcBorders>
                        <w:top w:val="single" w:sz="6" w:space="0" w:color="auto"/>
                        <w:left w:val="nil"/>
                        <w:bottom w:val="single" w:sz="6" w:space="0" w:color="auto"/>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1,284</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4,527</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4,963</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5,298</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5,563</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 organic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10.0%</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8.1%</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5.0%</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7.3%</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8.7%</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13.6%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5.0%</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7F3ED6" w:rsidRPr="00C9723E" w:rsidTr="00326326">
                  <w:tc>
                    <w:tcPr>
                      <w:tcW w:w="252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GN ReSound adj. EBITA</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451</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551</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842</w:t>
                      </w:r>
                    </w:p>
                  </w:tc>
                  <w:tc>
                    <w:tcPr>
                      <w:tcW w:w="700" w:type="dxa"/>
                      <w:tcBorders>
                        <w:top w:val="single" w:sz="6" w:space="0" w:color="auto"/>
                        <w:left w:val="single" w:sz="6" w:space="0" w:color="auto"/>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170</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209</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226</w:t>
                      </w:r>
                    </w:p>
                  </w:tc>
                  <w:tc>
                    <w:tcPr>
                      <w:tcW w:w="700" w:type="dxa"/>
                      <w:tcBorders>
                        <w:top w:val="single" w:sz="6" w:space="0" w:color="auto"/>
                        <w:left w:val="nil"/>
                        <w:bottom w:val="single" w:sz="6" w:space="0" w:color="auto"/>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320</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926</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1,037</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1,141</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1,207</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margin</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13.1%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14.1%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20.1%</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16.6%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20.4%</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24.9%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20.5%</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20.9%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21.5%</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21.7%</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26.0%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22.2%</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52.7%</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8.8%</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16.4%</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5.7%</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7F3ED6" w:rsidRPr="00C9723E" w:rsidTr="00326326">
                  <w:tc>
                    <w:tcPr>
                      <w:tcW w:w="252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Group Sales</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5,564</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6,251</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6,789</w:t>
                      </w:r>
                    </w:p>
                  </w:tc>
                  <w:tc>
                    <w:tcPr>
                      <w:tcW w:w="700" w:type="dxa"/>
                      <w:tcBorders>
                        <w:top w:val="single" w:sz="6" w:space="0" w:color="auto"/>
                        <w:left w:val="single" w:sz="6" w:space="0" w:color="auto"/>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1,679</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1,806</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1,735</w:t>
                      </w:r>
                    </w:p>
                  </w:tc>
                  <w:tc>
                    <w:tcPr>
                      <w:tcW w:w="700" w:type="dxa"/>
                      <w:tcBorders>
                        <w:top w:val="single" w:sz="6" w:space="0" w:color="auto"/>
                        <w:left w:val="nil"/>
                        <w:bottom w:val="single" w:sz="6" w:space="0" w:color="auto"/>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2,174</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7,392</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8,284</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9,079</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9,792</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 organic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6.2%</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13.0%</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7.7%</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12.1%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7.9%</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8.6%</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3.2%</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6.5%</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7.8%</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16.9%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8.9%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12.1%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9.6%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7.9%</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7F3ED6" w:rsidRPr="00C9723E" w:rsidTr="00326326">
                  <w:tc>
                    <w:tcPr>
                      <w:tcW w:w="252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Group adj. EBITA</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604</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831</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1,233</w:t>
                      </w:r>
                    </w:p>
                  </w:tc>
                  <w:tc>
                    <w:tcPr>
                      <w:tcW w:w="700" w:type="dxa"/>
                      <w:tcBorders>
                        <w:top w:val="single" w:sz="6" w:space="0" w:color="auto"/>
                        <w:left w:val="single" w:sz="6" w:space="0" w:color="auto"/>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253</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302</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323</w:t>
                      </w:r>
                    </w:p>
                  </w:tc>
                  <w:tc>
                    <w:tcPr>
                      <w:tcW w:w="700" w:type="dxa"/>
                      <w:tcBorders>
                        <w:top w:val="single" w:sz="6" w:space="0" w:color="auto"/>
                        <w:left w:val="nil"/>
                        <w:bottom w:val="single" w:sz="6" w:space="0" w:color="auto"/>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494</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1,372</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1,583</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1,808</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1,998</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Group adj. EBITA Margin</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10.9%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13.3%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18.2%</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15.1%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16.7%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18.6%</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22.7%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18.6%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19.1%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19.9%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20.4%</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 chg.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21.3%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37.6%</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48.3%</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3.9%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10.0%</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26.7%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11.3%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15.4%</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14.1%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r w:rsidRPr="00C9723E">
                        <w:rPr>
                          <w:rFonts w:ascii="Arial Narrow" w:hAnsi="Arial Narrow" w:cs="Arial"/>
                          <w:color w:val="000000"/>
                          <w:sz w:val="16"/>
                          <w:szCs w:val="18"/>
                          <w:lang w:val="en-GB" w:eastAsia="en-GB"/>
                        </w:rPr>
                        <w:t>10.5%</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color w:val="000000"/>
                          <w:sz w:val="16"/>
                          <w:szCs w:val="18"/>
                          <w:lang w:val="en-GB" w:eastAsia="en-GB"/>
                        </w:rPr>
                      </w:pPr>
                    </w:p>
                  </w:tc>
                </w:tr>
                <w:tr w:rsidR="007F3ED6" w:rsidRPr="00C9723E" w:rsidTr="00326326">
                  <w:tc>
                    <w:tcPr>
                      <w:tcW w:w="252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Adj. Net income</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355.8</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491.2</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775.9</w:t>
                      </w:r>
                    </w:p>
                  </w:tc>
                  <w:tc>
                    <w:tcPr>
                      <w:tcW w:w="700" w:type="dxa"/>
                      <w:tcBorders>
                        <w:top w:val="single" w:sz="6" w:space="0" w:color="auto"/>
                        <w:left w:val="single" w:sz="6" w:space="0" w:color="auto"/>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171.0</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188.9</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198.3</w:t>
                      </w:r>
                    </w:p>
                  </w:tc>
                  <w:tc>
                    <w:tcPr>
                      <w:tcW w:w="700" w:type="dxa"/>
                      <w:tcBorders>
                        <w:top w:val="single" w:sz="6" w:space="0" w:color="auto"/>
                        <w:left w:val="nil"/>
                        <w:bottom w:val="single" w:sz="6" w:space="0" w:color="auto"/>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317.2</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875.5</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1028.3</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1201.3</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1338.6</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 chg.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15.3%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38.1%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58.0%</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-0.8%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8.7%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4.5%</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32.2%</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12.8%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17.4%</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16.8%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color w:val="000000"/>
                          <w:sz w:val="16"/>
                          <w:szCs w:val="18"/>
                          <w:lang w:val="en-GB" w:eastAsia="en-GB"/>
                        </w:rPr>
                      </w:pPr>
                      <w:r w:rsidRPr="00C9723E">
                        <w:rPr>
                          <w:rFonts w:ascii="Arial Narrow" w:hAnsi="Arial Narrow" w:cs="Arial"/>
                          <w:b/>
                          <w:color w:val="000000"/>
                          <w:sz w:val="16"/>
                          <w:szCs w:val="18"/>
                          <w:lang w:val="en-GB" w:eastAsia="en-GB"/>
                        </w:rPr>
                        <w:t>11.4%</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p>
                  </w:tc>
                </w:tr>
                <w:tr w:rsidR="007F3ED6" w:rsidRPr="00C9723E" w:rsidTr="00326326">
                  <w:tc>
                    <w:tcPr>
                      <w:tcW w:w="252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Adj. diluted EPS</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1.76</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2.72</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4.59</w:t>
                      </w:r>
                    </w:p>
                  </w:tc>
                  <w:tc>
                    <w:tcPr>
                      <w:tcW w:w="700" w:type="dxa"/>
                      <w:tcBorders>
                        <w:top w:val="single" w:sz="6" w:space="0" w:color="auto"/>
                        <w:left w:val="single" w:sz="6" w:space="0" w:color="auto"/>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1.03</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1.15</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1.22</w:t>
                      </w:r>
                    </w:p>
                  </w:tc>
                  <w:tc>
                    <w:tcPr>
                      <w:tcW w:w="700" w:type="dxa"/>
                      <w:tcBorders>
                        <w:top w:val="single" w:sz="6" w:space="0" w:color="auto"/>
                        <w:left w:val="nil"/>
                        <w:bottom w:val="single" w:sz="6" w:space="0" w:color="auto"/>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1.96</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5.33</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6.50</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7.91</w:t>
                      </w:r>
                    </w:p>
                  </w:tc>
                  <w:tc>
                    <w:tcPr>
                      <w:tcW w:w="700" w:type="dxa"/>
                      <w:tcBorders>
                        <w:top w:val="single" w:sz="6" w:space="0" w:color="auto"/>
                        <w:left w:val="nil"/>
                        <w:bottom w:val="single" w:sz="6" w:space="0" w:color="auto"/>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9.15</w:t>
                      </w:r>
                    </w:p>
                  </w:tc>
                </w:tr>
                <w:tr w:rsidR="007F3ED6" w:rsidRPr="00C9723E" w:rsidTr="00326326">
                  <w:tc>
                    <w:tcPr>
                      <w:tcW w:w="252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 chg. YoY</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17.3%</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54.9%</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68.9%</w:t>
                      </w:r>
                    </w:p>
                  </w:tc>
                  <w:tc>
                    <w:tcPr>
                      <w:tcW w:w="700" w:type="dxa"/>
                      <w:tcBorders>
                        <w:top w:val="nil"/>
                        <w:left w:val="single" w:sz="6" w:space="0" w:color="auto"/>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2.4%</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11.8%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7.3%</w:t>
                      </w:r>
                    </w:p>
                  </w:tc>
                  <w:tc>
                    <w:tcPr>
                      <w:tcW w:w="700" w:type="dxa"/>
                      <w:tcBorders>
                        <w:top w:val="nil"/>
                        <w:left w:val="nil"/>
                        <w:bottom w:val="nil"/>
                        <w:right w:val="single" w:sz="6" w:space="0" w:color="auto"/>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36.0%</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16.1%</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21.8%</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21.7%</w:t>
                      </w:r>
                    </w:p>
                  </w:tc>
                  <w:tc>
                    <w:tcPr>
                      <w:tcW w:w="700" w:type="dxa"/>
                      <w:tcBorders>
                        <w:top w:val="nil"/>
                        <w:left w:val="nil"/>
                        <w:bottom w:val="nil"/>
                        <w:right w:val="nil"/>
                      </w:tcBorders>
                    </w:tcPr>
                    <w:p w:rsidR="007F3ED6" w:rsidRPr="00C9723E" w:rsidRDefault="007F3ED6" w:rsidP="00326326">
                      <w:pPr>
                        <w:keepNext/>
                        <w:autoSpaceDE w:val="0"/>
                        <w:autoSpaceDN w:val="0"/>
                        <w:adjustRightInd w:val="0"/>
                        <w:spacing w:before="40" w:line="160" w:lineRule="exact"/>
                        <w:jc w:val="right"/>
                        <w:rPr>
                          <w:rFonts w:ascii="Arial Narrow" w:hAnsi="Arial Narrow" w:cs="Arial"/>
                          <w:b/>
                          <w:bCs/>
                          <w:color w:val="000000"/>
                          <w:sz w:val="16"/>
                          <w:szCs w:val="18"/>
                          <w:lang w:val="en-GB" w:eastAsia="en-GB"/>
                        </w:rPr>
                      </w:pPr>
                      <w:r w:rsidRPr="00C9723E">
                        <w:rPr>
                          <w:rFonts w:ascii="Arial Narrow" w:hAnsi="Arial Narrow" w:cs="Arial"/>
                          <w:b/>
                          <w:bCs/>
                          <w:color w:val="000000"/>
                          <w:sz w:val="16"/>
                          <w:szCs w:val="18"/>
                          <w:lang w:val="en-GB" w:eastAsia="en-GB"/>
                        </w:rPr>
                        <w:t>15.6%</w:t>
                      </w:r>
                    </w:p>
                  </w:tc>
                </w:tr>
              </w:tbl>
              <w:p w:rsidR="007F3ED6" w:rsidRDefault="007F3ED6" w:rsidP="00326326">
                <w:pPr>
                  <w:pStyle w:val="CIRMaster"/>
                  <w:spacing w:line="14" w:lineRule="auto"/>
                </w:pPr>
                <w:r>
                  <w:fldChar w:fldCharType="end"/>
                </w:r>
              </w:p>
            </w:tc>
          </w:tr>
          <w:tr w:rsidR="007F3ED6" w:rsidTr="00326326">
            <w:trPr>
              <w:cantSplit/>
            </w:trPr>
            <w:tc>
              <w:tcPr>
                <w:tcW w:w="10220" w:type="dxa"/>
              </w:tcPr>
              <w:p w:rsidR="007F3ED6" w:rsidRDefault="007F3ED6" w:rsidP="00326326">
                <w:pPr>
                  <w:pStyle w:val="CIRSourceNote"/>
                </w:pPr>
                <w:r>
                  <w:t>Source: Company data, Citi Research estimates</w:t>
                </w:r>
              </w:p>
            </w:tc>
          </w:tr>
        </w:tbl>
        <w:p w:rsidR="007F3ED6" w:rsidRDefault="007F3ED6" w:rsidP="007F3ED6">
          <w:pPr>
            <w:pStyle w:val="CIRBodyText"/>
          </w:pPr>
        </w:p>
        <w:p w:rsidR="007F3ED6" w:rsidRDefault="007F3ED6" w:rsidP="007F3ED6">
          <w:pPr>
            <w:pStyle w:val="Heading2"/>
          </w:pPr>
          <w:bookmarkStart w:id="82" w:name="_Toc406403993"/>
          <w:bookmarkStart w:id="83" w:name="_Toc406509710"/>
          <w:r>
            <w:t xml:space="preserve">Sales: 9.8% CAGR </w:t>
          </w:r>
          <w:r w:rsidRPr="008F1421">
            <w:t>FY14-17E</w:t>
          </w:r>
          <w:bookmarkEnd w:id="82"/>
          <w:bookmarkEnd w:id="83"/>
          <w:r w:rsidRPr="008F1421">
            <w:t xml:space="preserve"> </w:t>
          </w:r>
        </w:p>
        <w:p w:rsidR="007F3ED6" w:rsidRDefault="007F3ED6" w:rsidP="007F3ED6">
          <w:pPr>
            <w:pStyle w:val="CIRBodyText"/>
          </w:pPr>
          <w:r>
            <w:t xml:space="preserve">Our 9.8% forecast sales CAGR is driven by an 8.8% organic growth CAGR and an FX tailwind of 3.3% in 2015E, driven primarily by US$ strength (North America is c40% of sales). </w:t>
          </w:r>
        </w:p>
        <w:p w:rsidR="007F3ED6" w:rsidRDefault="007F3ED6" w:rsidP="007F3ED6">
          <w:pPr>
            <w:pStyle w:val="Heading3"/>
          </w:pPr>
          <w:r>
            <w:t>GN ReSound: 7.2</w:t>
          </w:r>
          <w:r w:rsidRPr="00A94565">
            <w:t>% CAGR FY14</w:t>
          </w:r>
          <w:r>
            <w:t>E</w:t>
          </w:r>
          <w:r w:rsidRPr="00A94565">
            <w:t xml:space="preserve">-17E </w:t>
          </w:r>
        </w:p>
        <w:p w:rsidR="007F3ED6" w:rsidRPr="007D3A11" w:rsidRDefault="007F3ED6" w:rsidP="007F3ED6">
          <w:pPr>
            <w:pStyle w:val="CIRBodyText"/>
          </w:pPr>
          <w:r>
            <w:t xml:space="preserve">We forecast a 6.0% organic growth CAGR for ReSound, which is slightly below the company’s </w:t>
          </w:r>
          <w:r w:rsidRPr="007D3A11">
            <w:t>guidance to grow &gt;3ppts above market growth given our 3.6% market growth forecast. While we see ReSound’s technological advantage in wireless connectivity (Made for iPhone, etc) lasting until 2016-17, when an industry-standard Bluetooth Low Energy (LE) protocol is likely to be released, we err on the cautious side given our assumption of a 50% chance of GN losing its Kirkland Signature (KS) contract with Costco (est. US$36mn/cDKr215mn sales, or 4-5% or ReSound sales). We would expect the announcement of the result of the KS re-tender during 1H15, with sales under the new contract beginning in 2H15.</w:t>
          </w:r>
        </w:p>
        <w:p w:rsidR="007F3ED6" w:rsidRPr="007D3A11" w:rsidRDefault="007F3ED6" w:rsidP="007F3ED6">
          <w:pPr>
            <w:pStyle w:val="CIRBodyText"/>
            <w:rPr>
              <w:lang w:val="en-GB"/>
            </w:rPr>
          </w:pPr>
          <w:r w:rsidRPr="007D3A11">
            <w:rPr>
              <w:lang w:val="en-GB"/>
            </w:rPr>
            <w:t xml:space="preserve">We forecast a 5.7% organic sales CAGR for diagnostics (Otometrics), slightly above market growth as it continues to take share from the smaller players. </w:t>
          </w:r>
        </w:p>
        <w:p w:rsidR="007F3ED6" w:rsidRPr="007D3A11" w:rsidRDefault="007F3ED6" w:rsidP="007F3ED6">
          <w:pPr>
            <w:pStyle w:val="Heading3"/>
          </w:pPr>
          <w:r w:rsidRPr="007D3A11">
            <w:t xml:space="preserve">GN Netcom: 13.9% CAGR FY14E-17E </w:t>
          </w:r>
        </w:p>
        <w:p w:rsidR="007F3ED6" w:rsidRDefault="007F3ED6" w:rsidP="007F3ED6">
          <w:pPr>
            <w:pStyle w:val="CIRBodyText"/>
            <w:rPr>
              <w:lang w:val="en-GB"/>
            </w:rPr>
          </w:pPr>
          <w:r w:rsidRPr="007D3A11">
            <w:rPr>
              <w:lang w:val="en-GB"/>
            </w:rPr>
            <w:t>Given large recent contract wins in Unified Communications (UC), we believe GN could gain further share in 2015-16 but then assume some share</w:t>
          </w:r>
          <w:r w:rsidRPr="00496E69">
            <w:rPr>
              <w:lang w:val="en-GB"/>
            </w:rPr>
            <w:t xml:space="preserve"> loss given the potential for new entrants or for Logitech and Sennheiser Communications to gain</w:t>
          </w:r>
          <w:r w:rsidRPr="000A1FF3">
            <w:rPr>
              <w:lang w:val="en-GB"/>
            </w:rPr>
            <w:t xml:space="preserve"> some momentum in </w:t>
          </w:r>
          <w:r>
            <w:rPr>
              <w:lang w:val="en-GB"/>
            </w:rPr>
            <w:t xml:space="preserve">the </w:t>
          </w:r>
          <w:r w:rsidRPr="000A1FF3">
            <w:rPr>
              <w:lang w:val="en-GB"/>
            </w:rPr>
            <w:t>market. Nevertheless, this implies a &gt;25% UC sales CAGR 2014-17E and</w:t>
          </w:r>
          <w:r>
            <w:rPr>
              <w:lang w:val="en-GB"/>
            </w:rPr>
            <w:t>,</w:t>
          </w:r>
          <w:r w:rsidRPr="000A1FF3">
            <w:rPr>
              <w:lang w:val="en-GB"/>
            </w:rPr>
            <w:t xml:space="preserve"> given the increasing weight of UC sales, we believe Netcom’s organic CC&amp;O growth could accelerate from 10% in 2014E to 14% in 2016E</w:t>
          </w:r>
          <w:r>
            <w:rPr>
              <w:lang w:val="en-GB"/>
            </w:rPr>
            <w:t xml:space="preserve"> (see Figure 41).</w:t>
          </w:r>
        </w:p>
        <w:p w:rsidR="007F3ED6" w:rsidRPr="007D3A11" w:rsidRDefault="007F3ED6" w:rsidP="007F3ED6">
          <w:pPr>
            <w:pStyle w:val="CIRBodyText"/>
            <w:rPr>
              <w:lang w:val="en-GB"/>
            </w:rPr>
          </w:pPr>
          <w:r>
            <w:rPr>
              <w:lang w:val="en-GB"/>
            </w:rPr>
            <w:t xml:space="preserve">We are more cautious on the highly competitive Mobile business. We forecast 7.5% organic growth in 2015, given an easy comparable and the launch of the innovative Jabra Sport Pulse Wireless in Oct </w:t>
          </w:r>
          <w:r w:rsidRPr="007D3A11">
            <w:rPr>
              <w:lang w:val="en-GB"/>
            </w:rPr>
            <w:t>2014 following a refocusing of the music product portfolio. Beyond 2015 we forecast 5% organic growth as we think exposure to the music market should enable growth above the c2-4% market growth in traditional mobile headsets.</w:t>
          </w:r>
        </w:p>
        <w:p w:rsidR="007F3ED6" w:rsidRPr="007D3A11" w:rsidRDefault="007F3ED6" w:rsidP="007F3ED6">
          <w:pPr>
            <w:pStyle w:val="Heading2"/>
          </w:pPr>
          <w:bookmarkStart w:id="84" w:name="_Toc406403994"/>
          <w:bookmarkStart w:id="85" w:name="_Toc406509711"/>
          <w:r w:rsidRPr="007D3A11">
            <w:t>Adj. EBITA margin: 180bp improvement FY14E-17E</w:t>
          </w:r>
          <w:bookmarkEnd w:id="84"/>
          <w:bookmarkEnd w:id="85"/>
          <w:r w:rsidRPr="007D3A11">
            <w:t xml:space="preserve">  </w:t>
          </w:r>
        </w:p>
        <w:p w:rsidR="007F3ED6" w:rsidRDefault="007F3ED6" w:rsidP="007F3ED6">
          <w:pPr>
            <w:pStyle w:val="CIRBodyText"/>
            <w:rPr>
              <w:lang w:val="en-GB"/>
            </w:rPr>
          </w:pPr>
          <w:r w:rsidRPr="007D3A11">
            <w:rPr>
              <w:lang w:val="en-GB"/>
            </w:rPr>
            <w:t>We believe GN’s adj EBITA margin can recover move from 18.6% in FY14E to 20.4% in FY17E.</w:t>
          </w:r>
          <w:r>
            <w:rPr>
              <w:lang w:val="en-GB"/>
            </w:rPr>
            <w:t xml:space="preserve"> </w:t>
          </w:r>
        </w:p>
        <w:p w:rsidR="007F3ED6" w:rsidRPr="001077B7" w:rsidRDefault="007F3ED6" w:rsidP="007F3ED6">
          <w:pPr>
            <w:pStyle w:val="Heading3"/>
          </w:pPr>
          <w:r>
            <w:t xml:space="preserve">GN ReSound: </w:t>
          </w:r>
          <w:r>
            <w:rPr>
              <w:lang w:val="en-GB"/>
            </w:rPr>
            <w:t xml:space="preserve">120bp margin improvement </w:t>
          </w:r>
          <w:r w:rsidRPr="00A94565">
            <w:t xml:space="preserve">FY14E-17E </w:t>
          </w:r>
        </w:p>
        <w:p w:rsidR="007F3ED6" w:rsidRDefault="007F3ED6" w:rsidP="007F3ED6">
          <w:pPr>
            <w:pStyle w:val="CIRBodyText"/>
          </w:pPr>
          <w:r>
            <w:rPr>
              <w:lang w:val="en-GB"/>
            </w:rPr>
            <w:t xml:space="preserve">As detailed earlier in the note, </w:t>
          </w:r>
          <w:r w:rsidRPr="007A738C">
            <w:t xml:space="preserve">the company targets a </w:t>
          </w:r>
          <w:r>
            <w:t xml:space="preserve">ReSound </w:t>
          </w:r>
          <w:r w:rsidRPr="007A738C">
            <w:t>margin in-line with its top-tier competitors (i.e. WDH and SOON) in 2014-16. We believe that in practice the target r</w:t>
          </w:r>
          <w:r>
            <w:t xml:space="preserve">ange is c20-25%, with the lower </w:t>
          </w:r>
          <w:r w:rsidRPr="007A738C">
            <w:t>end being ReSound’s and WDH’s consolidated EBITA margin in 2013 and the upper-end being SOON’s mid-term target Group EBITA margin.</w:t>
          </w:r>
          <w:r>
            <w:t xml:space="preserve"> </w:t>
          </w:r>
        </w:p>
        <w:p w:rsidR="007F3ED6" w:rsidRDefault="007F3ED6" w:rsidP="007F3ED6">
          <w:pPr>
            <w:pStyle w:val="CIRBodyText"/>
            <w:rPr>
              <w:lang w:val="en-GB"/>
            </w:rPr>
          </w:pPr>
          <w:r>
            <w:t xml:space="preserve">While GN has significantly less margin-dilutive retail than SOON or WDH, </w:t>
          </w:r>
          <w:r w:rsidRPr="008C6408">
            <w:rPr>
              <w:lang w:val="en-GB"/>
            </w:rPr>
            <w:t>we believe that achieving a 25% EBITA margin would likely come at the expense of top-line growth</w:t>
          </w:r>
          <w:r>
            <w:rPr>
              <w:lang w:val="en-GB"/>
            </w:rPr>
            <w:t xml:space="preserve"> and that </w:t>
          </w:r>
          <w:r w:rsidRPr="008C6408">
            <w:rPr>
              <w:lang w:val="en-GB"/>
            </w:rPr>
            <w:t>GN’s smaller scale must</w:t>
          </w:r>
          <w:r>
            <w:rPr>
              <w:lang w:val="en-GB"/>
            </w:rPr>
            <w:t xml:space="preserve"> also be taken into account</w:t>
          </w:r>
          <w:r w:rsidRPr="008C6408">
            <w:rPr>
              <w:lang w:val="en-GB"/>
            </w:rPr>
            <w:t xml:space="preserve">. Hence, we believe GN could move towards the middle of this range and forecast a ReSound EBITA </w:t>
          </w:r>
          <w:r w:rsidRPr="003C2AEB">
            <w:rPr>
              <w:lang w:val="en-GB"/>
            </w:rPr>
            <w:t>margin of 21.5% in</w:t>
          </w:r>
          <w:r w:rsidRPr="008C6408">
            <w:rPr>
              <w:lang w:val="en-GB"/>
            </w:rPr>
            <w:t xml:space="preserve"> 2016E</w:t>
          </w:r>
          <w:r>
            <w:rPr>
              <w:lang w:val="en-GB"/>
            </w:rPr>
            <w:t xml:space="preserve"> and 21.7% in 2017E, below 2017E consensus at 22.1%</w:t>
          </w:r>
          <w:r w:rsidRPr="008C6408">
            <w:rPr>
              <w:lang w:val="en-GB"/>
            </w:rPr>
            <w:t xml:space="preserve">. </w:t>
          </w:r>
        </w:p>
        <w:p w:rsidR="007F3ED6" w:rsidRPr="001077B7" w:rsidRDefault="007F3ED6" w:rsidP="007F3ED6">
          <w:pPr>
            <w:pStyle w:val="Heading3"/>
          </w:pPr>
          <w:r>
            <w:t xml:space="preserve">GN Netcom: </w:t>
          </w:r>
          <w:r>
            <w:rPr>
              <w:lang w:val="en-GB"/>
            </w:rPr>
            <w:t xml:space="preserve">250bp margin improvement </w:t>
          </w:r>
          <w:r w:rsidRPr="00A94565">
            <w:t xml:space="preserve">FY14E-17E </w:t>
          </w:r>
        </w:p>
        <w:p w:rsidR="007F3ED6" w:rsidRPr="00CD0FF0" w:rsidRDefault="007F3ED6" w:rsidP="007F3ED6">
          <w:pPr>
            <w:pStyle w:val="CIRBodyText"/>
          </w:pPr>
          <w:r>
            <w:t xml:space="preserve">Given our forecast &gt;25% sales CAGR for Netcom’s UC headset </w:t>
          </w:r>
          <w:r w:rsidRPr="000E7019">
            <w:t xml:space="preserve">business </w:t>
          </w:r>
          <w:r>
            <w:t xml:space="preserve">in </w:t>
          </w:r>
          <w:r>
            <w:rPr>
              <w:lang w:val="en-GB"/>
            </w:rPr>
            <w:t xml:space="preserve">2014E-17E, which is accretive to Netcom’s gross margin vs relatively pessimistic forecasts for the low-margin mobile headset business, we forecast a turnaround in Netcom’s EBITA margin to 19.4% in 2016E – slightly above the company’s 18-19% target range in 2014-16, and 20.3% in 2017E, when we would expect the company to decelerate </w:t>
          </w:r>
          <w:r w:rsidRPr="00CD0FF0">
            <w:rPr>
              <w:lang w:val="en-GB"/>
            </w:rPr>
            <w:t>investments following the end of its current strategic plan. This is 150bp ahead of the consensus 2017E EBITA margin of 18.8%.</w:t>
          </w:r>
        </w:p>
        <w:p w:rsidR="007F3ED6" w:rsidRPr="00CD0FF0" w:rsidRDefault="007F3ED6" w:rsidP="007F3ED6">
          <w:pPr>
            <w:pStyle w:val="Heading3"/>
            <w:rPr>
              <w:lang w:val="en-GB"/>
            </w:rPr>
          </w:pPr>
          <w:r w:rsidRPr="00CD0FF0">
            <w:rPr>
              <w:lang w:val="en-GB"/>
            </w:rPr>
            <w:t xml:space="preserve">Cautious on 1H15 margin on FX headwinds </w:t>
          </w:r>
        </w:p>
        <w:p w:rsidR="007F3ED6" w:rsidRDefault="007F3ED6" w:rsidP="007F3ED6">
          <w:pPr>
            <w:pStyle w:val="CIRBodyText"/>
            <w:rPr>
              <w:lang w:val="en-GB"/>
            </w:rPr>
          </w:pPr>
          <w:r w:rsidRPr="00CD0FF0">
            <w:rPr>
              <w:lang w:val="en-GB"/>
            </w:rPr>
            <w:t xml:space="preserve">While we are positive on the mid-term margin outlook for GN, we would caution that the company </w:t>
          </w:r>
          <w:r w:rsidRPr="00AA3DD9">
            <w:rPr>
              <w:lang w:val="en-GB"/>
            </w:rPr>
            <w:t xml:space="preserve">could continue to face margin headwinds from US$ strength in 1H15 (as signalled by the CFO on the 3Q call), before this reverses from </w:t>
          </w:r>
          <w:r w:rsidRPr="00682A7E">
            <w:rPr>
              <w:lang w:val="en-GB"/>
            </w:rPr>
            <w:t>2H15. GN</w:t>
          </w:r>
          <w:r w:rsidRPr="00AA3DD9">
            <w:rPr>
              <w:lang w:val="en-GB"/>
            </w:rPr>
            <w:t xml:space="preserve"> hedges currency 1-yr forward and hence is still suffering from US$/DKr weakness that lasted until 3Q14 and will not see the full benefits of recent US$ strength until 2H15. We are below c2% below consensus </w:t>
          </w:r>
          <w:r>
            <w:rPr>
              <w:lang w:val="en-GB"/>
            </w:rPr>
            <w:t>net profit in 2015E (see Figure 58).</w:t>
          </w:r>
        </w:p>
        <w:p w:rsidR="007F3ED6" w:rsidRDefault="007F3ED6" w:rsidP="007F3ED6">
          <w:pPr>
            <w:pStyle w:val="Heading3"/>
            <w:rPr>
              <w:lang w:val="en-GB"/>
            </w:rPr>
          </w:pPr>
          <w:r>
            <w:rPr>
              <w:lang w:val="en-GB"/>
            </w:rPr>
            <w:t>R&amp;D amortisation a headwind, but may already be factored into consensus</w:t>
          </w:r>
        </w:p>
        <w:p w:rsidR="007F3ED6" w:rsidRDefault="007F3ED6" w:rsidP="007F3ED6">
          <w:pPr>
            <w:pStyle w:val="CIRBodyText"/>
            <w:rPr>
              <w:lang w:val="en-GB"/>
            </w:rPr>
          </w:pPr>
          <w:r>
            <w:rPr>
              <w:lang w:val="en-GB"/>
            </w:rPr>
            <w:t xml:space="preserve">Further to this there could be an ongoing headwind from a narrowing gap between R&amp;D capitalisation and amortisation (as signalled by the CFO on the 3Q call), which we estimate is at a 1.1ppt benefit to GN’s margin in 2014E (1.2ppts in Netcom and 0.9ppts in ReSound), </w:t>
          </w:r>
          <w:r w:rsidRPr="007D3A11">
            <w:rPr>
              <w:lang w:val="en-GB"/>
            </w:rPr>
            <w:t xml:space="preserve">or a c6.5% benefit to adj. EPS. </w:t>
          </w:r>
          <w:r w:rsidRPr="001D02B4">
            <w:rPr>
              <w:lang w:val="en-GB"/>
            </w:rPr>
            <w:t>On this point, we are not as concerned as we are for</w:t>
          </w:r>
          <w:r>
            <w:rPr>
              <w:lang w:val="en-GB"/>
            </w:rPr>
            <w:t xml:space="preserve"> </w:t>
          </w:r>
          <w:hyperlink r:id="rId104" w:tooltip="https://ir.citi.com/4NSxJJ79UPwVu%2fFonuvgraW5bkcHI%2fwNZfjOOSkxQvV05j2%2fYBPgtYZC3rQn0dH6pwTj%2brudLbQ%3d|Research Document|PDF|10008965" w:history="1">
            <w:r>
              <w:rPr>
                <w:rStyle w:val="Hyperlink"/>
                <w:u w:val="none"/>
                <w:lang w:val="en-GB"/>
              </w:rPr>
              <w:t>Sonova</w:t>
            </w:r>
          </w:hyperlink>
          <w:r w:rsidRPr="007D3A11">
            <w:rPr>
              <w:lang w:val="en-GB"/>
            </w:rPr>
            <w:t xml:space="preserve"> as we feel this may be better understood by consensus, give</w:t>
          </w:r>
          <w:r>
            <w:rPr>
              <w:lang w:val="en-GB"/>
            </w:rPr>
            <w:t xml:space="preserve">n that our 2016E and 2017E margin estimates are above consensus (see Figure 58) </w:t>
          </w:r>
          <w:r w:rsidRPr="007D3A11">
            <w:rPr>
              <w:lang w:val="en-GB"/>
            </w:rPr>
            <w:t>despite our factoring in a 10% CAGR in R&amp;D expenses (14% at Netcom, 8% at ReSound) to account</w:t>
          </w:r>
          <w:r>
            <w:rPr>
              <w:lang w:val="en-GB"/>
            </w:rPr>
            <w:t xml:space="preserve"> for this.</w:t>
          </w:r>
        </w:p>
        <w:tbl>
          <w:tblPr>
            <w:tblStyle w:val="CIRTable"/>
            <w:tblW w:w="6700" w:type="dxa"/>
            <w:tblLayout w:type="fixed"/>
            <w:tblLook w:val="04A0" w:firstRow="1" w:lastRow="0" w:firstColumn="1" w:lastColumn="0" w:noHBand="0" w:noVBand="1"/>
            <w:tblDescription w:val="1|Body|0"/>
          </w:tblPr>
          <w:tblGrid>
            <w:gridCol w:w="6700"/>
          </w:tblGrid>
          <w:tr w:rsidR="007F3ED6" w:rsidTr="00326326">
            <w:trPr>
              <w:cnfStyle w:val="100000000000" w:firstRow="1" w:lastRow="0" w:firstColumn="0" w:lastColumn="0" w:oddVBand="0" w:evenVBand="0" w:oddHBand="0" w:evenHBand="0" w:firstRowFirstColumn="0" w:firstRowLastColumn="0" w:lastRowFirstColumn="0" w:lastRowLastColumn="0"/>
              <w:cantSplit/>
            </w:trPr>
            <w:tc>
              <w:tcPr>
                <w:tcW w:w="6700" w:type="dxa"/>
              </w:tcPr>
              <w:p w:rsidR="007F3ED6" w:rsidRDefault="007F3ED6" w:rsidP="00326326">
                <w:pPr>
                  <w:pStyle w:val="CIRCaption"/>
                </w:pPr>
                <w:r>
                  <w:t xml:space="preserve">Figure </w:t>
                </w:r>
                <w:fldSimple w:instr=" SEQ Figure \* ARABIC ">
                  <w:r>
                    <w:rPr>
                      <w:noProof/>
                    </w:rPr>
                    <w:t>55</w:t>
                  </w:r>
                </w:fldSimple>
                <w:r>
                  <w:t>. GN  – Margin benefit (ppts) from net R&amp;D capitalisation could become a headwind</w:t>
                </w:r>
              </w:p>
            </w:tc>
          </w:tr>
          <w:tr w:rsidR="007F3ED6" w:rsidTr="00326326">
            <w:trPr>
              <w:cantSplit/>
              <w:trHeight w:val="160"/>
            </w:trPr>
            <w:tc>
              <w:tcPr>
                <w:tcW w:w="6700" w:type="dxa"/>
              </w:tcPr>
              <w:p w:rsidR="007F3ED6" w:rsidRDefault="007F3ED6" w:rsidP="00326326">
                <w:pPr>
                  <w:pStyle w:val="CIRFigure"/>
                </w:pPr>
                <w:r>
                  <w:rPr>
                    <w:lang w:eastAsia="en-US"/>
                  </w:rPr>
                  <w:object w:dxaOrig="10980" w:dyaOrig="3960">
                    <v:shape id="_x0000_i1059" type="#_x0000_t75" alt="CIRACHART" style="width:334.9pt;height:120.8pt" o:ole="">
                      <v:imagedata r:id="rId105" o:title=""/>
                    </v:shape>
                    <o:OLEObject Type="Link" ProgID="Excel.SheetMacroEnabled.12" ShapeID="_x0000_i1059" DrawAspect="Content" r:id="rId106" UpdateMode="OnCall">
                      <o:LinkType>EnhancedMetaFile</o:LinkType>
                      <o:LockedField/>
                      <o:FieldCodes>\* MERGEFORMAT</o:FieldCodes>
                    </o:OLEObject>
                  </w:object>
                </w:r>
              </w:p>
            </w:tc>
          </w:tr>
          <w:tr w:rsidR="007F3ED6" w:rsidTr="00326326">
            <w:trPr>
              <w:cantSplit/>
            </w:trPr>
            <w:tc>
              <w:tcPr>
                <w:tcW w:w="6700" w:type="dxa"/>
              </w:tcPr>
              <w:p w:rsidR="007F3ED6" w:rsidRDefault="007F3ED6" w:rsidP="00326326">
                <w:pPr>
                  <w:pStyle w:val="CIRSourceNote"/>
                </w:pPr>
                <w:r>
                  <w:t>Source: Company data, Citi Research estimates</w:t>
                </w:r>
              </w:p>
            </w:tc>
          </w:tr>
        </w:tbl>
        <w:p w:rsidR="007F3ED6" w:rsidRPr="004671F9" w:rsidRDefault="007F3ED6" w:rsidP="007F3ED6">
          <w:pPr>
            <w:pStyle w:val="CIRMaster"/>
            <w:rPr>
              <w:lang w:val="en-GB"/>
            </w:rPr>
          </w:pPr>
        </w:p>
        <w:p w:rsidR="007F3ED6" w:rsidRDefault="007F3ED6" w:rsidP="007F3ED6">
          <w:pPr>
            <w:pStyle w:val="Heading2"/>
          </w:pPr>
          <w:bookmarkStart w:id="86" w:name="_Toc406403995"/>
          <w:bookmarkStart w:id="87" w:name="_Toc406509712"/>
          <w:r>
            <w:t xml:space="preserve">Adj. EPS: 20% CAGR </w:t>
          </w:r>
          <w:r w:rsidRPr="008F1421">
            <w:t>FY14E-17E</w:t>
          </w:r>
          <w:bookmarkEnd w:id="86"/>
          <w:bookmarkEnd w:id="87"/>
          <w:r w:rsidRPr="008F1421">
            <w:t xml:space="preserve"> </w:t>
          </w:r>
        </w:p>
        <w:p w:rsidR="007F3ED6" w:rsidRDefault="007F3ED6" w:rsidP="007F3ED6">
          <w:pPr>
            <w:pStyle w:val="Heading3"/>
            <w:rPr>
              <w:lang w:val="en-GB"/>
            </w:rPr>
          </w:pPr>
          <w:r>
            <w:rPr>
              <w:lang w:val="en-GB"/>
            </w:rPr>
            <w:t>Tax to benefit from Danish corporate tax rate reduction</w:t>
          </w:r>
        </w:p>
        <w:p w:rsidR="007F3ED6" w:rsidRPr="001F48AD" w:rsidRDefault="007F3ED6" w:rsidP="007F3ED6">
          <w:pPr>
            <w:pStyle w:val="CIRBodyText"/>
            <w:rPr>
              <w:lang w:val="en-GB"/>
            </w:rPr>
          </w:pPr>
          <w:r w:rsidRPr="00BE3246">
            <w:rPr>
              <w:lang w:val="en-GB"/>
            </w:rPr>
            <w:t>The Danish government is currently in the process of reducing its corporate tax rate by 1ppt per annum – from 25% in 2013 to 22% in 2016</w:t>
          </w:r>
          <w:r>
            <w:rPr>
              <w:lang w:val="en-GB"/>
            </w:rPr>
            <w:t>. We estimate GN’s adjusted tax rate will fall from 27.8% in 2014E to 26.5% by 2016E, in-line with guidance for a 26-27% tax rate in 2016.</w:t>
          </w:r>
        </w:p>
        <w:p w:rsidR="007F3ED6" w:rsidRDefault="007F3ED6" w:rsidP="007F3ED6">
          <w:pPr>
            <w:pStyle w:val="Heading3"/>
          </w:pPr>
          <w:r>
            <w:t xml:space="preserve">Share buybacks – &gt;4% of current market cap. per annum </w:t>
          </w:r>
        </w:p>
        <w:p w:rsidR="007F3ED6" w:rsidRPr="00A55331" w:rsidRDefault="007F3ED6" w:rsidP="007F3ED6">
          <w:pPr>
            <w:pStyle w:val="CIRBodyText"/>
            <w:rPr>
              <w:sz w:val="22"/>
              <w:szCs w:val="22"/>
            </w:rPr>
          </w:pPr>
          <w:r>
            <w:rPr>
              <w:lang w:val="en-GB"/>
            </w:rPr>
            <w:t>GN targets a Net debt/</w:t>
          </w:r>
          <w:r w:rsidRPr="007D3A11">
            <w:rPr>
              <w:lang w:val="en-GB"/>
            </w:rPr>
            <w:t xml:space="preserve">EBITDA ratio of 1.0x at the end of 2014 and 1-2x over the remainder of its 2014-16 strategy. Our forecasts assume GN repurchases DKr1bn of shares per annum 2015E-17E, or c4.5% of current market cap while remaining within its leverage target (Figure 57). </w:t>
          </w:r>
          <w:r w:rsidRPr="007D3A11">
            <w:t>GN has conducted its share buybacks via relatively small programs that are announced on</w:t>
          </w:r>
          <w:r w:rsidRPr="00737E31">
            <w:t xml:space="preserve"> an ongoing basis. The current DKr500mn program was initiated on 6 Nov 2014 and is due to conclude no later than 19 Mar 2015.</w:t>
          </w:r>
          <w:r>
            <w:t xml:space="preserve"> </w:t>
          </w:r>
        </w:p>
        <w:p w:rsidR="007F3ED6" w:rsidRDefault="007F3ED6" w:rsidP="007F3ED6">
          <w:pPr>
            <w:pStyle w:val="Heading3"/>
            <w:rPr>
              <w:lang w:val="en-GB"/>
            </w:rPr>
          </w:pPr>
          <w:r>
            <w:rPr>
              <w:lang w:val="en-GB"/>
            </w:rPr>
            <w:t>Interest expenses could rise more than consensus expects</w:t>
          </w:r>
        </w:p>
        <w:p w:rsidR="007F3ED6" w:rsidRPr="004847EB" w:rsidRDefault="007F3ED6" w:rsidP="007F3ED6">
          <w:pPr>
            <w:pStyle w:val="CIRBodyText"/>
            <w:rPr>
              <w:lang w:val="en-GB"/>
            </w:rPr>
          </w:pPr>
          <w:r>
            <w:rPr>
              <w:lang w:val="en-GB"/>
            </w:rPr>
            <w:t xml:space="preserve">As this </w:t>
          </w:r>
          <w:r w:rsidRPr="007D3A11">
            <w:rPr>
              <w:lang w:val="en-GB"/>
            </w:rPr>
            <w:t xml:space="preserve">buyback </w:t>
          </w:r>
          <w:r>
            <w:rPr>
              <w:lang w:val="en-GB"/>
            </w:rPr>
            <w:t>seems likely to be</w:t>
          </w:r>
          <w:r w:rsidRPr="007D3A11">
            <w:rPr>
              <w:lang w:val="en-GB"/>
            </w:rPr>
            <w:t xml:space="preserve"> partly debt-funded (we estimate</w:t>
          </w:r>
          <w:r w:rsidRPr="00737E31">
            <w:rPr>
              <w:lang w:val="en-GB"/>
            </w:rPr>
            <w:t xml:space="preserve"> DKr600mn additional borrowing in 2015E and DKr300mn thereafter), the accretion from the buyback is somewhat offset by rising interest expenses, which we believe consensus may not have fully factored in, given that our EBITA forecasts are further ahead of consensus than our net profit forecasts (where we are 1-2% below consensus</w:t>
          </w:r>
          <w:r>
            <w:rPr>
              <w:lang w:val="en-GB"/>
            </w:rPr>
            <w:t xml:space="preserve"> in 2014E and 2015E) over 2014E-</w:t>
          </w:r>
          <w:r w:rsidRPr="00CD4883">
            <w:rPr>
              <w:lang w:val="en-GB"/>
            </w:rPr>
            <w:t>17E (see Figure 58).</w:t>
          </w:r>
        </w:p>
        <w:tbl>
          <w:tblPr>
            <w:tblStyle w:val="CIRTable"/>
            <w:tblW w:w="6700" w:type="dxa"/>
            <w:tblLayout w:type="fixed"/>
            <w:tblLook w:val="04A0" w:firstRow="1" w:lastRow="0" w:firstColumn="1" w:lastColumn="0" w:noHBand="0" w:noVBand="1"/>
            <w:tblDescription w:val="1|Body|0"/>
          </w:tblPr>
          <w:tblGrid>
            <w:gridCol w:w="6700"/>
          </w:tblGrid>
          <w:tr w:rsidR="007F3ED6" w:rsidTr="00326326">
            <w:trPr>
              <w:cnfStyle w:val="100000000000" w:firstRow="1" w:lastRow="0" w:firstColumn="0" w:lastColumn="0" w:oddVBand="0" w:evenVBand="0" w:oddHBand="0" w:evenHBand="0" w:firstRowFirstColumn="0" w:firstRowLastColumn="0" w:lastRowFirstColumn="0" w:lastRowLastColumn="0"/>
              <w:cantSplit/>
            </w:trPr>
            <w:tc>
              <w:tcPr>
                <w:tcW w:w="6700" w:type="dxa"/>
              </w:tcPr>
              <w:p w:rsidR="007F3ED6" w:rsidRDefault="007F3ED6" w:rsidP="00326326">
                <w:pPr>
                  <w:pStyle w:val="CIRCaption"/>
                </w:pPr>
                <w:r w:rsidRPr="004847EB">
                  <w:t xml:space="preserve">Figure </w:t>
                </w:r>
                <w:fldSimple w:instr=" SEQ Figure \* ARABIC ">
                  <w:r>
                    <w:rPr>
                      <w:noProof/>
                    </w:rPr>
                    <w:t>56</w:t>
                  </w:r>
                </w:fldSimple>
                <w:r w:rsidRPr="004847EB">
                  <w:t>. GN – &gt;4% (DKr1bn) annual buyback within leverage target</w:t>
                </w:r>
              </w:p>
            </w:tc>
          </w:tr>
          <w:tr w:rsidR="007F3ED6" w:rsidTr="00326326">
            <w:trPr>
              <w:cantSplit/>
              <w:trHeight w:val="160"/>
            </w:trPr>
            <w:tc>
              <w:tcPr>
                <w:tcW w:w="6700" w:type="dxa"/>
              </w:tcPr>
              <w:p w:rsidR="007F3ED6" w:rsidRDefault="007F3ED6" w:rsidP="00326326">
                <w:pPr>
                  <w:pStyle w:val="CIRFigure"/>
                </w:pPr>
                <w:r>
                  <w:rPr>
                    <w:lang w:eastAsia="en-US"/>
                  </w:rPr>
                  <w:object w:dxaOrig="10935" w:dyaOrig="3975">
                    <v:shape id="_x0000_i1060" type="#_x0000_t75" style="width:335.15pt;height:121.65pt" o:ole="">
                      <v:imagedata r:id="rId107" o:title=""/>
                    </v:shape>
                    <o:OLEObject Type="Link" ProgID="Excel.SheetMacroEnabled.12" ShapeID="_x0000_i1060" DrawAspect="Content" r:id="rId108" UpdateMode="OnCall">
                      <o:LinkType>EnhancedMetaFile</o:LinkType>
                      <o:LockedField/>
                      <o:FieldCodes>\* MERGEFORMAT</o:FieldCodes>
                    </o:OLEObject>
                  </w:object>
                </w:r>
              </w:p>
            </w:tc>
          </w:tr>
          <w:tr w:rsidR="007F3ED6" w:rsidTr="00326326">
            <w:trPr>
              <w:cantSplit/>
            </w:trPr>
            <w:tc>
              <w:tcPr>
                <w:tcW w:w="6700" w:type="dxa"/>
              </w:tcPr>
              <w:p w:rsidR="007F3ED6" w:rsidRDefault="007F3ED6" w:rsidP="00326326">
                <w:pPr>
                  <w:pStyle w:val="CIRSourceNote"/>
                </w:pPr>
                <w:r>
                  <w:t xml:space="preserve">Source: Company data, Citi Research estimates </w:t>
                </w:r>
              </w:p>
            </w:tc>
          </w:tr>
        </w:tbl>
        <w:p w:rsidR="007F3ED6" w:rsidRDefault="007F3ED6" w:rsidP="007F3ED6">
          <w:pPr>
            <w:pStyle w:val="CIRMaster"/>
            <w:rPr>
              <w:lang w:val="en-GB"/>
            </w:rPr>
          </w:pPr>
        </w:p>
        <w:p w:rsidR="007F3ED6" w:rsidRDefault="007F3ED6" w:rsidP="007F3ED6">
          <w:pPr>
            <w:pStyle w:val="Heading3"/>
            <w:rPr>
              <w:lang w:val="en-GB"/>
            </w:rPr>
          </w:pPr>
          <w:r>
            <w:rPr>
              <w:lang w:val="en-GB"/>
            </w:rPr>
            <w:t>Dividend payout should rise gradually</w:t>
          </w:r>
        </w:p>
        <w:p w:rsidR="007F3ED6" w:rsidRDefault="007F3ED6" w:rsidP="007F3ED6">
          <w:pPr>
            <w:pStyle w:val="CIRBodyText"/>
            <w:rPr>
              <w:lang w:val="en-GB"/>
            </w:rPr>
          </w:pPr>
          <w:r>
            <w:rPr>
              <w:lang w:val="en-GB"/>
            </w:rPr>
            <w:t xml:space="preserve">GN’s dividend policy is to pay out 15-25% of adjusted net income. The payout ratio has increased steadily in recent years and stood at </w:t>
          </w:r>
          <w:r w:rsidRPr="005468B3">
            <w:rPr>
              <w:lang w:val="en-GB"/>
            </w:rPr>
            <w:t xml:space="preserve">18% </w:t>
          </w:r>
          <w:r>
            <w:rPr>
              <w:lang w:val="en-GB"/>
            </w:rPr>
            <w:t>in 2013. We expect this trend to continue and forecast a gradual increase in the payout ratio of 1ppt per annum.</w:t>
          </w:r>
        </w:p>
        <w:p w:rsidR="007F3ED6" w:rsidRPr="00D770CF" w:rsidRDefault="007F3ED6" w:rsidP="007F3ED6">
          <w:pPr>
            <w:pStyle w:val="Heading2"/>
            <w:rPr>
              <w:rFonts w:eastAsiaTheme="minorEastAsia"/>
            </w:rPr>
          </w:pPr>
          <w:bookmarkStart w:id="88" w:name="_Toc406394888"/>
          <w:bookmarkStart w:id="89" w:name="_Toc406403996"/>
          <w:bookmarkStart w:id="90" w:name="_Toc406509713"/>
          <w:r w:rsidRPr="00CD4883">
            <w:t>Risks</w:t>
          </w:r>
          <w:bookmarkEnd w:id="88"/>
          <w:bookmarkEnd w:id="89"/>
          <w:bookmarkEnd w:id="90"/>
        </w:p>
        <w:p w:rsidR="007F3ED6" w:rsidRDefault="007F3ED6" w:rsidP="007F3ED6">
          <w:pPr>
            <w:pStyle w:val="CIRBodyText"/>
          </w:pPr>
          <w:r>
            <w:t xml:space="preserve">We believe the main risks to our target price for GN Store Nord are: </w:t>
          </w:r>
        </w:p>
        <w:p w:rsidR="007F3ED6" w:rsidRDefault="007F3ED6" w:rsidP="007F3ED6">
          <w:pPr>
            <w:pStyle w:val="CIRNumberedList"/>
            <w:numPr>
              <w:ilvl w:val="0"/>
              <w:numId w:val="5"/>
            </w:numPr>
          </w:pPr>
          <w:r>
            <w:t xml:space="preserve">Downside to our hearing aid forecasts from the introduction of an industry standard Low Energy (LE) protocol, which could erode GN’s technological advantage; </w:t>
          </w:r>
        </w:p>
        <w:p w:rsidR="007F3ED6" w:rsidRDefault="007F3ED6" w:rsidP="007F3ED6">
          <w:pPr>
            <w:pStyle w:val="CIRNumberedList"/>
            <w:numPr>
              <w:ilvl w:val="0"/>
              <w:numId w:val="5"/>
            </w:numPr>
          </w:pPr>
          <w:r>
            <w:t xml:space="preserve">Downside to our hearing aid forecasts should GN lose its Costco </w:t>
          </w:r>
          <w:r w:rsidRPr="00D770CF">
            <w:t xml:space="preserve">Kirkland Signature contract in 1H15; </w:t>
          </w:r>
        </w:p>
        <w:p w:rsidR="007F3ED6" w:rsidRPr="00D770CF" w:rsidRDefault="007F3ED6" w:rsidP="007F3ED6">
          <w:pPr>
            <w:pStyle w:val="CIRNumberedList"/>
            <w:numPr>
              <w:ilvl w:val="0"/>
              <w:numId w:val="5"/>
            </w:numPr>
          </w:pPr>
          <w:r>
            <w:t xml:space="preserve">Downside to our hearing aid forecasts if market price/mix pressure is greater than the 1-2% p.a. we anticipate; </w:t>
          </w:r>
        </w:p>
        <w:p w:rsidR="007F3ED6" w:rsidRPr="00D770CF" w:rsidRDefault="007F3ED6" w:rsidP="007F3ED6">
          <w:pPr>
            <w:pStyle w:val="CIRNumberedList"/>
            <w:numPr>
              <w:ilvl w:val="0"/>
              <w:numId w:val="5"/>
            </w:numPr>
          </w:pPr>
          <w:r w:rsidRPr="00D770CF">
            <w:t>Downside to our headset forecasts if growth in Unified Communications slows more than we anticipate;</w:t>
          </w:r>
        </w:p>
        <w:p w:rsidR="007F3ED6" w:rsidRPr="00D770CF" w:rsidRDefault="007F3ED6" w:rsidP="007F3ED6">
          <w:pPr>
            <w:pStyle w:val="CIRNumberedList"/>
            <w:numPr>
              <w:ilvl w:val="0"/>
              <w:numId w:val="5"/>
            </w:numPr>
          </w:pPr>
          <w:r w:rsidRPr="00D770CF">
            <w:t>Downside to our headset forecasts from economic weakness as we believe the headset business is more cyclical than hearing aids;</w:t>
          </w:r>
        </w:p>
        <w:p w:rsidR="007F3ED6" w:rsidRPr="00D770CF" w:rsidRDefault="007F3ED6" w:rsidP="007F3ED6">
          <w:pPr>
            <w:pStyle w:val="CIRNumberedList"/>
            <w:numPr>
              <w:ilvl w:val="0"/>
              <w:numId w:val="5"/>
            </w:numPr>
          </w:pPr>
          <w:r w:rsidRPr="00D770CF">
            <w:t>Downside to our EBITA margin estimates in 1H15 from US$ strength and GN’s 1-yr forward hedging policy.</w:t>
          </w:r>
        </w:p>
        <w:p w:rsidR="007F3ED6" w:rsidRDefault="007F3ED6" w:rsidP="007F3ED6">
          <w:pPr>
            <w:pStyle w:val="CIRMaster"/>
          </w:pPr>
        </w:p>
        <w:p w:rsidR="007F3ED6" w:rsidRDefault="007F3ED6" w:rsidP="007F3ED6">
          <w:pPr>
            <w:pStyle w:val="CIRChapter"/>
            <w:framePr w:wrap="around"/>
          </w:pPr>
          <w:bookmarkStart w:id="91" w:name="_Toc406403997"/>
          <w:bookmarkStart w:id="92" w:name="_Toc406509714"/>
          <w:r>
            <w:t>Citi forecasts vs consensus</w:t>
          </w:r>
          <w:bookmarkEnd w:id="91"/>
          <w:bookmarkEnd w:id="92"/>
        </w:p>
        <w:p w:rsidR="007F3ED6" w:rsidRDefault="007F3ED6" w:rsidP="007F3ED6">
          <w:pPr>
            <w:pStyle w:val="CIRMaster"/>
          </w:pPr>
          <w:r w:rsidRPr="00F24EA1">
            <w:t xml:space="preserve">Our FY17E </w:t>
          </w:r>
          <w:r>
            <w:t>n</w:t>
          </w:r>
          <w:r w:rsidRPr="00F24EA1">
            <w:t>et profit is 2.6% above consensus, which is explained primarily by our relatively optimistic margin</w:t>
          </w:r>
          <w:r>
            <w:t xml:space="preserve"> forecast</w:t>
          </w:r>
          <w:r w:rsidRPr="00F24EA1">
            <w:t xml:space="preserve"> in the headset business Netcom. We are 2.2% below consensus for 2015E</w:t>
          </w:r>
          <w:r>
            <w:t>,</w:t>
          </w:r>
          <w:r w:rsidRPr="00F24EA1">
            <w:t xml:space="preserve"> given our caution on FX hedging headwinds and increasing R&amp;D amortization.</w:t>
          </w:r>
        </w:p>
        <w:p w:rsidR="007F3ED6" w:rsidRDefault="007F3ED6" w:rsidP="007F3ED6">
          <w:pPr>
            <w:pStyle w:val="CIRMaster"/>
          </w:pPr>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10220" w:type="dxa"/>
              </w:tcPr>
              <w:p w:rsidR="007F3ED6" w:rsidRDefault="007F3ED6" w:rsidP="00326326">
                <w:pPr>
                  <w:pStyle w:val="CIRCaption"/>
                </w:pPr>
                <w:r>
                  <w:t xml:space="preserve">Figure </w:t>
                </w:r>
                <w:fldSimple w:instr=" SEQ Figure \* ARABIC ">
                  <w:r>
                    <w:rPr>
                      <w:noProof/>
                    </w:rPr>
                    <w:t>57</w:t>
                  </w:r>
                </w:fldSimple>
                <w:r>
                  <w:t>. GN Store Nord – Citi forecasts vs consensus</w:t>
                </w:r>
              </w:p>
            </w:tc>
          </w:tr>
          <w:tr w:rsidR="007F3ED6" w:rsidTr="00326326">
            <w:trPr>
              <w:trHeight w:val="160"/>
            </w:trPr>
            <w:tc>
              <w:tcPr>
                <w:tcW w:w="10220" w:type="dxa"/>
              </w:tcPr>
              <w:p w:rsidR="007F3ED6" w:rsidRDefault="007F3ED6" w:rsidP="00326326">
                <w:pPr>
                  <w:pStyle w:val="CIRMaster"/>
                  <w:spacing w:line="14" w:lineRule="auto"/>
                  <w:rPr>
                    <w:rFonts w:asciiTheme="minorHAnsi" w:eastAsiaTheme="minorEastAsia" w:hAnsiTheme="minorHAnsi" w:cstheme="minorBidi"/>
                    <w:kern w:val="0"/>
                    <w:sz w:val="22"/>
                    <w:szCs w:val="22"/>
                    <w:lang w:eastAsia="en-US"/>
                  </w:rPr>
                </w:pPr>
                <w:r>
                  <w:fldChar w:fldCharType="begin" w:fldLock="1"/>
                </w:r>
                <w:r>
                  <w:instrText xml:space="preserve"> LINK Excel.SheetMacroEnabled.12 "\\\\ldnvnaseqr0006\\eqr_erpharma\\MEDTECH\\Models\\Live Models\\GN Store Nord model (Citi).xlsm" Tables!R126C1:R166C17 \f 4 \r  \* MERGEFORMAT</w:instrText>
                </w:r>
                <w:r>
                  <w:fldChar w:fldCharType="separate"/>
                </w:r>
              </w:p>
              <w:tbl>
                <w:tblPr>
                  <w:tblW w:w="10220" w:type="dxa"/>
                  <w:tblLayout w:type="fixed"/>
                  <w:tblCellMar>
                    <w:left w:w="0" w:type="dxa"/>
                    <w:right w:w="36" w:type="dxa"/>
                  </w:tblCellMar>
                  <w:tblLook w:val="0000" w:firstRow="0" w:lastRow="0" w:firstColumn="0" w:lastColumn="0" w:noHBand="0" w:noVBand="0"/>
                </w:tblPr>
                <w:tblGrid>
                  <w:gridCol w:w="2520"/>
                  <w:gridCol w:w="1540"/>
                  <w:gridCol w:w="1540"/>
                  <w:gridCol w:w="1540"/>
                  <w:gridCol w:w="1540"/>
                  <w:gridCol w:w="1540"/>
                </w:tblGrid>
                <w:tr w:rsidR="007F3ED6" w:rsidRPr="00125B1C" w:rsidTr="00326326">
                  <w:tc>
                    <w:tcPr>
                      <w:tcW w:w="2520" w:type="dxa"/>
                      <w:tcBorders>
                        <w:top w:val="single" w:sz="6" w:space="0" w:color="FFFFFF"/>
                        <w:left w:val="single" w:sz="4" w:space="0" w:color="FFFFFF"/>
                        <w:bottom w:val="single" w:sz="6" w:space="0" w:color="FFFFFF"/>
                        <w:right w:val="single" w:sz="4" w:space="0" w:color="FFFFFF"/>
                      </w:tcBorders>
                      <w:shd w:val="clear" w:color="auto" w:fill="002D72"/>
                    </w:tcPr>
                    <w:p w:rsidR="007F3ED6" w:rsidRPr="00125B1C" w:rsidRDefault="007F3ED6" w:rsidP="00326326">
                      <w:pPr>
                        <w:keepNext/>
                        <w:autoSpaceDE w:val="0"/>
                        <w:autoSpaceDN w:val="0"/>
                        <w:adjustRightInd w:val="0"/>
                        <w:spacing w:before="40" w:line="160" w:lineRule="exact"/>
                        <w:rPr>
                          <w:rFonts w:ascii="Arial Narrow" w:hAnsi="Arial Narrow" w:cs="Arial"/>
                          <w:b/>
                          <w:bCs/>
                          <w:color w:val="FFFFFF"/>
                          <w:sz w:val="16"/>
                          <w:szCs w:val="18"/>
                          <w:lang w:val="en-GB" w:eastAsia="en-GB"/>
                        </w:rPr>
                      </w:pPr>
                      <w:r w:rsidRPr="00125B1C">
                        <w:rPr>
                          <w:rFonts w:ascii="Arial Narrow" w:hAnsi="Arial Narrow" w:cs="Arial"/>
                          <w:b/>
                          <w:bCs/>
                          <w:color w:val="FFFFFF"/>
                          <w:sz w:val="16"/>
                          <w:szCs w:val="18"/>
                          <w:lang w:val="en-GB" w:eastAsia="en-GB"/>
                        </w:rPr>
                        <w:t>DKrmn</w:t>
                      </w:r>
                    </w:p>
                  </w:tc>
                  <w:tc>
                    <w:tcPr>
                      <w:tcW w:w="1540" w:type="dxa"/>
                      <w:tcBorders>
                        <w:top w:val="single" w:sz="6" w:space="0" w:color="FFFFFF"/>
                        <w:left w:val="single" w:sz="4" w:space="0" w:color="FFFFFF"/>
                        <w:bottom w:val="single" w:sz="6" w:space="0" w:color="FFFFFF"/>
                        <w:right w:val="single" w:sz="4" w:space="0" w:color="FFFFFF"/>
                      </w:tcBorders>
                      <w:shd w:val="clear" w:color="auto" w:fill="002D72"/>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125B1C">
                        <w:rPr>
                          <w:rFonts w:ascii="Arial Narrow" w:hAnsi="Arial Narrow" w:cs="Arial"/>
                          <w:b/>
                          <w:bCs/>
                          <w:color w:val="FFFFFF"/>
                          <w:sz w:val="16"/>
                          <w:szCs w:val="18"/>
                          <w:lang w:val="en-GB" w:eastAsia="en-GB"/>
                        </w:rPr>
                        <w:t>2014E</w:t>
                      </w:r>
                    </w:p>
                  </w:tc>
                  <w:tc>
                    <w:tcPr>
                      <w:tcW w:w="1540" w:type="dxa"/>
                      <w:tcBorders>
                        <w:top w:val="single" w:sz="6" w:space="0" w:color="FFFFFF"/>
                        <w:left w:val="single" w:sz="4" w:space="0" w:color="FFFFFF"/>
                        <w:bottom w:val="single" w:sz="6" w:space="0" w:color="FFFFFF"/>
                        <w:right w:val="single" w:sz="4" w:space="0" w:color="FFFFFF"/>
                      </w:tcBorders>
                      <w:shd w:val="clear" w:color="auto" w:fill="002D72"/>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125B1C">
                        <w:rPr>
                          <w:rFonts w:ascii="Arial Narrow" w:hAnsi="Arial Narrow" w:cs="Arial"/>
                          <w:b/>
                          <w:bCs/>
                          <w:color w:val="FFFFFF"/>
                          <w:sz w:val="16"/>
                          <w:szCs w:val="18"/>
                          <w:lang w:val="en-GB" w:eastAsia="en-GB"/>
                        </w:rPr>
                        <w:t>2015E</w:t>
                      </w:r>
                    </w:p>
                  </w:tc>
                  <w:tc>
                    <w:tcPr>
                      <w:tcW w:w="1540" w:type="dxa"/>
                      <w:tcBorders>
                        <w:top w:val="single" w:sz="6" w:space="0" w:color="FFFFFF"/>
                        <w:left w:val="single" w:sz="4" w:space="0" w:color="FFFFFF"/>
                        <w:bottom w:val="single" w:sz="6" w:space="0" w:color="FFFFFF"/>
                        <w:right w:val="single" w:sz="4" w:space="0" w:color="FFFFFF"/>
                      </w:tcBorders>
                      <w:shd w:val="clear" w:color="auto" w:fill="002D72"/>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125B1C">
                        <w:rPr>
                          <w:rFonts w:ascii="Arial Narrow" w:hAnsi="Arial Narrow" w:cs="Arial"/>
                          <w:b/>
                          <w:bCs/>
                          <w:color w:val="FFFFFF"/>
                          <w:sz w:val="16"/>
                          <w:szCs w:val="18"/>
                          <w:lang w:val="en-GB" w:eastAsia="en-GB"/>
                        </w:rPr>
                        <w:t>2016E</w:t>
                      </w:r>
                    </w:p>
                  </w:tc>
                  <w:tc>
                    <w:tcPr>
                      <w:tcW w:w="1540" w:type="dxa"/>
                      <w:tcBorders>
                        <w:top w:val="single" w:sz="6" w:space="0" w:color="FFFFFF"/>
                        <w:left w:val="single" w:sz="4" w:space="0" w:color="FFFFFF"/>
                        <w:bottom w:val="single" w:sz="6" w:space="0" w:color="FFFFFF"/>
                        <w:right w:val="single" w:sz="4" w:space="0" w:color="FFFFFF"/>
                      </w:tcBorders>
                      <w:shd w:val="clear" w:color="auto" w:fill="002D72"/>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125B1C">
                        <w:rPr>
                          <w:rFonts w:ascii="Arial Narrow" w:hAnsi="Arial Narrow" w:cs="Arial"/>
                          <w:b/>
                          <w:bCs/>
                          <w:color w:val="FFFFFF"/>
                          <w:sz w:val="16"/>
                          <w:szCs w:val="18"/>
                          <w:lang w:val="en-GB" w:eastAsia="en-GB"/>
                        </w:rPr>
                        <w:t>2017E</w:t>
                      </w:r>
                    </w:p>
                  </w:tc>
                  <w:tc>
                    <w:tcPr>
                      <w:tcW w:w="1540" w:type="dxa"/>
                      <w:tcBorders>
                        <w:top w:val="single" w:sz="6" w:space="0" w:color="FFFFFF"/>
                        <w:left w:val="single" w:sz="4" w:space="0" w:color="FFFFFF"/>
                        <w:bottom w:val="single" w:sz="6" w:space="0" w:color="FFFFFF"/>
                        <w:right w:val="single" w:sz="4" w:space="0" w:color="FFFFFF"/>
                      </w:tcBorders>
                      <w:shd w:val="clear" w:color="auto" w:fill="002D72"/>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FFFFFF"/>
                          <w:sz w:val="16"/>
                          <w:szCs w:val="18"/>
                          <w:lang w:val="en-GB" w:eastAsia="en-GB"/>
                        </w:rPr>
                      </w:pPr>
                      <w:r w:rsidRPr="00125B1C">
                        <w:rPr>
                          <w:rFonts w:ascii="Arial Narrow" w:hAnsi="Arial Narrow" w:cs="Arial"/>
                          <w:b/>
                          <w:bCs/>
                          <w:color w:val="FFFFFF"/>
                          <w:sz w:val="16"/>
                          <w:szCs w:val="18"/>
                          <w:lang w:val="en-GB" w:eastAsia="en-GB"/>
                        </w:rPr>
                        <w:t>2018E</w:t>
                      </w:r>
                    </w:p>
                  </w:tc>
                </w:tr>
                <w:tr w:rsidR="007F3ED6" w:rsidRPr="00125B1C" w:rsidTr="00326326">
                  <w:tc>
                    <w:tcPr>
                      <w:tcW w:w="2520" w:type="dxa"/>
                      <w:tcBorders>
                        <w:top w:val="single" w:sz="6" w:space="0" w:color="FFFFFF"/>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GN Resound</w:t>
                      </w:r>
                    </w:p>
                  </w:tc>
                  <w:tc>
                    <w:tcPr>
                      <w:tcW w:w="1540" w:type="dxa"/>
                      <w:tcBorders>
                        <w:top w:val="single" w:sz="6" w:space="0" w:color="FFFFFF"/>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single" w:sz="6" w:space="0" w:color="FFFFFF"/>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single" w:sz="6" w:space="0" w:color="FFFFFF"/>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single" w:sz="6" w:space="0" w:color="FFFFFF"/>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single" w:sz="6" w:space="0" w:color="FFFFFF"/>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Sales - Citi</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4,527</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4,963</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5,298</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5,563</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5,841</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Sales - Consensus</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4,482</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4,867</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5,186</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5,475</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5,740</w:t>
                      </w:r>
                    </w:p>
                  </w:tc>
                </w:tr>
                <w:tr w:rsidR="007F3ED6" w:rsidRPr="00125B1C" w:rsidTr="00326326">
                  <w:tc>
                    <w:tcPr>
                      <w:tcW w:w="252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Sales - Citi Vs. Consensus</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1.0</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2.0</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2.2</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1.6</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1.8</w:t>
                      </w:r>
                      <w:r w:rsidRPr="00125B1C">
                        <w:rPr>
                          <w:rFonts w:cs="Arial"/>
                          <w:b/>
                          <w:bCs/>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Organic Growth - Citi</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7.6</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6.1</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6.7</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5.0</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5.0</w:t>
                      </w:r>
                      <w:r w:rsidRPr="00125B1C">
                        <w:rPr>
                          <w:rFonts w:cs="Arial"/>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Organic Growth - Consensus</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7.5</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7.2</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6.4</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5.5</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5.0</w:t>
                      </w:r>
                      <w:r w:rsidRPr="00125B1C">
                        <w:rPr>
                          <w:rFonts w:cs="Arial"/>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 Citi</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926</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1,037</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1,141</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1,207</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1,282</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 Consensus</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898</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1,027</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1,131</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1,212</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1,228</w:t>
                      </w:r>
                    </w:p>
                  </w:tc>
                </w:tr>
                <w:tr w:rsidR="007F3ED6" w:rsidRPr="00125B1C" w:rsidTr="00326326">
                  <w:tc>
                    <w:tcPr>
                      <w:tcW w:w="252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EBITA - Citi Vs. Consensus</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3.1</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1.0</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0.9</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-0.4</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4.4</w:t>
                      </w:r>
                      <w:r w:rsidRPr="00125B1C">
                        <w:rPr>
                          <w:rFonts w:cs="Arial"/>
                          <w:b/>
                          <w:bCs/>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Margin - Citi</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20.5</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20.9</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21.5</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21.7</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21.9</w:t>
                      </w:r>
                      <w:r w:rsidRPr="00125B1C">
                        <w:rPr>
                          <w:rFonts w:cs="Arial"/>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Margin - Consensus</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20.0</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21.1</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21.8</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22.1</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21.4</w:t>
                      </w:r>
                      <w:r w:rsidRPr="00125B1C">
                        <w:rPr>
                          <w:rFonts w:cs="Arial"/>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r>
                <w:tr w:rsidR="007F3ED6" w:rsidRPr="00125B1C" w:rsidTr="00326326">
                  <w:tc>
                    <w:tcPr>
                      <w:tcW w:w="2520" w:type="dxa"/>
                      <w:tcBorders>
                        <w:top w:val="nil"/>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GN Netcom</w:t>
                      </w:r>
                    </w:p>
                  </w:tc>
                  <w:tc>
                    <w:tcPr>
                      <w:tcW w:w="1540" w:type="dxa"/>
                      <w:tcBorders>
                        <w:top w:val="nil"/>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Sales - Citi</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2,865</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3,321</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3,781</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4,229</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4,630</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Sales - Consensus</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2,852</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3,243</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3,628</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4,017</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4,559</w:t>
                      </w:r>
                    </w:p>
                  </w:tc>
                </w:tr>
                <w:tr w:rsidR="007F3ED6" w:rsidRPr="00125B1C" w:rsidTr="00326326">
                  <w:tc>
                    <w:tcPr>
                      <w:tcW w:w="252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Sales - Citi Vs. Consensus</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0.5</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2.4</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4.2</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5.3</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1.6</w:t>
                      </w:r>
                      <w:r w:rsidRPr="00125B1C">
                        <w:rPr>
                          <w:rFonts w:cs="Arial"/>
                          <w:b/>
                          <w:bCs/>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Organic Growth - Citi</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10.4</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12.9</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13.8</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11.8</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9.5</w:t>
                      </w:r>
                      <w:r w:rsidRPr="00125B1C">
                        <w:rPr>
                          <w:rFonts w:cs="Arial"/>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Organic Growth - Consensus</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10.6</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12.8</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12.0</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11.0</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10.5</w:t>
                      </w:r>
                      <w:r w:rsidRPr="00125B1C">
                        <w:rPr>
                          <w:rFonts w:cs="Arial"/>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 Citi</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509</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611</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733</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860</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957</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 Consensus</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511</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594</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679</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756</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851</w:t>
                      </w:r>
                    </w:p>
                  </w:tc>
                </w:tr>
                <w:tr w:rsidR="007F3ED6" w:rsidRPr="00125B1C" w:rsidTr="00326326">
                  <w:tc>
                    <w:tcPr>
                      <w:tcW w:w="252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EBITA - Citi Vs. Consensus</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-0.3</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2.9</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7.9</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13.8</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12.4</w:t>
                      </w:r>
                      <w:r w:rsidRPr="00125B1C">
                        <w:rPr>
                          <w:rFonts w:cs="Arial"/>
                          <w:b/>
                          <w:bCs/>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Margin - Citi</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17.8</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18.4</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19.4</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20.3</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20.7</w:t>
                      </w:r>
                      <w:r w:rsidRPr="00125B1C">
                        <w:rPr>
                          <w:rFonts w:cs="Arial"/>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Margin - Consensus</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17.9</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18.3</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18.7</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18.8</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18.7</w:t>
                      </w:r>
                      <w:r w:rsidRPr="00125B1C">
                        <w:rPr>
                          <w:rFonts w:cs="Arial"/>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r>
                <w:tr w:rsidR="007F3ED6" w:rsidRPr="00125B1C" w:rsidTr="00326326">
                  <w:tc>
                    <w:tcPr>
                      <w:tcW w:w="2520" w:type="dxa"/>
                      <w:tcBorders>
                        <w:top w:val="nil"/>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rPr>
                          <w:rFonts w:ascii="Arial Narrow" w:hAnsi="Arial Narrow" w:cs="Arial"/>
                          <w:b/>
                          <w:bCs/>
                          <w:color w:val="000000"/>
                          <w:sz w:val="16"/>
                          <w:szCs w:val="16"/>
                          <w:lang w:val="en-GB" w:eastAsia="en-GB"/>
                        </w:rPr>
                      </w:pPr>
                      <w:r>
                        <w:rPr>
                          <w:rFonts w:ascii="Arial Narrow" w:hAnsi="Arial Narrow" w:cs="Arial"/>
                          <w:b/>
                          <w:bCs/>
                          <w:color w:val="000000"/>
                          <w:sz w:val="16"/>
                          <w:szCs w:val="16"/>
                          <w:lang w:val="en-GB" w:eastAsia="en-GB"/>
                        </w:rPr>
                        <w:t>Group</w:t>
                      </w:r>
                    </w:p>
                  </w:tc>
                  <w:tc>
                    <w:tcPr>
                      <w:tcW w:w="1540" w:type="dxa"/>
                      <w:tcBorders>
                        <w:top w:val="nil"/>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c>
                    <w:tcPr>
                      <w:tcW w:w="1540" w:type="dxa"/>
                      <w:tcBorders>
                        <w:top w:val="nil"/>
                        <w:left w:val="nil"/>
                        <w:bottom w:val="nil"/>
                        <w:right w:val="nil"/>
                      </w:tcBorders>
                      <w:shd w:val="solid" w:color="CCFFFF" w:fill="auto"/>
                    </w:tcPr>
                    <w:p w:rsidR="007F3ED6" w:rsidRPr="00125B1C" w:rsidRDefault="007F3ED6" w:rsidP="00326326">
                      <w:pPr>
                        <w:keepNext/>
                        <w:autoSpaceDE w:val="0"/>
                        <w:autoSpaceDN w:val="0"/>
                        <w:adjustRightInd w:val="0"/>
                        <w:spacing w:before="40" w:line="160" w:lineRule="exact"/>
                        <w:jc w:val="right"/>
                        <w:rPr>
                          <w:rFonts w:ascii="Arial Narrow" w:hAnsi="Arial Narrow" w:cs="Arial"/>
                          <w:b/>
                          <w:bCs/>
                          <w:color w:val="000000"/>
                          <w:sz w:val="16"/>
                          <w:szCs w:val="16"/>
                          <w:lang w:val="en-GB" w:eastAsia="en-GB"/>
                        </w:rPr>
                      </w:pP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Sales - Citi</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7,392</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8,284</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9,079</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9,792</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10,471</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Sales - Consensus</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7,335</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8,117</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8,825</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9,492</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10,299</w:t>
                      </w:r>
                    </w:p>
                  </w:tc>
                </w:tr>
                <w:tr w:rsidR="007F3ED6" w:rsidRPr="00125B1C" w:rsidTr="00326326">
                  <w:tc>
                    <w:tcPr>
                      <w:tcW w:w="252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Sales - Citi Vs. Consensus</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0.8</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2.1</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2.9</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3.2</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1.7</w:t>
                      </w:r>
                      <w:r w:rsidRPr="00125B1C">
                        <w:rPr>
                          <w:rFonts w:cs="Arial"/>
                          <w:b/>
                          <w:bCs/>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Organic Growth - Citi</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8.7</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8.8</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9.6</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7.9</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6.9</w:t>
                      </w:r>
                      <w:r w:rsidRPr="00125B1C">
                        <w:rPr>
                          <w:rFonts w:cs="Arial"/>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Organic Growth - Consensus</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8.7</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9.5</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8.8</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8.1</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7.5</w:t>
                      </w:r>
                      <w:r w:rsidRPr="00125B1C">
                        <w:rPr>
                          <w:rFonts w:cs="Arial"/>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 Citi</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1,372</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1,583</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1,808</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1,998</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2,168</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 Consensus</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1,265</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1,560</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1,749</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1,907</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2,017</w:t>
                      </w:r>
                    </w:p>
                  </w:tc>
                </w:tr>
                <w:tr w:rsidR="007F3ED6" w:rsidRPr="00125B1C" w:rsidTr="00326326">
                  <w:tc>
                    <w:tcPr>
                      <w:tcW w:w="252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EBITA - Citi Vs. Consensus</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8.5</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1.5</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3.3</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4.8</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7.5</w:t>
                      </w:r>
                      <w:r w:rsidRPr="00125B1C">
                        <w:rPr>
                          <w:rFonts w:cs="Arial"/>
                          <w:b/>
                          <w:bCs/>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Margin - Citi</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18.6</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19.1</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19.9</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20.4</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20.7</w:t>
                      </w:r>
                      <w:r w:rsidRPr="00125B1C">
                        <w:rPr>
                          <w:rFonts w:cs="Arial"/>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EBITA Margin - Consensus</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17.2</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19.2</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19.8</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20.1</w:t>
                      </w:r>
                      <w:r w:rsidRPr="00125B1C">
                        <w:rPr>
                          <w:rFonts w:cs="Arial"/>
                          <w:color w:val="000000"/>
                          <w:sz w:val="16"/>
                          <w:szCs w:val="16"/>
                          <w:lang w:val="en-GB" w:eastAsia="en-GB"/>
                        </w:rPr>
                        <w:t>%</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19.6</w:t>
                      </w:r>
                      <w:r w:rsidRPr="00125B1C">
                        <w:rPr>
                          <w:rFonts w:cs="Arial"/>
                          <w:color w:val="000000"/>
                          <w:sz w:val="16"/>
                          <w:szCs w:val="16"/>
                          <w:lang w:val="en-GB" w:eastAsia="en-GB"/>
                        </w:rPr>
                        <w:t>%</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ascii="Arial Narrow" w:hAnsi="Arial Narrow" w:cs="Arial"/>
                          <w:color w:val="000000"/>
                          <w:sz w:val="16"/>
                          <w:szCs w:val="16"/>
                          <w:lang w:val="en-GB" w:eastAsia="en-GB"/>
                        </w:rPr>
                      </w:pP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Net Profit (reported) - Citi</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795</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1,028</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1,201</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1,339</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1,443</w:t>
                      </w:r>
                    </w:p>
                  </w:tc>
                </w:tr>
                <w:tr w:rsidR="007F3ED6" w:rsidRPr="00125B1C" w:rsidTr="00326326">
                  <w:tc>
                    <w:tcPr>
                      <w:tcW w:w="252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color w:val="000000"/>
                          <w:sz w:val="16"/>
                          <w:szCs w:val="16"/>
                          <w:lang w:val="en-GB" w:eastAsia="en-GB"/>
                        </w:rPr>
                      </w:pPr>
                      <w:r w:rsidRPr="00125B1C">
                        <w:rPr>
                          <w:rFonts w:ascii="Arial Narrow" w:hAnsi="Arial Narrow" w:cs="Arial"/>
                          <w:color w:val="000000"/>
                          <w:sz w:val="16"/>
                          <w:szCs w:val="16"/>
                          <w:lang w:val="en-GB" w:eastAsia="en-GB"/>
                        </w:rPr>
                        <w:t>Net Profit (reported) - Consensus</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806</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1,051</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1,197</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1,305</w:t>
                      </w:r>
                    </w:p>
                  </w:tc>
                  <w:tc>
                    <w:tcPr>
                      <w:tcW w:w="1540" w:type="dxa"/>
                      <w:tcBorders>
                        <w:top w:val="nil"/>
                        <w:left w:val="nil"/>
                        <w:bottom w:val="nil"/>
                        <w:right w:val="nil"/>
                      </w:tcBorders>
                    </w:tcPr>
                    <w:p w:rsidR="007F3ED6" w:rsidRPr="00125B1C" w:rsidRDefault="007F3ED6" w:rsidP="00326326">
                      <w:pPr>
                        <w:keepNext/>
                        <w:autoSpaceDE w:val="0"/>
                        <w:autoSpaceDN w:val="0"/>
                        <w:adjustRightInd w:val="0"/>
                        <w:spacing w:before="40" w:line="160" w:lineRule="exact"/>
                        <w:jc w:val="right"/>
                        <w:rPr>
                          <w:rFonts w:cs="Arial"/>
                          <w:color w:val="000000"/>
                          <w:sz w:val="16"/>
                          <w:szCs w:val="16"/>
                          <w:lang w:val="en-GB" w:eastAsia="en-GB"/>
                        </w:rPr>
                      </w:pPr>
                      <w:r w:rsidRPr="00125B1C">
                        <w:rPr>
                          <w:rFonts w:ascii="Arial Narrow" w:hAnsi="Arial Narrow" w:cs="Arial"/>
                          <w:color w:val="000000"/>
                          <w:sz w:val="16"/>
                          <w:szCs w:val="16"/>
                          <w:lang w:val="en-GB" w:eastAsia="en-GB"/>
                        </w:rPr>
                        <w:t>1,356</w:t>
                      </w:r>
                    </w:p>
                  </w:tc>
                </w:tr>
                <w:tr w:rsidR="007F3ED6" w:rsidRPr="00125B1C" w:rsidTr="00326326">
                  <w:tc>
                    <w:tcPr>
                      <w:tcW w:w="252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rPr>
                          <w:rFonts w:ascii="Arial Narrow" w:hAnsi="Arial Narrow" w:cs="Arial"/>
                          <w:b/>
                          <w:bCs/>
                          <w:color w:val="000000"/>
                          <w:sz w:val="16"/>
                          <w:szCs w:val="16"/>
                          <w:lang w:val="en-GB" w:eastAsia="en-GB"/>
                        </w:rPr>
                      </w:pPr>
                      <w:r w:rsidRPr="00125B1C">
                        <w:rPr>
                          <w:rFonts w:ascii="Arial Narrow" w:hAnsi="Arial Narrow" w:cs="Arial"/>
                          <w:b/>
                          <w:bCs/>
                          <w:color w:val="000000"/>
                          <w:sz w:val="16"/>
                          <w:szCs w:val="16"/>
                          <w:lang w:val="en-GB" w:eastAsia="en-GB"/>
                        </w:rPr>
                        <w:t>Net Profit - Citi Vs. Consensus</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-1.3</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shd w:val="solid" w:color="FFFFFF" w:fill="auto"/>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-2.2</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shd w:val="solid" w:color="FFFFFF" w:fill="auto"/>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0.4</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2.6</w:t>
                      </w:r>
                      <w:r w:rsidRPr="00125B1C">
                        <w:rPr>
                          <w:rFonts w:cs="Arial"/>
                          <w:b/>
                          <w:bCs/>
                          <w:color w:val="000000"/>
                          <w:sz w:val="16"/>
                          <w:szCs w:val="16"/>
                          <w:lang w:val="en-GB" w:eastAsia="en-GB"/>
                        </w:rPr>
                        <w:t>%</w:t>
                      </w:r>
                    </w:p>
                  </w:tc>
                  <w:tc>
                    <w:tcPr>
                      <w:tcW w:w="1540" w:type="dxa"/>
                      <w:tcBorders>
                        <w:top w:val="single" w:sz="6" w:space="0" w:color="auto"/>
                        <w:left w:val="nil"/>
                        <w:bottom w:val="single" w:sz="6" w:space="0" w:color="auto"/>
                        <w:right w:val="nil"/>
                      </w:tcBorders>
                    </w:tcPr>
                    <w:p w:rsidR="007F3ED6" w:rsidRPr="00125B1C" w:rsidRDefault="007F3ED6" w:rsidP="00326326">
                      <w:pPr>
                        <w:keepNext/>
                        <w:autoSpaceDE w:val="0"/>
                        <w:autoSpaceDN w:val="0"/>
                        <w:adjustRightInd w:val="0"/>
                        <w:spacing w:before="40" w:line="160" w:lineRule="exact"/>
                        <w:jc w:val="right"/>
                        <w:rPr>
                          <w:rFonts w:cs="Arial"/>
                          <w:b/>
                          <w:bCs/>
                          <w:color w:val="000000"/>
                          <w:sz w:val="16"/>
                          <w:szCs w:val="16"/>
                          <w:lang w:val="en-GB" w:eastAsia="en-GB"/>
                        </w:rPr>
                      </w:pPr>
                      <w:r w:rsidRPr="00125B1C">
                        <w:rPr>
                          <w:rFonts w:ascii="Arial Narrow" w:hAnsi="Arial Narrow" w:cs="Arial"/>
                          <w:b/>
                          <w:bCs/>
                          <w:color w:val="000000"/>
                          <w:sz w:val="16"/>
                          <w:szCs w:val="16"/>
                          <w:lang w:val="en-GB" w:eastAsia="en-GB"/>
                        </w:rPr>
                        <w:t>6.4</w:t>
                      </w:r>
                      <w:r w:rsidRPr="00125B1C">
                        <w:rPr>
                          <w:rFonts w:cs="Arial"/>
                          <w:b/>
                          <w:bCs/>
                          <w:color w:val="000000"/>
                          <w:sz w:val="16"/>
                          <w:szCs w:val="16"/>
                          <w:lang w:val="en-GB" w:eastAsia="en-GB"/>
                        </w:rPr>
                        <w:t>%</w:t>
                      </w:r>
                    </w:p>
                  </w:tc>
                </w:tr>
              </w:tbl>
              <w:p w:rsidR="007F3ED6" w:rsidRDefault="007F3ED6" w:rsidP="00326326">
                <w:pPr>
                  <w:pStyle w:val="CIRMaster"/>
                  <w:spacing w:line="14" w:lineRule="auto"/>
                </w:pPr>
                <w:r>
                  <w:fldChar w:fldCharType="end"/>
                </w:r>
              </w:p>
            </w:tc>
          </w:tr>
          <w:tr w:rsidR="007F3ED6" w:rsidTr="00326326">
            <w:trPr>
              <w:cantSplit/>
            </w:trPr>
            <w:tc>
              <w:tcPr>
                <w:tcW w:w="10220" w:type="dxa"/>
              </w:tcPr>
              <w:p w:rsidR="007F3ED6" w:rsidRDefault="007F3ED6" w:rsidP="00326326">
                <w:pPr>
                  <w:pStyle w:val="CIRSourceNote"/>
                </w:pPr>
                <w:r>
                  <w:t xml:space="preserve">Source: </w:t>
                </w:r>
                <w:r w:rsidRPr="00E204AC">
                  <w:t>Company-compiled consensus (27 Nov 2014)</w:t>
                </w:r>
                <w:r>
                  <w:t>, Citi Research e</w:t>
                </w:r>
                <w:r w:rsidRPr="00E204AC">
                  <w:t xml:space="preserve">stimates </w:t>
                </w:r>
              </w:p>
            </w:tc>
          </w:tr>
        </w:tbl>
        <w:p w:rsidR="007F3ED6" w:rsidRDefault="007F3ED6" w:rsidP="007F3ED6">
          <w:pPr>
            <w:pStyle w:val="CIRTextBullet"/>
            <w:numPr>
              <w:ilvl w:val="0"/>
              <w:numId w:val="0"/>
            </w:numPr>
            <w:tabs>
              <w:tab w:val="left" w:pos="720"/>
            </w:tabs>
            <w:ind w:left="216"/>
          </w:pPr>
        </w:p>
        <w:p w:rsidR="007F3ED6" w:rsidRDefault="007F3ED6" w:rsidP="007F3ED6">
          <w:pPr>
            <w:pStyle w:val="CIRChapter"/>
            <w:framePr w:wrap="around"/>
            <w:rPr>
              <w:szCs w:val="18"/>
            </w:rPr>
          </w:pPr>
          <w:bookmarkStart w:id="93" w:name="_Toc406403998"/>
          <w:bookmarkStart w:id="94" w:name="_Toc406509715"/>
          <w:r>
            <w:t>Industry Events and Catalysts</w:t>
          </w:r>
          <w:bookmarkEnd w:id="93"/>
          <w:bookmarkEnd w:id="94"/>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10220" w:type="dxa"/>
              </w:tcPr>
              <w:p w:rsidR="007F3ED6" w:rsidRDefault="007F3ED6" w:rsidP="00326326">
                <w:pPr>
                  <w:pStyle w:val="CIRCaption"/>
                </w:pPr>
                <w:r>
                  <w:t xml:space="preserve">Figure </w:t>
                </w:r>
                <w:fldSimple w:instr=" SEQ Figure \* ARABIC ">
                  <w:r>
                    <w:rPr>
                      <w:noProof/>
                    </w:rPr>
                    <w:t>58</w:t>
                  </w:r>
                </w:fldSimple>
                <w:r>
                  <w:t>. Industry Events and Catalysts</w:t>
                </w:r>
              </w:p>
            </w:tc>
          </w:tr>
          <w:tr w:rsidR="007F3ED6" w:rsidTr="00326326">
            <w:trPr>
              <w:trHeight w:val="160"/>
            </w:trPr>
            <w:tc>
              <w:tcPr>
                <w:tcW w:w="10220" w:type="dxa"/>
              </w:tcPr>
              <w:tbl>
                <w:tblPr>
                  <w:tblW w:w="10220" w:type="dxa"/>
                  <w:tblLayout w:type="fixed"/>
                  <w:tblCellMar>
                    <w:left w:w="0" w:type="dxa"/>
                    <w:right w:w="36" w:type="dxa"/>
                  </w:tblCellMar>
                  <w:tblLook w:val="0000" w:firstRow="0" w:lastRow="0" w:firstColumn="0" w:lastColumn="0" w:noHBand="0" w:noVBand="0"/>
                  <w:tblCaption w:val="EmbedTable"/>
                  <w:tblDescription w:val="1|FullPage|0"/>
                </w:tblPr>
                <w:tblGrid>
                  <w:gridCol w:w="1685"/>
                  <w:gridCol w:w="3401"/>
                  <w:gridCol w:w="2567"/>
                  <w:gridCol w:w="2567"/>
                </w:tblGrid>
                <w:tr w:rsidR="007F3ED6" w:rsidRPr="00453AD1" w:rsidTr="00326326">
                  <w:tc>
                    <w:tcPr>
                      <w:tcW w:w="1685" w:type="dxa"/>
                      <w:tcBorders>
                        <w:top w:val="single" w:sz="6" w:space="0" w:color="auto"/>
                        <w:left w:val="nil"/>
                        <w:bottom w:val="single" w:sz="6" w:space="0" w:color="auto"/>
                        <w:right w:val="nil"/>
                      </w:tcBorders>
                      <w:shd w:val="solid" w:color="003366" w:fill="auto"/>
                    </w:tcPr>
                    <w:p w:rsidR="007F3ED6" w:rsidRPr="00453AD1" w:rsidRDefault="007F3ED6" w:rsidP="00326326">
                      <w:pPr>
                        <w:keepNext/>
                        <w:autoSpaceDE w:val="0"/>
                        <w:autoSpaceDN w:val="0"/>
                        <w:adjustRightInd w:val="0"/>
                        <w:spacing w:before="40" w:line="160" w:lineRule="exact"/>
                        <w:rPr>
                          <w:rFonts w:ascii="Arial Narrow" w:hAnsi="Arial Narrow" w:cs="Arial"/>
                          <w:b/>
                          <w:bCs/>
                          <w:color w:val="FFFFFF"/>
                          <w:sz w:val="16"/>
                          <w:szCs w:val="16"/>
                          <w:lang w:val="en-GB"/>
                        </w:rPr>
                      </w:pPr>
                      <w:r w:rsidRPr="00453AD1">
                        <w:rPr>
                          <w:rFonts w:ascii="Arial Narrow" w:hAnsi="Arial Narrow" w:cs="Arial"/>
                          <w:b/>
                          <w:bCs/>
                          <w:color w:val="FFFFFF"/>
                          <w:sz w:val="16"/>
                          <w:szCs w:val="16"/>
                          <w:lang w:val="en-GB"/>
                        </w:rPr>
                        <w:t>Date</w:t>
                      </w:r>
                    </w:p>
                  </w:tc>
                  <w:tc>
                    <w:tcPr>
                      <w:tcW w:w="3401" w:type="dxa"/>
                      <w:tcBorders>
                        <w:top w:val="single" w:sz="6" w:space="0" w:color="auto"/>
                        <w:left w:val="nil"/>
                        <w:bottom w:val="single" w:sz="6" w:space="0" w:color="auto"/>
                        <w:right w:val="nil"/>
                      </w:tcBorders>
                      <w:shd w:val="solid" w:color="003366" w:fill="auto"/>
                    </w:tcPr>
                    <w:p w:rsidR="007F3ED6" w:rsidRPr="00453AD1" w:rsidRDefault="007F3ED6" w:rsidP="00326326">
                      <w:pPr>
                        <w:keepNext/>
                        <w:autoSpaceDE w:val="0"/>
                        <w:autoSpaceDN w:val="0"/>
                        <w:adjustRightInd w:val="0"/>
                        <w:spacing w:before="40" w:line="160" w:lineRule="exact"/>
                        <w:rPr>
                          <w:rFonts w:ascii="Arial Narrow" w:hAnsi="Arial Narrow" w:cs="Arial"/>
                          <w:b/>
                          <w:bCs/>
                          <w:color w:val="FFFFFF"/>
                          <w:sz w:val="16"/>
                          <w:szCs w:val="16"/>
                          <w:lang w:val="en-GB"/>
                        </w:rPr>
                      </w:pPr>
                      <w:r w:rsidRPr="00453AD1">
                        <w:rPr>
                          <w:rFonts w:ascii="Arial Narrow" w:hAnsi="Arial Narrow" w:cs="Arial"/>
                          <w:b/>
                          <w:bCs/>
                          <w:color w:val="FFFFFF"/>
                          <w:sz w:val="16"/>
                          <w:szCs w:val="16"/>
                          <w:lang w:val="en-GB"/>
                        </w:rPr>
                        <w:t>Company / Industry Body</w:t>
                      </w:r>
                    </w:p>
                  </w:tc>
                  <w:tc>
                    <w:tcPr>
                      <w:tcW w:w="2567" w:type="dxa"/>
                      <w:tcBorders>
                        <w:top w:val="single" w:sz="6" w:space="0" w:color="auto"/>
                        <w:left w:val="nil"/>
                        <w:bottom w:val="single" w:sz="6" w:space="0" w:color="auto"/>
                        <w:right w:val="nil"/>
                      </w:tcBorders>
                      <w:shd w:val="solid" w:color="003366" w:fill="auto"/>
                    </w:tcPr>
                    <w:p w:rsidR="007F3ED6" w:rsidRPr="00453AD1" w:rsidRDefault="007F3ED6" w:rsidP="00326326">
                      <w:pPr>
                        <w:keepNext/>
                        <w:autoSpaceDE w:val="0"/>
                        <w:autoSpaceDN w:val="0"/>
                        <w:adjustRightInd w:val="0"/>
                        <w:spacing w:before="40" w:line="160" w:lineRule="exact"/>
                        <w:rPr>
                          <w:rFonts w:ascii="Arial Narrow" w:hAnsi="Arial Narrow" w:cs="Arial"/>
                          <w:b/>
                          <w:bCs/>
                          <w:color w:val="FFFFFF"/>
                          <w:sz w:val="16"/>
                          <w:szCs w:val="16"/>
                          <w:lang w:val="en-GB"/>
                        </w:rPr>
                      </w:pPr>
                      <w:r w:rsidRPr="00453AD1">
                        <w:rPr>
                          <w:rFonts w:ascii="Arial Narrow" w:hAnsi="Arial Narrow" w:cs="Arial"/>
                          <w:b/>
                          <w:bCs/>
                          <w:color w:val="FFFFFF"/>
                          <w:sz w:val="16"/>
                          <w:szCs w:val="16"/>
                          <w:lang w:val="en-GB"/>
                        </w:rPr>
                        <w:t>Event</w:t>
                      </w:r>
                    </w:p>
                  </w:tc>
                  <w:tc>
                    <w:tcPr>
                      <w:tcW w:w="2567" w:type="dxa"/>
                      <w:tcBorders>
                        <w:top w:val="single" w:sz="6" w:space="0" w:color="auto"/>
                        <w:left w:val="nil"/>
                        <w:bottom w:val="single" w:sz="6" w:space="0" w:color="auto"/>
                        <w:right w:val="nil"/>
                      </w:tcBorders>
                      <w:shd w:val="solid" w:color="003366" w:fill="auto"/>
                    </w:tcPr>
                    <w:p w:rsidR="007F3ED6" w:rsidRPr="00453AD1" w:rsidRDefault="007F3ED6" w:rsidP="00326326">
                      <w:pPr>
                        <w:keepNext/>
                        <w:autoSpaceDE w:val="0"/>
                        <w:autoSpaceDN w:val="0"/>
                        <w:adjustRightInd w:val="0"/>
                        <w:spacing w:before="40" w:line="160" w:lineRule="exact"/>
                        <w:rPr>
                          <w:rFonts w:ascii="Arial Narrow" w:hAnsi="Arial Narrow" w:cs="Arial"/>
                          <w:b/>
                          <w:bCs/>
                          <w:color w:val="FFFFFF"/>
                          <w:sz w:val="16"/>
                          <w:szCs w:val="16"/>
                          <w:lang w:val="en-GB"/>
                        </w:rPr>
                      </w:pPr>
                      <w:r w:rsidRPr="00453AD1">
                        <w:rPr>
                          <w:rFonts w:ascii="Arial Narrow" w:hAnsi="Arial Narrow" w:cs="Arial"/>
                          <w:b/>
                          <w:bCs/>
                          <w:color w:val="FFFFFF"/>
                          <w:sz w:val="16"/>
                          <w:szCs w:val="16"/>
                          <w:lang w:val="en-GB"/>
                        </w:rPr>
                        <w:t>Location</w:t>
                      </w: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27 Jan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Plantronics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3QFY15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10 Feb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Cochlear</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1HFY15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18 Feb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G</w:t>
                      </w:r>
                      <w:r>
                        <w:rPr>
                          <w:rFonts w:ascii="Arial Narrow" w:hAnsi="Arial Narrow" w:cs="Calibri"/>
                          <w:color w:val="000000"/>
                          <w:sz w:val="16"/>
                          <w:lang w:val="en-GB"/>
                        </w:rPr>
                        <w:t>N</w:t>
                      </w:r>
                      <w:r w:rsidRPr="00453AD1">
                        <w:rPr>
                          <w:rFonts w:ascii="Arial Narrow" w:hAnsi="Arial Narrow" w:cs="Calibri"/>
                          <w:color w:val="000000"/>
                          <w:sz w:val="16"/>
                          <w:lang w:val="en-GB"/>
                        </w:rPr>
                        <w:t xml:space="preserve"> Store Nord</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FY</w:t>
                      </w:r>
                      <w:r w:rsidRPr="00453AD1">
                        <w:rPr>
                          <w:rFonts w:ascii="Arial Narrow" w:hAnsi="Arial Narrow" w:cs="Calibri"/>
                          <w:color w:val="000000"/>
                          <w:sz w:val="16"/>
                          <w:lang w:val="en-GB"/>
                        </w:rPr>
                        <w:t>14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26 Feb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William Demant</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FY</w:t>
                      </w:r>
                      <w:r w:rsidRPr="00453AD1">
                        <w:rPr>
                          <w:rFonts w:ascii="Arial Narrow" w:hAnsi="Arial Narrow" w:cs="Calibri"/>
                          <w:color w:val="000000"/>
                          <w:sz w:val="16"/>
                          <w:lang w:val="en-GB"/>
                        </w:rPr>
                        <w:t>14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03 Mar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Amplifon</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FY</w:t>
                      </w:r>
                      <w:r w:rsidRPr="00453AD1">
                        <w:rPr>
                          <w:rFonts w:ascii="Arial Narrow" w:hAnsi="Arial Narrow" w:cs="Calibri"/>
                          <w:color w:val="000000"/>
                          <w:sz w:val="16"/>
                          <w:lang w:val="en-GB"/>
                        </w:rPr>
                        <w:t>14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25-28 Mar 20</w:t>
                      </w:r>
                      <w:r w:rsidRPr="00453AD1">
                        <w:rPr>
                          <w:rFonts w:ascii="Arial Narrow" w:hAnsi="Arial Narrow" w:cs="Calibri"/>
                          <w:color w:val="000000"/>
                          <w:sz w:val="16"/>
                          <w:lang w:val="en-GB"/>
                        </w:rPr>
                        <w:t>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American Academy of Audiology</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AudiologyNOW! 2015</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San Antonio, TX</w:t>
                      </w: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jc w:val="right"/>
                        <w:rPr>
                          <w:rFonts w:ascii="Arial Narrow" w:hAnsi="Arial Narrow" w:cs="Calibri"/>
                          <w:color w:val="000000"/>
                          <w:sz w:val="16"/>
                          <w:lang w:val="en-GB"/>
                        </w:rPr>
                      </w:pP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29 Apr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Amplifon</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1QFY15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29 Apr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G</w:t>
                      </w:r>
                      <w:r>
                        <w:rPr>
                          <w:rFonts w:ascii="Arial Narrow" w:hAnsi="Arial Narrow" w:cs="Calibri"/>
                          <w:color w:val="000000"/>
                          <w:sz w:val="16"/>
                          <w:lang w:val="en-GB"/>
                        </w:rPr>
                        <w:t>N</w:t>
                      </w:r>
                      <w:r w:rsidRPr="00453AD1">
                        <w:rPr>
                          <w:rFonts w:ascii="Arial Narrow" w:hAnsi="Arial Narrow" w:cs="Calibri"/>
                          <w:color w:val="000000"/>
                          <w:sz w:val="16"/>
                          <w:lang w:val="en-GB"/>
                        </w:rPr>
                        <w:t xml:space="preserve"> Store Nord</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1QFY15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07 May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William Demant</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1QFY15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19 May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Sonova</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FY</w:t>
                      </w:r>
                      <w:r w:rsidRPr="00453AD1">
                        <w:rPr>
                          <w:rFonts w:ascii="Arial Narrow" w:hAnsi="Arial Narrow" w:cs="Calibri"/>
                          <w:color w:val="000000"/>
                          <w:sz w:val="16"/>
                          <w:lang w:val="en-GB"/>
                        </w:rPr>
                        <w:t>15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jc w:val="right"/>
                        <w:rPr>
                          <w:rFonts w:ascii="Arial Narrow" w:hAnsi="Arial Narrow" w:cs="Calibri"/>
                          <w:color w:val="000000"/>
                          <w:sz w:val="16"/>
                          <w:lang w:val="en-GB"/>
                        </w:rPr>
                      </w:pP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23 Jul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Amplifon</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2QFY15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11 Aug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Cochlear</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Pr>
                          <w:rFonts w:ascii="Arial Narrow" w:hAnsi="Arial Narrow" w:cs="Calibri"/>
                          <w:color w:val="000000"/>
                          <w:sz w:val="16"/>
                          <w:lang w:val="en-GB"/>
                        </w:rPr>
                        <w:t>FY</w:t>
                      </w:r>
                      <w:r w:rsidRPr="00453AD1">
                        <w:rPr>
                          <w:rFonts w:ascii="Arial Narrow" w:hAnsi="Arial Narrow" w:cs="Calibri"/>
                          <w:color w:val="000000"/>
                          <w:sz w:val="16"/>
                          <w:lang w:val="en-GB"/>
                        </w:rPr>
                        <w:t>15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13 Aug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G</w:t>
                      </w:r>
                      <w:r>
                        <w:rPr>
                          <w:rFonts w:ascii="Arial Narrow" w:hAnsi="Arial Narrow" w:cs="Calibri"/>
                          <w:color w:val="000000"/>
                          <w:sz w:val="16"/>
                          <w:lang w:val="en-GB"/>
                        </w:rPr>
                        <w:t>N</w:t>
                      </w:r>
                      <w:r w:rsidRPr="00453AD1">
                        <w:rPr>
                          <w:rFonts w:ascii="Arial Narrow" w:hAnsi="Arial Narrow" w:cs="Calibri"/>
                          <w:color w:val="000000"/>
                          <w:sz w:val="16"/>
                          <w:lang w:val="en-GB"/>
                        </w:rPr>
                        <w:t xml:space="preserve"> Store Nord</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2QFY15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14 Aug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William Demant</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2QFY15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jc w:val="right"/>
                        <w:rPr>
                          <w:rFonts w:ascii="Arial Narrow" w:hAnsi="Arial Narrow" w:cs="Calibri"/>
                          <w:color w:val="000000"/>
                          <w:sz w:val="16"/>
                          <w:lang w:val="en-GB"/>
                        </w:rPr>
                      </w:pP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14-16 Oct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European Union of Hearing Aid Acousticians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EUHA Congress 2015</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Nürnberg, Germany</w:t>
                      </w: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22 Oct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Amplifon</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3QFY15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30 Oct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G</w:t>
                      </w:r>
                      <w:r>
                        <w:rPr>
                          <w:rFonts w:ascii="Arial Narrow" w:hAnsi="Arial Narrow" w:cs="Calibri"/>
                          <w:color w:val="000000"/>
                          <w:sz w:val="16"/>
                          <w:lang w:val="en-GB"/>
                        </w:rPr>
                        <w:t>N</w:t>
                      </w:r>
                      <w:r w:rsidRPr="00453AD1">
                        <w:rPr>
                          <w:rFonts w:ascii="Arial Narrow" w:hAnsi="Arial Narrow" w:cs="Calibri"/>
                          <w:color w:val="000000"/>
                          <w:sz w:val="16"/>
                          <w:lang w:val="en-GB"/>
                        </w:rPr>
                        <w:t xml:space="preserve"> Store Nord</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3QFY15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12 Nov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William Demant</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3QFY15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r w:rsidR="007F3ED6" w:rsidRPr="00453AD1" w:rsidTr="00326326">
                  <w:tc>
                    <w:tcPr>
                      <w:tcW w:w="1685"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16 Nov 2015</w:t>
                      </w:r>
                    </w:p>
                  </w:tc>
                  <w:tc>
                    <w:tcPr>
                      <w:tcW w:w="3401"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Sonova</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r w:rsidRPr="00453AD1">
                        <w:rPr>
                          <w:rFonts w:ascii="Arial Narrow" w:hAnsi="Arial Narrow" w:cs="Calibri"/>
                          <w:color w:val="000000"/>
                          <w:sz w:val="16"/>
                          <w:lang w:val="en-GB"/>
                        </w:rPr>
                        <w:t>1HFY16 Results</w:t>
                      </w:r>
                    </w:p>
                  </w:tc>
                  <w:tc>
                    <w:tcPr>
                      <w:tcW w:w="2567" w:type="dxa"/>
                      <w:tcBorders>
                        <w:top w:val="nil"/>
                        <w:left w:val="nil"/>
                        <w:bottom w:val="nil"/>
                        <w:right w:val="nil"/>
                      </w:tcBorders>
                      <w:shd w:val="solid" w:color="FFFFFF" w:fill="auto"/>
                    </w:tcPr>
                    <w:p w:rsidR="007F3ED6" w:rsidRPr="00453AD1" w:rsidRDefault="007F3ED6" w:rsidP="00326326">
                      <w:pPr>
                        <w:keepNext/>
                        <w:autoSpaceDE w:val="0"/>
                        <w:autoSpaceDN w:val="0"/>
                        <w:adjustRightInd w:val="0"/>
                        <w:spacing w:before="40" w:line="160" w:lineRule="exact"/>
                        <w:rPr>
                          <w:rFonts w:ascii="Arial Narrow" w:hAnsi="Arial Narrow" w:cs="Calibri"/>
                          <w:color w:val="000000"/>
                          <w:sz w:val="16"/>
                          <w:lang w:val="en-GB"/>
                        </w:rPr>
                      </w:pPr>
                    </w:p>
                  </w:tc>
                </w:tr>
              </w:tbl>
              <w:p w:rsidR="007F3ED6" w:rsidRDefault="007F3ED6" w:rsidP="00326326">
                <w:pPr>
                  <w:pStyle w:val="CIRMaster"/>
                  <w:spacing w:line="14" w:lineRule="auto"/>
                </w:pPr>
              </w:p>
            </w:tc>
          </w:tr>
          <w:tr w:rsidR="007F3ED6" w:rsidTr="00326326">
            <w:trPr>
              <w:cantSplit/>
            </w:trPr>
            <w:tc>
              <w:tcPr>
                <w:tcW w:w="10220" w:type="dxa"/>
              </w:tcPr>
              <w:p w:rsidR="007F3ED6" w:rsidRDefault="007F3ED6" w:rsidP="00326326">
                <w:pPr>
                  <w:pStyle w:val="CIRSourceNote"/>
                </w:pPr>
                <w:r>
                  <w:t xml:space="preserve">*Denotes indicative dates.   Source: Company websites  </w:t>
                </w:r>
              </w:p>
            </w:tc>
          </w:tr>
        </w:tbl>
        <w:p w:rsidR="007F3ED6" w:rsidRDefault="007F3ED6" w:rsidP="007F3ED6">
          <w:pPr>
            <w:pStyle w:val="CIRMaster"/>
          </w:pPr>
        </w:p>
        <w:p w:rsidR="007F3ED6" w:rsidRDefault="007F3ED6" w:rsidP="007F3ED6">
          <w:pPr>
            <w:pStyle w:val="CIRChapter"/>
            <w:keepLines/>
            <w:framePr w:wrap="around"/>
            <w:rPr>
              <w:lang w:val="en-GB"/>
            </w:rPr>
          </w:pPr>
          <w:r>
            <w:br w:type="page"/>
          </w:r>
          <w:bookmarkStart w:id="95" w:name="_Toc406403999"/>
          <w:bookmarkStart w:id="96" w:name="_Toc406509716"/>
          <w:r>
            <w:rPr>
              <w:lang w:val="en-GB"/>
            </w:rPr>
            <w:t>Financial Statements</w:t>
          </w:r>
          <w:bookmarkEnd w:id="95"/>
          <w:bookmarkEnd w:id="96"/>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10220" w:type="dxa"/>
              </w:tcPr>
              <w:p w:rsidR="007F3ED6" w:rsidRDefault="007F3ED6" w:rsidP="00326326">
                <w:pPr>
                  <w:pStyle w:val="CIRCaption"/>
                </w:pPr>
                <w:r>
                  <w:t xml:space="preserve">Figure </w:t>
                </w:r>
                <w:fldSimple w:instr=" SEQ Figure \* ARABIC ">
                  <w:r>
                    <w:rPr>
                      <w:noProof/>
                    </w:rPr>
                    <w:t>59</w:t>
                  </w:r>
                </w:fldSimple>
                <w:r>
                  <w:t xml:space="preserve">. GN Store Nord Annual Profit and Loss Account </w:t>
                </w:r>
              </w:p>
            </w:tc>
          </w:tr>
          <w:tr w:rsidR="007F3ED6" w:rsidTr="00326326">
            <w:trPr>
              <w:trHeight w:val="160"/>
            </w:trPr>
            <w:tc>
              <w:tcPr>
                <w:tcW w:w="10220" w:type="dxa"/>
              </w:tcPr>
              <w:p w:rsidR="007F3ED6" w:rsidRDefault="007F3ED6" w:rsidP="00326326">
                <w:pPr>
                  <w:pStyle w:val="CIRMaster"/>
                  <w:spacing w:line="14" w:lineRule="auto"/>
                  <w:rPr>
                    <w:rFonts w:asciiTheme="minorHAnsi" w:eastAsiaTheme="minorEastAsia" w:hAnsiTheme="minorHAnsi" w:cstheme="minorBidi"/>
                    <w:kern w:val="0"/>
                    <w:sz w:val="22"/>
                    <w:szCs w:val="22"/>
                    <w:lang w:eastAsia="en-US"/>
                  </w:rPr>
                </w:pPr>
                <w:r>
                  <w:fldChar w:fldCharType="begin" w:fldLock="1"/>
                </w:r>
                <w:r>
                  <w:instrText xml:space="preserve"> LINK Excel.SheetMacroEnabled.12 "\\\\ldnvnaseqr0006\\eqr_erpharma\\MEDTECH\\Models\\Live Models\\GN Store Nord model (Citi).xlsm" P&amp;L!R2C1:R75C54 \f 4 \r  \* MERGEFORMAT</w:instrText>
                </w:r>
                <w:r>
                  <w:fldChar w:fldCharType="separate"/>
                </w:r>
              </w:p>
              <w:tbl>
                <w:tblPr>
                  <w:tblW w:w="10220" w:type="dxa"/>
                  <w:tblBorders>
                    <w:bottom w:val="single" w:sz="4" w:space="0" w:color="auto"/>
                  </w:tblBorders>
                  <w:tblLayout w:type="fixed"/>
                  <w:tblCellMar>
                    <w:left w:w="0" w:type="dxa"/>
                    <w:right w:w="36" w:type="dxa"/>
                  </w:tblCellMar>
                  <w:tblLook w:val="0000" w:firstRow="0" w:lastRow="0" w:firstColumn="0" w:lastColumn="0" w:noHBand="0" w:noVBand="0"/>
                </w:tblPr>
                <w:tblGrid>
                  <w:gridCol w:w="4095"/>
                  <w:gridCol w:w="875"/>
                  <w:gridCol w:w="875"/>
                  <w:gridCol w:w="875"/>
                  <w:gridCol w:w="875"/>
                  <w:gridCol w:w="875"/>
                  <w:gridCol w:w="875"/>
                  <w:gridCol w:w="875"/>
                </w:tblGrid>
                <w:tr w:rsidR="007F3ED6" w:rsidRPr="00613BC4" w:rsidTr="00326326">
                  <w:tc>
                    <w:tcPr>
                      <w:tcW w:w="4095" w:type="dxa"/>
                      <w:shd w:val="clear" w:color="auto" w:fill="002D72"/>
                    </w:tcPr>
                    <w:p w:rsidR="007F3ED6" w:rsidRPr="00613BC4" w:rsidRDefault="007F3ED6" w:rsidP="00326326">
                      <w:pPr>
                        <w:keepNext/>
                        <w:autoSpaceDE w:val="0"/>
                        <w:autoSpaceDN w:val="0"/>
                        <w:adjustRightInd w:val="0"/>
                        <w:spacing w:line="160" w:lineRule="exac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DKrmn</w:t>
                      </w:r>
                    </w:p>
                  </w:tc>
                  <w:tc>
                    <w:tcPr>
                      <w:tcW w:w="875" w:type="dxa"/>
                      <w:shd w:val="clear" w:color="auto" w:fill="002D72"/>
                    </w:tcPr>
                    <w:p w:rsidR="007F3ED6" w:rsidRPr="00613BC4" w:rsidRDefault="007F3ED6" w:rsidP="00326326">
                      <w:pPr>
                        <w:keepNext/>
                        <w:autoSpaceDE w:val="0"/>
                        <w:autoSpaceDN w:val="0"/>
                        <w:adjustRightInd w:val="0"/>
                        <w:spacing w:line="160" w:lineRule="exact"/>
                        <w:jc w:val="righ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2011</w:t>
                      </w:r>
                    </w:p>
                  </w:tc>
                  <w:tc>
                    <w:tcPr>
                      <w:tcW w:w="875" w:type="dxa"/>
                      <w:shd w:val="clear" w:color="auto" w:fill="002D72"/>
                    </w:tcPr>
                    <w:p w:rsidR="007F3ED6" w:rsidRPr="00613BC4" w:rsidRDefault="007F3ED6" w:rsidP="00326326">
                      <w:pPr>
                        <w:keepNext/>
                        <w:autoSpaceDE w:val="0"/>
                        <w:autoSpaceDN w:val="0"/>
                        <w:adjustRightInd w:val="0"/>
                        <w:spacing w:line="160" w:lineRule="exact"/>
                        <w:jc w:val="righ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2012</w:t>
                      </w:r>
                    </w:p>
                  </w:tc>
                  <w:tc>
                    <w:tcPr>
                      <w:tcW w:w="875" w:type="dxa"/>
                      <w:shd w:val="clear" w:color="auto" w:fill="002D72"/>
                    </w:tcPr>
                    <w:p w:rsidR="007F3ED6" w:rsidRPr="00613BC4" w:rsidRDefault="007F3ED6" w:rsidP="00326326">
                      <w:pPr>
                        <w:keepNext/>
                        <w:autoSpaceDE w:val="0"/>
                        <w:autoSpaceDN w:val="0"/>
                        <w:adjustRightInd w:val="0"/>
                        <w:spacing w:line="160" w:lineRule="exact"/>
                        <w:jc w:val="righ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2013</w:t>
                      </w:r>
                    </w:p>
                  </w:tc>
                  <w:tc>
                    <w:tcPr>
                      <w:tcW w:w="875" w:type="dxa"/>
                      <w:shd w:val="clear" w:color="auto" w:fill="002D72"/>
                    </w:tcPr>
                    <w:p w:rsidR="007F3ED6" w:rsidRPr="00613BC4" w:rsidRDefault="007F3ED6" w:rsidP="00326326">
                      <w:pPr>
                        <w:keepNext/>
                        <w:autoSpaceDE w:val="0"/>
                        <w:autoSpaceDN w:val="0"/>
                        <w:adjustRightInd w:val="0"/>
                        <w:spacing w:line="160" w:lineRule="exact"/>
                        <w:jc w:val="righ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2014E</w:t>
                      </w:r>
                    </w:p>
                  </w:tc>
                  <w:tc>
                    <w:tcPr>
                      <w:tcW w:w="875" w:type="dxa"/>
                      <w:shd w:val="clear" w:color="auto" w:fill="002D72"/>
                    </w:tcPr>
                    <w:p w:rsidR="007F3ED6" w:rsidRPr="00613BC4" w:rsidRDefault="007F3ED6" w:rsidP="00326326">
                      <w:pPr>
                        <w:keepNext/>
                        <w:autoSpaceDE w:val="0"/>
                        <w:autoSpaceDN w:val="0"/>
                        <w:adjustRightInd w:val="0"/>
                        <w:spacing w:line="160" w:lineRule="exact"/>
                        <w:jc w:val="righ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2015E</w:t>
                      </w:r>
                    </w:p>
                  </w:tc>
                  <w:tc>
                    <w:tcPr>
                      <w:tcW w:w="875" w:type="dxa"/>
                      <w:shd w:val="clear" w:color="auto" w:fill="002D72"/>
                    </w:tcPr>
                    <w:p w:rsidR="007F3ED6" w:rsidRPr="00613BC4" w:rsidRDefault="007F3ED6" w:rsidP="00326326">
                      <w:pPr>
                        <w:keepNext/>
                        <w:autoSpaceDE w:val="0"/>
                        <w:autoSpaceDN w:val="0"/>
                        <w:adjustRightInd w:val="0"/>
                        <w:spacing w:line="160" w:lineRule="exact"/>
                        <w:jc w:val="righ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2016E</w:t>
                      </w:r>
                    </w:p>
                  </w:tc>
                  <w:tc>
                    <w:tcPr>
                      <w:tcW w:w="875" w:type="dxa"/>
                      <w:shd w:val="clear" w:color="auto" w:fill="002D72"/>
                    </w:tcPr>
                    <w:p w:rsidR="007F3ED6" w:rsidRPr="00613BC4" w:rsidRDefault="007F3ED6" w:rsidP="00326326">
                      <w:pPr>
                        <w:keepNext/>
                        <w:autoSpaceDE w:val="0"/>
                        <w:autoSpaceDN w:val="0"/>
                        <w:adjustRightInd w:val="0"/>
                        <w:spacing w:line="160" w:lineRule="exact"/>
                        <w:jc w:val="right"/>
                        <w:rPr>
                          <w:rFonts w:ascii="Arial Narrow" w:hAnsi="Arial Narrow" w:cs="Arial"/>
                          <w:b/>
                          <w:bCs/>
                          <w:color w:val="FFFFFF"/>
                          <w:sz w:val="14"/>
                          <w:szCs w:val="14"/>
                          <w:lang w:val="en-GB" w:eastAsia="en-GB"/>
                        </w:rPr>
                      </w:pPr>
                      <w:r w:rsidRPr="00613BC4">
                        <w:rPr>
                          <w:rFonts w:ascii="Arial Narrow" w:hAnsi="Arial Narrow" w:cs="Arial"/>
                          <w:b/>
                          <w:bCs/>
                          <w:color w:val="FFFFFF"/>
                          <w:sz w:val="14"/>
                          <w:szCs w:val="14"/>
                          <w:lang w:val="en-GB" w:eastAsia="en-GB"/>
                        </w:rPr>
                        <w:t>2017E</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Revenue</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5,564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6,251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6,789</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7,392</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8,284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9,079</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9,792</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chg. YoY</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8.6%</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8.9%</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9.6%</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7.9%</w:t>
                      </w:r>
                    </w:p>
                  </w:tc>
                </w:tr>
                <w:tr w:rsidR="007F3ED6" w:rsidRPr="00613BC4" w:rsidTr="00326326">
                  <w:tc>
                    <w:tcPr>
                      <w:tcW w:w="4095" w:type="dxa"/>
                      <w:tcBorders>
                        <w:bottom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Cost of sales</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-2,269</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-2623</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-2720</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-2860</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-3199</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-3506</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-3797</w:t>
                      </w:r>
                    </w:p>
                  </w:tc>
                </w:tr>
                <w:tr w:rsidR="007F3ED6" w:rsidRPr="00613BC4" w:rsidTr="00326326">
                  <w:tc>
                    <w:tcPr>
                      <w:tcW w:w="4095" w:type="dxa"/>
                      <w:tcBorders>
                        <w:top w:val="single" w:sz="4" w:space="0" w:color="auto"/>
                        <w:bottom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Gross profit</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3,295</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3,628</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4,069</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4,532</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5,086</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5,573</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5,995</w:t>
                      </w:r>
                    </w:p>
                  </w:tc>
                </w:tr>
                <w:tr w:rsidR="007F3ED6" w:rsidRPr="00613BC4" w:rsidTr="00326326">
                  <w:tc>
                    <w:tcPr>
                      <w:tcW w:w="4095" w:type="dxa"/>
                      <w:tcBorders>
                        <w:top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Gross profit margin (%)</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59.2%</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58.0%</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59.9%</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61.3%</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61.4%</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61.4%</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61.2%</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R&amp;D expense</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-517</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-547</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-545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-605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-676</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-742</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-801</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chg. YoY</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14.4%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11.7%</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8.0%</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sales</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9.3%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8.8%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8.0%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8.2%</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8.2%</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8.2%</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8.2%</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Selling expenses</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-1,657</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-1,933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-1,895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-2,100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-2,344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-2,542</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-2,722</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chg. YoY</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16.7%</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11.6%</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7.1%</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sales</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29.8%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30.9%</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27.9%</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28.4%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28.3%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28.0%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27.8%</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Administrative expenses</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-608</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-581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-499</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-599</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-537</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-536</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-528</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chg. YoY</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-14.1%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19.9%</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xml:space="preserve"> % sales</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10.9%</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9.3%</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7.4%</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8.1%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6.5%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5.9%</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5.4%</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S,G&amp;A expenses</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-2,265</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-2,514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-2,394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-2,699</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-2,881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-3,078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-3,250</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chg. YoY</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10.2%</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12.7%</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5.6%</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 xml:space="preserve"> % sales</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40.7%</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40.2%</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35.3%</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36.5%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34.8%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33.9%</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i/>
                          <w:iCs/>
                          <w:sz w:val="14"/>
                          <w:szCs w:val="14"/>
                          <w:lang w:val="en-GB" w:eastAsia="en-GB"/>
                        </w:rPr>
                      </w:pPr>
                      <w:r w:rsidRPr="00613BC4">
                        <w:rPr>
                          <w:rFonts w:ascii="Arial Narrow" w:hAnsi="Arial Narrow" w:cs="Arial"/>
                          <w:i/>
                          <w:iCs/>
                          <w:sz w:val="14"/>
                          <w:szCs w:val="14"/>
                          <w:lang w:val="en-GB" w:eastAsia="en-GB"/>
                        </w:rPr>
                        <w:t>33.2%</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Other operating income (expenses)</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EBIT ex TPSA Case &amp; Others</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525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571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1,137</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1,230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1,528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1,753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1,943</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margin (%)</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16.7%</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16.6%</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18.5%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19.8%</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Award from TPSA Case &amp; Others</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731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EBIT (reported)</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1,256</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586</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1,118</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1,222</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1,528</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1,753</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1,943</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EBIT margin (%)</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22.6%</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18.5%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19.8%</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Amortization of other intangible assets acquired</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28</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61</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55</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55</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55</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55</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EBITA (reported)</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1,284</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616</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1,180</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1,277</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1,583</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1,808</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1,998</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EBITA margin (%)</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23.1%</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9.9%</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17.4%</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17.3%</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19.1%</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19.9%</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20.4%</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 chg. YoY</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-50.5%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-52.0%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91.5%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24.0%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14.1%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10.5%</w:t>
                      </w:r>
                    </w:p>
                  </w:tc>
                </w:tr>
                <w:tr w:rsidR="007F3ED6" w:rsidRPr="00613BC4" w:rsidTr="00326326">
                  <w:tc>
                    <w:tcPr>
                      <w:tcW w:w="4095" w:type="dxa"/>
                      <w:tcBorders>
                        <w:bottom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Exceptionals in EBITA</w:t>
                      </w:r>
                    </w:p>
                  </w:tc>
                  <w:tc>
                    <w:tcPr>
                      <w:tcW w:w="87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680</w:t>
                      </w:r>
                    </w:p>
                  </w:tc>
                  <w:tc>
                    <w:tcPr>
                      <w:tcW w:w="87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-215</w:t>
                      </w:r>
                    </w:p>
                  </w:tc>
                  <w:tc>
                    <w:tcPr>
                      <w:tcW w:w="87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-53</w:t>
                      </w:r>
                    </w:p>
                  </w:tc>
                  <w:tc>
                    <w:tcPr>
                      <w:tcW w:w="87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-95</w:t>
                      </w:r>
                    </w:p>
                  </w:tc>
                  <w:tc>
                    <w:tcPr>
                      <w:tcW w:w="87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r>
                <w:tr w:rsidR="007F3ED6" w:rsidRPr="00613BC4" w:rsidTr="00326326">
                  <w:tc>
                    <w:tcPr>
                      <w:tcW w:w="4095" w:type="dxa"/>
                      <w:tcBorders>
                        <w:top w:val="single" w:sz="4" w:space="0" w:color="auto"/>
                        <w:bottom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EBITA (adj.)</w:t>
                      </w:r>
                    </w:p>
                  </w:tc>
                  <w:tc>
                    <w:tcPr>
                      <w:tcW w:w="875" w:type="dxa"/>
                      <w:tcBorders>
                        <w:top w:val="single" w:sz="4" w:space="0" w:color="auto"/>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604</w:t>
                      </w:r>
                    </w:p>
                  </w:tc>
                  <w:tc>
                    <w:tcPr>
                      <w:tcW w:w="875" w:type="dxa"/>
                      <w:tcBorders>
                        <w:top w:val="single" w:sz="4" w:space="0" w:color="auto"/>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831</w:t>
                      </w:r>
                    </w:p>
                  </w:tc>
                  <w:tc>
                    <w:tcPr>
                      <w:tcW w:w="875" w:type="dxa"/>
                      <w:tcBorders>
                        <w:top w:val="single" w:sz="4" w:space="0" w:color="auto"/>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1,233</w:t>
                      </w:r>
                    </w:p>
                  </w:tc>
                  <w:tc>
                    <w:tcPr>
                      <w:tcW w:w="875" w:type="dxa"/>
                      <w:tcBorders>
                        <w:top w:val="single" w:sz="4" w:space="0" w:color="auto"/>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1,372</w:t>
                      </w:r>
                    </w:p>
                  </w:tc>
                  <w:tc>
                    <w:tcPr>
                      <w:tcW w:w="875" w:type="dxa"/>
                      <w:tcBorders>
                        <w:top w:val="single" w:sz="4" w:space="0" w:color="auto"/>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1,583</w:t>
                      </w:r>
                    </w:p>
                  </w:tc>
                  <w:tc>
                    <w:tcPr>
                      <w:tcW w:w="875" w:type="dxa"/>
                      <w:tcBorders>
                        <w:top w:val="single" w:sz="4" w:space="0" w:color="auto"/>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1,808</w:t>
                      </w:r>
                    </w:p>
                  </w:tc>
                  <w:tc>
                    <w:tcPr>
                      <w:tcW w:w="875" w:type="dxa"/>
                      <w:tcBorders>
                        <w:top w:val="single" w:sz="4" w:space="0" w:color="auto"/>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1,998</w:t>
                      </w:r>
                    </w:p>
                  </w:tc>
                </w:tr>
                <w:tr w:rsidR="007F3ED6" w:rsidRPr="00613BC4" w:rsidTr="00326326">
                  <w:tc>
                    <w:tcPr>
                      <w:tcW w:w="4095" w:type="dxa"/>
                      <w:tcBorders>
                        <w:top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Adj. EBITA margin (%)</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10.9%</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13.3%</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18.2%</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18.6%</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19.1%</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19.9%</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20.4%</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 chg. YoY</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37.6%</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48.3%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14.1%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10.5%</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Depreciation</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127</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129</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144</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169</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170</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181</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192</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EBITDA (adj.)</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731</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960</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1,377</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1,541</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1,754</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1,988</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2,190</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Adj. EBITDA margin (%)</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13.1%</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15.4%</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20.3%</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20.8%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21.2%</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21.9%</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22.4%</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Interest income</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107</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105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97</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Interest expense</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-206</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-143</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-223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-219</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Net Financial income/ expense</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-28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-69</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-91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-110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-118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-122</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Gain on disposal of operations</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-9</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Impairment loss on investment in subsidiaries</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Associate income</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 xml:space="preserve">Other financial income </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-56</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0</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0</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0</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0</w:t>
                      </w:r>
                    </w:p>
                  </w:tc>
                </w:tr>
                <w:tr w:rsidR="007F3ED6" w:rsidRPr="00613BC4" w:rsidTr="00326326">
                  <w:tc>
                    <w:tcPr>
                      <w:tcW w:w="4095" w:type="dxa"/>
                      <w:tcBorders>
                        <w:bottom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Profit before tax</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1,225</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461</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1,023</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1,117</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1,418</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1,634</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1,821</w:t>
                      </w:r>
                    </w:p>
                  </w:tc>
                </w:tr>
                <w:tr w:rsidR="007F3ED6" w:rsidRPr="00613BC4" w:rsidTr="00326326">
                  <w:tc>
                    <w:tcPr>
                      <w:tcW w:w="4095" w:type="dxa"/>
                      <w:tcBorders>
                        <w:top w:val="single" w:sz="4" w:space="0" w:color="auto"/>
                        <w:bottom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Adj. Profit before tax</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545</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676</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1,076</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1,212</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1,418</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1,634</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1,821</w:t>
                      </w:r>
                    </w:p>
                  </w:tc>
                </w:tr>
                <w:tr w:rsidR="007F3ED6" w:rsidRPr="00613BC4" w:rsidTr="00326326">
                  <w:tc>
                    <w:tcPr>
                      <w:tcW w:w="4095" w:type="dxa"/>
                      <w:tcBorders>
                        <w:top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Income taxes on adjusted pre-tax income</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-189</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-185</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-300</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-337</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-390</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-433</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-483</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Underlying tax rate (%)</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34.7%</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27.3%</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27.9%</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27.8%</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27.5%</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26.5%</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26.5%</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Exceptional/ Deferred tax</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-171</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Income tax expense</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-360</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-140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-288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-322</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-390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-433</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-483</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Effective tax rate (%)</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29.4%</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30.4%</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28.2%</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28.8%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26.5%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26.5%</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Profit after tax</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865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321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735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795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1,028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1,201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1,339</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Minority interest</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Profit from discontinuing operations</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Net Profit</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865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321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735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795</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1,028</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1,201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1,339</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 chg. YoY</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-53.4%</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-62.9%</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128.9%</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8.3%</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29.3%</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16.8%</w:t>
                      </w:r>
                    </w:p>
                  </w:tc>
                  <w:tc>
                    <w:tcPr>
                      <w:tcW w:w="87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11.4%</w:t>
                      </w:r>
                    </w:p>
                  </w:tc>
                </w:tr>
                <w:tr w:rsidR="007F3ED6" w:rsidRPr="00613BC4" w:rsidTr="00326326">
                  <w:tc>
                    <w:tcPr>
                      <w:tcW w:w="4095" w:type="dxa"/>
                      <w:tcBorders>
                        <w:bottom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Net exceptionals</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509.2</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-170.2</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-41.2</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-80.0</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0.0</w:t>
                      </w:r>
                    </w:p>
                  </w:tc>
                </w:tr>
                <w:tr w:rsidR="007F3ED6" w:rsidRPr="00613BC4" w:rsidTr="00326326">
                  <w:tc>
                    <w:tcPr>
                      <w:tcW w:w="4095" w:type="dxa"/>
                      <w:tcBorders>
                        <w:top w:val="single" w:sz="4" w:space="0" w:color="auto"/>
                        <w:bottom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Adj. Net income</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356</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491</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776</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876</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1,028</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1,201</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1,339</w:t>
                      </w:r>
                    </w:p>
                  </w:tc>
                </w:tr>
                <w:tr w:rsidR="007F3ED6" w:rsidRPr="00613BC4" w:rsidTr="00326326">
                  <w:tc>
                    <w:tcPr>
                      <w:tcW w:w="4095" w:type="dxa"/>
                      <w:tcBorders>
                        <w:top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 chg. YoY</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15.3%</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38.1%</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58.0%</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12.8%</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17.4%</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16.8%</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11.4%</w:t>
                      </w: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r>
                <w:tr w:rsidR="007F3ED6" w:rsidRPr="00613BC4" w:rsidTr="00326326">
                  <w:tc>
                    <w:tcPr>
                      <w:tcW w:w="4095" w:type="dxa"/>
                    </w:tcPr>
                    <w:p w:rsidR="007F3ED6" w:rsidRPr="00613BC4" w:rsidRDefault="007F3ED6" w:rsidP="00326326">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Basic EPS (DKr)</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4.31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1.80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4.40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4.90</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6.57</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8.01</w:t>
                      </w:r>
                    </w:p>
                  </w:tc>
                  <w:tc>
                    <w:tcPr>
                      <w:tcW w:w="875" w:type="dxa"/>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9.26</w:t>
                      </w:r>
                    </w:p>
                  </w:tc>
                </w:tr>
                <w:tr w:rsidR="007F3ED6" w:rsidRPr="00613BC4" w:rsidTr="00326326">
                  <w:tc>
                    <w:tcPr>
                      <w:tcW w:w="4095" w:type="dxa"/>
                      <w:tcBorders>
                        <w:bottom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 chg. YoY</w:t>
                      </w:r>
                    </w:p>
                  </w:tc>
                  <w:tc>
                    <w:tcPr>
                      <w:tcW w:w="87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-52.9%</w:t>
                      </w:r>
                    </w:p>
                  </w:tc>
                  <w:tc>
                    <w:tcPr>
                      <w:tcW w:w="87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-58.3%</w:t>
                      </w:r>
                    </w:p>
                  </w:tc>
                  <w:tc>
                    <w:tcPr>
                      <w:tcW w:w="87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144.9%</w:t>
                      </w:r>
                    </w:p>
                  </w:tc>
                  <w:tc>
                    <w:tcPr>
                      <w:tcW w:w="87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11.5%</w:t>
                      </w:r>
                    </w:p>
                  </w:tc>
                  <w:tc>
                    <w:tcPr>
                      <w:tcW w:w="87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34.1%</w:t>
                      </w:r>
                    </w:p>
                  </w:tc>
                  <w:tc>
                    <w:tcPr>
                      <w:tcW w:w="87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21.8%</w:t>
                      </w:r>
                    </w:p>
                  </w:tc>
                  <w:tc>
                    <w:tcPr>
                      <w:tcW w:w="87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15.7%</w:t>
                      </w:r>
                    </w:p>
                  </w:tc>
                </w:tr>
                <w:tr w:rsidR="007F3ED6" w:rsidRPr="00613BC4" w:rsidTr="00326326">
                  <w:tc>
                    <w:tcPr>
                      <w:tcW w:w="4095" w:type="dxa"/>
                      <w:tcBorders>
                        <w:top w:val="single" w:sz="4" w:space="0" w:color="auto"/>
                        <w:bottom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Adj. diluted EPS (DKr)</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1.76</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2.72</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4.59</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5.33</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6.50</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7.91</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9.15</w:t>
                      </w:r>
                    </w:p>
                  </w:tc>
                </w:tr>
                <w:tr w:rsidR="007F3ED6" w:rsidRPr="00613BC4" w:rsidTr="00326326">
                  <w:tc>
                    <w:tcPr>
                      <w:tcW w:w="4095" w:type="dxa"/>
                      <w:tcBorders>
                        <w:top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 chg. YoY</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17.3%</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54.9%</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68.9%</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16.1%</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21.8%</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21.7%</w:t>
                      </w:r>
                    </w:p>
                  </w:tc>
                  <w:tc>
                    <w:tcPr>
                      <w:tcW w:w="875" w:type="dxa"/>
                      <w:tcBorders>
                        <w:top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15.6%</w:t>
                      </w:r>
                    </w:p>
                  </w:tc>
                </w:tr>
                <w:tr w:rsidR="007F3ED6" w:rsidRPr="00613BC4" w:rsidTr="00326326">
                  <w:tc>
                    <w:tcPr>
                      <w:tcW w:w="409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p>
                  </w:tc>
                  <w:tc>
                    <w:tcPr>
                      <w:tcW w:w="875" w:type="dxa"/>
                      <w:tcBorders>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p>
                  </w:tc>
                  <w:tc>
                    <w:tcPr>
                      <w:tcW w:w="875" w:type="dxa"/>
                      <w:tcBorders>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p>
                  </w:tc>
                </w:tr>
                <w:tr w:rsidR="007F3ED6" w:rsidRPr="00613BC4" w:rsidTr="00326326">
                  <w:tc>
                    <w:tcPr>
                      <w:tcW w:w="409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DPS (DKr)</w:t>
                      </w:r>
                    </w:p>
                  </w:tc>
                  <w:tc>
                    <w:tcPr>
                      <w:tcW w:w="875" w:type="dxa"/>
                      <w:tcBorders>
                        <w:top w:val="single" w:sz="4" w:space="0" w:color="auto"/>
                        <w:bottom w:val="single" w:sz="4" w:space="0" w:color="auto"/>
                      </w:tcBorders>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0.27</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0.49</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0.84</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1.02</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1.31</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1.68</w:t>
                      </w:r>
                    </w:p>
                  </w:tc>
                  <w:tc>
                    <w:tcPr>
                      <w:tcW w:w="875" w:type="dxa"/>
                      <w:tcBorders>
                        <w:top w:val="single" w:sz="4" w:space="0" w:color="auto"/>
                        <w:bottom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b/>
                          <w:bCs/>
                          <w:sz w:val="14"/>
                          <w:szCs w:val="14"/>
                          <w:lang w:val="en-GB" w:eastAsia="en-GB"/>
                        </w:rPr>
                      </w:pPr>
                      <w:r w:rsidRPr="00613BC4">
                        <w:rPr>
                          <w:rFonts w:ascii="Arial Narrow" w:hAnsi="Arial Narrow" w:cs="Arial"/>
                          <w:b/>
                          <w:bCs/>
                          <w:sz w:val="14"/>
                          <w:szCs w:val="14"/>
                          <w:lang w:val="en-GB" w:eastAsia="en-GB"/>
                        </w:rPr>
                        <w:t>2.04</w:t>
                      </w:r>
                    </w:p>
                  </w:tc>
                </w:tr>
                <w:tr w:rsidR="007F3ED6" w:rsidRPr="00613BC4" w:rsidTr="00326326">
                  <w:tc>
                    <w:tcPr>
                      <w:tcW w:w="4095" w:type="dxa"/>
                      <w:tcBorders>
                        <w:top w:val="single" w:sz="4" w:space="0" w:color="auto"/>
                      </w:tcBorders>
                    </w:tcPr>
                    <w:p w:rsidR="007F3ED6" w:rsidRPr="00613BC4" w:rsidRDefault="007F3ED6" w:rsidP="00326326">
                      <w:pPr>
                        <w:keepNext/>
                        <w:autoSpaceDE w:val="0"/>
                        <w:autoSpaceDN w:val="0"/>
                        <w:adjustRightInd w:val="0"/>
                        <w:spacing w:line="160" w:lineRule="exact"/>
                        <w:rPr>
                          <w:rFonts w:ascii="Arial Narrow" w:hAnsi="Arial Narrow" w:cs="Arial"/>
                          <w:sz w:val="14"/>
                          <w:szCs w:val="14"/>
                          <w:lang w:val="en-GB" w:eastAsia="en-GB"/>
                        </w:rPr>
                      </w:pPr>
                      <w:r w:rsidRPr="00613BC4">
                        <w:rPr>
                          <w:rFonts w:ascii="Arial Narrow" w:hAnsi="Arial Narrow" w:cs="Arial"/>
                          <w:sz w:val="14"/>
                          <w:szCs w:val="14"/>
                          <w:lang w:val="en-GB" w:eastAsia="en-GB"/>
                        </w:rPr>
                        <w:t>YoY growth (%)</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42.1%</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81.5%</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71.4%</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22.0%</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28.3%</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27.9%</w:t>
                      </w:r>
                    </w:p>
                  </w:tc>
                  <w:tc>
                    <w:tcPr>
                      <w:tcW w:w="875" w:type="dxa"/>
                      <w:tcBorders>
                        <w:top w:val="single" w:sz="4" w:space="0" w:color="auto"/>
                      </w:tcBorders>
                      <w:shd w:val="solid" w:color="FFFFFF" w:fill="auto"/>
                    </w:tcPr>
                    <w:p w:rsidR="007F3ED6" w:rsidRPr="00613BC4" w:rsidRDefault="007F3ED6" w:rsidP="00326326">
                      <w:pPr>
                        <w:keepNext/>
                        <w:autoSpaceDE w:val="0"/>
                        <w:autoSpaceDN w:val="0"/>
                        <w:adjustRightInd w:val="0"/>
                        <w:spacing w:line="160" w:lineRule="exact"/>
                        <w:jc w:val="right"/>
                        <w:rPr>
                          <w:rFonts w:ascii="Arial Narrow" w:hAnsi="Arial Narrow" w:cs="Arial"/>
                          <w:sz w:val="14"/>
                          <w:szCs w:val="14"/>
                          <w:lang w:val="en-GB" w:eastAsia="en-GB"/>
                        </w:rPr>
                      </w:pPr>
                      <w:r w:rsidRPr="00613BC4">
                        <w:rPr>
                          <w:rFonts w:ascii="Arial Narrow" w:hAnsi="Arial Narrow" w:cs="Arial"/>
                          <w:sz w:val="14"/>
                          <w:szCs w:val="14"/>
                          <w:lang w:val="en-GB" w:eastAsia="en-GB"/>
                        </w:rPr>
                        <w:t>21.2%</w:t>
                      </w:r>
                    </w:p>
                  </w:tc>
                </w:tr>
              </w:tbl>
              <w:p w:rsidR="007F3ED6" w:rsidRDefault="007F3ED6" w:rsidP="00326326">
                <w:pPr>
                  <w:pStyle w:val="CIRMaster"/>
                  <w:spacing w:line="14" w:lineRule="auto"/>
                </w:pPr>
                <w:r>
                  <w:fldChar w:fldCharType="end"/>
                </w:r>
              </w:p>
            </w:tc>
          </w:tr>
          <w:tr w:rsidR="007F3ED6" w:rsidTr="00326326">
            <w:trPr>
              <w:cantSplit/>
            </w:trPr>
            <w:tc>
              <w:tcPr>
                <w:tcW w:w="10220" w:type="dxa"/>
              </w:tcPr>
              <w:p w:rsidR="007F3ED6" w:rsidRDefault="007F3ED6" w:rsidP="00326326">
                <w:pPr>
                  <w:pStyle w:val="CIRSourceNote"/>
                </w:pPr>
                <w:r>
                  <w:t>Source: Company data, Citi Research estimates</w:t>
                </w:r>
              </w:p>
            </w:tc>
          </w:tr>
        </w:tbl>
        <w:p w:rsidR="007F3ED6" w:rsidRDefault="007F3ED6" w:rsidP="007F3ED6">
          <w:pPr>
            <w:pStyle w:val="CIRBodyText"/>
            <w:rPr>
              <w:lang w:val="en-GB"/>
            </w:rPr>
          </w:pPr>
        </w:p>
        <w:p w:rsidR="007F3ED6" w:rsidRDefault="007F3ED6" w:rsidP="007F3ED6">
          <w:pPr>
            <w:spacing w:after="200" w:line="276" w:lineRule="auto"/>
            <w:rPr>
              <w:rFonts w:eastAsia="MS PGothic" w:cs="Arial"/>
              <w:kern w:val="18"/>
              <w:szCs w:val="18"/>
              <w:lang w:val="en-GB"/>
            </w:rPr>
          </w:pPr>
          <w:r>
            <w:rPr>
              <w:lang w:val="en-GB"/>
            </w:rPr>
            <w:br w:type="page"/>
          </w:r>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10220" w:type="dxa"/>
              </w:tcPr>
              <w:p w:rsidR="007F3ED6" w:rsidRDefault="007F3ED6" w:rsidP="00326326">
                <w:pPr>
                  <w:pStyle w:val="CIRCaption"/>
                </w:pPr>
                <w:r>
                  <w:t xml:space="preserve">Figure </w:t>
                </w:r>
                <w:fldSimple w:instr=" SEQ Figure \* ARABIC ">
                  <w:r>
                    <w:rPr>
                      <w:noProof/>
                    </w:rPr>
                    <w:t>60</w:t>
                  </w:r>
                </w:fldSimple>
                <w:r>
                  <w:t>. GN Store Nord Annual Cash Flow Statement</w:t>
                </w:r>
              </w:p>
            </w:tc>
          </w:tr>
          <w:tr w:rsidR="007F3ED6" w:rsidTr="00326326">
            <w:trPr>
              <w:trHeight w:val="160"/>
            </w:trPr>
            <w:tc>
              <w:tcPr>
                <w:tcW w:w="10220" w:type="dxa"/>
              </w:tcPr>
              <w:p w:rsidR="007F3ED6" w:rsidRDefault="007F3ED6" w:rsidP="00326326">
                <w:pPr>
                  <w:pStyle w:val="CIRMaster"/>
                  <w:spacing w:line="14" w:lineRule="auto"/>
                  <w:rPr>
                    <w:rFonts w:asciiTheme="minorHAnsi" w:eastAsiaTheme="minorHAnsi" w:hAnsiTheme="minorHAnsi" w:cstheme="minorBidi"/>
                    <w:kern w:val="0"/>
                    <w:sz w:val="22"/>
                    <w:szCs w:val="22"/>
                  </w:rPr>
                </w:pPr>
                <w:r>
                  <w:fldChar w:fldCharType="begin" w:fldLock="1"/>
                </w:r>
                <w:r>
                  <w:instrText xml:space="preserve"> LINK Excel.SheetMacroEnabled.12 "\\\\ldnvnaseqr0006\\eqr_erpharma\\MEDTECH\\Models\\Live Models\\GN Store Nord model (Citi).xlsm" "Cash Flow!R2C1:R51C14" \f 4 \r  \* MERGEFORMAT</w:instrText>
                </w:r>
                <w:r>
                  <w:fldChar w:fldCharType="separate"/>
                </w:r>
              </w:p>
              <w:tbl>
                <w:tblPr>
                  <w:tblW w:w="10220" w:type="dxa"/>
                  <w:tblLayout w:type="fixed"/>
                  <w:tblCellMar>
                    <w:left w:w="0" w:type="dxa"/>
                    <w:right w:w="36" w:type="dxa"/>
                  </w:tblCellMar>
                  <w:tblLook w:val="0000" w:firstRow="0" w:lastRow="0" w:firstColumn="0" w:lastColumn="0" w:noHBand="0" w:noVBand="0"/>
                </w:tblPr>
                <w:tblGrid>
                  <w:gridCol w:w="4095"/>
                  <w:gridCol w:w="875"/>
                  <w:gridCol w:w="875"/>
                  <w:gridCol w:w="875"/>
                  <w:gridCol w:w="875"/>
                  <w:gridCol w:w="875"/>
                  <w:gridCol w:w="875"/>
                  <w:gridCol w:w="875"/>
                </w:tblGrid>
                <w:tr w:rsidR="007F3ED6" w:rsidRPr="009D7CBD" w:rsidTr="00326326">
                  <w:tc>
                    <w:tcPr>
                      <w:tcW w:w="4095" w:type="dxa"/>
                      <w:shd w:val="clear" w:color="auto" w:fill="002D72"/>
                    </w:tcPr>
                    <w:p w:rsidR="007F3ED6" w:rsidRPr="009D7CBD" w:rsidRDefault="007F3ED6" w:rsidP="00326326">
                      <w:pPr>
                        <w:keepNext/>
                        <w:autoSpaceDE w:val="0"/>
                        <w:autoSpaceDN w:val="0"/>
                        <w:adjustRightInd w:val="0"/>
                        <w:spacing w:before="40" w:line="160" w:lineRule="exac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DKrmn</w:t>
                      </w:r>
                    </w:p>
                  </w:tc>
                  <w:tc>
                    <w:tcPr>
                      <w:tcW w:w="875" w:type="dxa"/>
                      <w:shd w:val="clear" w:color="auto" w:fill="002D72"/>
                    </w:tcPr>
                    <w:p w:rsidR="007F3ED6" w:rsidRPr="009D7CBD" w:rsidRDefault="007F3ED6" w:rsidP="00326326">
                      <w:pPr>
                        <w:keepNext/>
                        <w:autoSpaceDE w:val="0"/>
                        <w:autoSpaceDN w:val="0"/>
                        <w:adjustRightInd w:val="0"/>
                        <w:spacing w:before="40" w:line="160" w:lineRule="exact"/>
                        <w:jc w:val="righ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2011</w:t>
                      </w:r>
                    </w:p>
                  </w:tc>
                  <w:tc>
                    <w:tcPr>
                      <w:tcW w:w="875" w:type="dxa"/>
                      <w:shd w:val="clear" w:color="auto" w:fill="002D72"/>
                    </w:tcPr>
                    <w:p w:rsidR="007F3ED6" w:rsidRPr="009D7CBD" w:rsidRDefault="007F3ED6" w:rsidP="00326326">
                      <w:pPr>
                        <w:keepNext/>
                        <w:autoSpaceDE w:val="0"/>
                        <w:autoSpaceDN w:val="0"/>
                        <w:adjustRightInd w:val="0"/>
                        <w:spacing w:before="40" w:line="160" w:lineRule="exact"/>
                        <w:jc w:val="righ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2012</w:t>
                      </w:r>
                    </w:p>
                  </w:tc>
                  <w:tc>
                    <w:tcPr>
                      <w:tcW w:w="875" w:type="dxa"/>
                      <w:tcBorders>
                        <w:top w:val="single" w:sz="6" w:space="0" w:color="FFFFFF"/>
                        <w:left w:val="nil"/>
                        <w:bottom w:val="single" w:sz="6" w:space="0" w:color="FFFFFF"/>
                        <w:right w:val="single" w:sz="4" w:space="0" w:color="FFFFFF"/>
                      </w:tcBorders>
                      <w:shd w:val="clear" w:color="auto" w:fill="002D72"/>
                    </w:tcPr>
                    <w:p w:rsidR="007F3ED6" w:rsidRPr="009D7CBD" w:rsidRDefault="007F3ED6" w:rsidP="00326326">
                      <w:pPr>
                        <w:keepNext/>
                        <w:autoSpaceDE w:val="0"/>
                        <w:autoSpaceDN w:val="0"/>
                        <w:adjustRightInd w:val="0"/>
                        <w:spacing w:before="40" w:line="160" w:lineRule="exact"/>
                        <w:jc w:val="righ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2013</w:t>
                      </w:r>
                    </w:p>
                  </w:tc>
                  <w:tc>
                    <w:tcPr>
                      <w:tcW w:w="875" w:type="dxa"/>
                      <w:tcBorders>
                        <w:top w:val="single" w:sz="6" w:space="0" w:color="FFFFFF"/>
                        <w:left w:val="single" w:sz="4" w:space="0" w:color="FFFFFF"/>
                        <w:bottom w:val="single" w:sz="6" w:space="0" w:color="FFFFFF"/>
                      </w:tcBorders>
                      <w:shd w:val="clear" w:color="auto" w:fill="002D72"/>
                    </w:tcPr>
                    <w:p w:rsidR="007F3ED6" w:rsidRPr="009D7CBD" w:rsidRDefault="007F3ED6" w:rsidP="00326326">
                      <w:pPr>
                        <w:keepNext/>
                        <w:autoSpaceDE w:val="0"/>
                        <w:autoSpaceDN w:val="0"/>
                        <w:adjustRightInd w:val="0"/>
                        <w:spacing w:before="40" w:line="160" w:lineRule="exact"/>
                        <w:jc w:val="righ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2014E</w:t>
                      </w:r>
                    </w:p>
                  </w:tc>
                  <w:tc>
                    <w:tcPr>
                      <w:tcW w:w="875" w:type="dxa"/>
                      <w:shd w:val="clear" w:color="auto" w:fill="002D72"/>
                    </w:tcPr>
                    <w:p w:rsidR="007F3ED6" w:rsidRPr="009D7CBD" w:rsidRDefault="007F3ED6" w:rsidP="00326326">
                      <w:pPr>
                        <w:keepNext/>
                        <w:autoSpaceDE w:val="0"/>
                        <w:autoSpaceDN w:val="0"/>
                        <w:adjustRightInd w:val="0"/>
                        <w:spacing w:before="40" w:line="160" w:lineRule="exact"/>
                        <w:jc w:val="righ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2015E</w:t>
                      </w:r>
                    </w:p>
                  </w:tc>
                  <w:tc>
                    <w:tcPr>
                      <w:tcW w:w="875" w:type="dxa"/>
                      <w:shd w:val="clear" w:color="auto" w:fill="002D72"/>
                    </w:tcPr>
                    <w:p w:rsidR="007F3ED6" w:rsidRPr="009D7CBD" w:rsidRDefault="007F3ED6" w:rsidP="00326326">
                      <w:pPr>
                        <w:keepNext/>
                        <w:autoSpaceDE w:val="0"/>
                        <w:autoSpaceDN w:val="0"/>
                        <w:adjustRightInd w:val="0"/>
                        <w:spacing w:before="40" w:line="160" w:lineRule="exact"/>
                        <w:jc w:val="righ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2016E</w:t>
                      </w:r>
                    </w:p>
                  </w:tc>
                  <w:tc>
                    <w:tcPr>
                      <w:tcW w:w="875" w:type="dxa"/>
                      <w:shd w:val="clear" w:color="auto" w:fill="002D72"/>
                    </w:tcPr>
                    <w:p w:rsidR="007F3ED6" w:rsidRPr="009D7CBD" w:rsidRDefault="007F3ED6" w:rsidP="00326326">
                      <w:pPr>
                        <w:keepNext/>
                        <w:autoSpaceDE w:val="0"/>
                        <w:autoSpaceDN w:val="0"/>
                        <w:adjustRightInd w:val="0"/>
                        <w:spacing w:before="40" w:line="160" w:lineRule="exact"/>
                        <w:jc w:val="right"/>
                        <w:rPr>
                          <w:rFonts w:ascii="Arial Narrow" w:hAnsi="Arial Narrow" w:cs="Trebuchet MS"/>
                          <w:b/>
                          <w:bCs/>
                          <w:sz w:val="14"/>
                          <w:szCs w:val="14"/>
                          <w:lang w:val="en-GB" w:eastAsia="en-GB"/>
                        </w:rPr>
                      </w:pPr>
                      <w:r w:rsidRPr="009D7CBD">
                        <w:rPr>
                          <w:rFonts w:ascii="Arial Narrow" w:hAnsi="Arial Narrow" w:cs="Trebuchet MS"/>
                          <w:b/>
                          <w:bCs/>
                          <w:sz w:val="14"/>
                          <w:szCs w:val="14"/>
                          <w:lang w:val="en-GB" w:eastAsia="en-GB"/>
                        </w:rPr>
                        <w:t>2017E</w:t>
                      </w:r>
                    </w:p>
                  </w:tc>
                </w:tr>
                <w:tr w:rsidR="007F3ED6" w:rsidRPr="009D7CBD" w:rsidTr="00326326">
                  <w:tc>
                    <w:tcPr>
                      <w:tcW w:w="4095" w:type="dxa"/>
                      <w:tcBorders>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Operating profit</w:t>
                      </w:r>
                    </w:p>
                  </w:tc>
                  <w:tc>
                    <w:tcPr>
                      <w:tcW w:w="875" w:type="dxa"/>
                      <w:tcBorders>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1,256</w:t>
                      </w:r>
                    </w:p>
                  </w:tc>
                  <w:tc>
                    <w:tcPr>
                      <w:tcW w:w="875" w:type="dxa"/>
                      <w:tcBorders>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586</w:t>
                      </w:r>
                    </w:p>
                  </w:tc>
                  <w:tc>
                    <w:tcPr>
                      <w:tcW w:w="875" w:type="dxa"/>
                      <w:tcBorders>
                        <w:top w:val="single" w:sz="6" w:space="0" w:color="FFFFFF"/>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1,118</w:t>
                      </w:r>
                    </w:p>
                  </w:tc>
                  <w:tc>
                    <w:tcPr>
                      <w:tcW w:w="875" w:type="dxa"/>
                      <w:tcBorders>
                        <w:top w:val="single" w:sz="6" w:space="0" w:color="FFFFFF"/>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1,222</w:t>
                      </w:r>
                    </w:p>
                  </w:tc>
                  <w:tc>
                    <w:tcPr>
                      <w:tcW w:w="875" w:type="dxa"/>
                      <w:tcBorders>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1,528</w:t>
                      </w:r>
                    </w:p>
                  </w:tc>
                  <w:tc>
                    <w:tcPr>
                      <w:tcW w:w="875" w:type="dxa"/>
                      <w:tcBorders>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1,753</w:t>
                      </w:r>
                    </w:p>
                  </w:tc>
                  <w:tc>
                    <w:tcPr>
                      <w:tcW w:w="875" w:type="dxa"/>
                      <w:tcBorders>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1,943</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Total depreciation,amortization and impairment</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484</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442</w:t>
                      </w:r>
                    </w:p>
                  </w:tc>
                  <w:tc>
                    <w:tcPr>
                      <w:tcW w:w="875" w:type="dxa"/>
                      <w:tcBorders>
                        <w:top w:val="nil"/>
                        <w:left w:val="nil"/>
                        <w:bottom w:val="nil"/>
                        <w:right w:val="dashSmallGap" w:sz="6" w:space="0" w:color="auto"/>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398</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564</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611</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673</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740</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Gain on disposal of assets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19</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Share-based payment</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15</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Provision for bad debt and inventory write-down</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31</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13</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Adjustment for provisions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-27</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-37</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-17</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Restructuring costs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217</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104</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Award from arbitration case against TPSA</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-748</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3,064</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Other adjustments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-735</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3,265</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124</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7F3ED6" w:rsidRPr="009D7CBD" w:rsidTr="00326326">
                  <w:tc>
                    <w:tcPr>
                      <w:tcW w:w="409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Operating cash flow before change in working capital</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1,005</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4,293</w:t>
                      </w:r>
                    </w:p>
                  </w:tc>
                  <w:tc>
                    <w:tcPr>
                      <w:tcW w:w="875" w:type="dxa"/>
                      <w:tcBorders>
                        <w:top w:val="single" w:sz="6" w:space="0" w:color="auto"/>
                        <w:left w:val="nil"/>
                        <w:bottom w:val="single" w:sz="6" w:space="0" w:color="auto"/>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1,640</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1,786</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2,139</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2,426</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2,683</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Change in inventories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-89</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-26</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-116</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-74</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-67</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-63</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Change in receivables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-267</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-81</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-323</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-106</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-196</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-175</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-157</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Change in trade payables and other payables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150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-24</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97</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44</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65</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58</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52</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Change in working capital</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-206</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-131</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-342</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-93</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-205</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-184</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-168</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Restructuring/non-recurring costs,paid</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-93</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-94</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7F3ED6" w:rsidRPr="009D7CBD" w:rsidTr="00326326">
                  <w:tc>
                    <w:tcPr>
                      <w:tcW w:w="409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Operating cash flow before financial items and tax</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797</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4,069</w:t>
                      </w:r>
                    </w:p>
                  </w:tc>
                  <w:tc>
                    <w:tcPr>
                      <w:tcW w:w="875" w:type="dxa"/>
                      <w:tcBorders>
                        <w:top w:val="single" w:sz="6" w:space="0" w:color="auto"/>
                        <w:left w:val="nil"/>
                        <w:bottom w:val="single" w:sz="6" w:space="0" w:color="auto"/>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1,204</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1,693</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1,934</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2,242</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2,515</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Interest and dividends,etc. received</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16</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18</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32</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108</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107</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105</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97</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Interest paid</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-88</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-91</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-69</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-213</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-218</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-223</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-219</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Tax paid</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-23</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-643</w:t>
                      </w:r>
                    </w:p>
                  </w:tc>
                  <w:tc>
                    <w:tcPr>
                      <w:tcW w:w="875" w:type="dxa"/>
                      <w:tcBorders>
                        <w:top w:val="nil"/>
                        <w:left w:val="nil"/>
                        <w:bottom w:val="nil"/>
                        <w:right w:val="dashSmallGap" w:sz="6" w:space="0" w:color="auto"/>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-249</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-322</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-390</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-433</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-483</w:t>
                      </w:r>
                    </w:p>
                  </w:tc>
                </w:tr>
                <w:tr w:rsidR="007F3ED6" w:rsidRPr="009D7CBD" w:rsidTr="00326326">
                  <w:tc>
                    <w:tcPr>
                      <w:tcW w:w="409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Cash flow from operating activities</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702</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3,353</w:t>
                      </w:r>
                    </w:p>
                  </w:tc>
                  <w:tc>
                    <w:tcPr>
                      <w:tcW w:w="875" w:type="dxa"/>
                      <w:tcBorders>
                        <w:top w:val="single" w:sz="6" w:space="0" w:color="auto"/>
                        <w:left w:val="nil"/>
                        <w:bottom w:val="single" w:sz="6" w:space="0" w:color="auto"/>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918</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1,267</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1,434</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1,691</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1,910</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Investment in intangible assets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-54</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-139</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-139</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-142</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-124</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-136</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-147</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Investment in PP&amp;E</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-82</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-103</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-120</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-116</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-186</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-204</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-220</w:t>
                      </w:r>
                    </w:p>
                  </w:tc>
                </w:tr>
                <w:tr w:rsidR="007F3ED6" w:rsidRPr="009D7CBD" w:rsidTr="00326326">
                  <w:tc>
                    <w:tcPr>
                      <w:tcW w:w="409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Total Capex</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-136</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-242</w:t>
                      </w:r>
                    </w:p>
                  </w:tc>
                  <w:tc>
                    <w:tcPr>
                      <w:tcW w:w="875" w:type="dxa"/>
                      <w:tcBorders>
                        <w:top w:val="single" w:sz="6" w:space="0" w:color="auto"/>
                        <w:left w:val="nil"/>
                        <w:bottom w:val="single" w:sz="6" w:space="0" w:color="auto"/>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-259</w:t>
                      </w:r>
                    </w:p>
                  </w:tc>
                  <w:tc>
                    <w:tcPr>
                      <w:tcW w:w="875" w:type="dxa"/>
                      <w:tcBorders>
                        <w:top w:val="single" w:sz="6" w:space="0" w:color="auto"/>
                        <w:left w:val="nil"/>
                        <w:bottom w:val="single" w:sz="6" w:space="0" w:color="auto"/>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-259</w:t>
                      </w:r>
                    </w:p>
                  </w:tc>
                  <w:tc>
                    <w:tcPr>
                      <w:tcW w:w="875" w:type="dxa"/>
                      <w:tcBorders>
                        <w:top w:val="single" w:sz="6" w:space="0" w:color="auto"/>
                        <w:left w:val="nil"/>
                        <w:bottom w:val="single" w:sz="6" w:space="0" w:color="auto"/>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-311</w:t>
                      </w:r>
                    </w:p>
                  </w:tc>
                  <w:tc>
                    <w:tcPr>
                      <w:tcW w:w="875" w:type="dxa"/>
                      <w:tcBorders>
                        <w:top w:val="single" w:sz="6" w:space="0" w:color="auto"/>
                        <w:left w:val="nil"/>
                        <w:bottom w:val="single" w:sz="6" w:space="0" w:color="auto"/>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-340</w:t>
                      </w:r>
                    </w:p>
                  </w:tc>
                  <w:tc>
                    <w:tcPr>
                      <w:tcW w:w="875" w:type="dxa"/>
                      <w:tcBorders>
                        <w:top w:val="single" w:sz="6" w:space="0" w:color="auto"/>
                        <w:left w:val="nil"/>
                        <w:bottom w:val="single" w:sz="6" w:space="0" w:color="auto"/>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-367</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Development costs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-265</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-296</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-349</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-388</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-407</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-427</w:t>
                      </w:r>
                    </w:p>
                  </w:tc>
                  <w:tc>
                    <w:tcPr>
                      <w:tcW w:w="875" w:type="dxa"/>
                      <w:tcBorders>
                        <w:top w:val="nil"/>
                        <w:left w:val="nil"/>
                        <w:bottom w:val="nil"/>
                        <w:right w:val="nil"/>
                      </w:tcBorders>
                      <w:shd w:val="solid" w:color="FFFFFF" w:fill="auto"/>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-449</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Investment in other non-current assets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-21</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-81</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-222</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-222</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-150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-100</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Disposal of intangible assets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Disposal &amp; sale of property, plant and equipment</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14</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Disposal of other non-current assets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20</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Acquisition of companies/operations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-82</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-42</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-136</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-34</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Company disposals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5</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7F3ED6" w:rsidRPr="009D7CBD" w:rsidTr="00326326">
                  <w:tc>
                    <w:tcPr>
                      <w:tcW w:w="409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Cash flow from investing activities</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-486</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-634</w:t>
                      </w:r>
                    </w:p>
                  </w:tc>
                  <w:tc>
                    <w:tcPr>
                      <w:tcW w:w="875" w:type="dxa"/>
                      <w:tcBorders>
                        <w:top w:val="single" w:sz="6" w:space="0" w:color="auto"/>
                        <w:left w:val="nil"/>
                        <w:bottom w:val="single" w:sz="6" w:space="0" w:color="auto"/>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-971</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-902</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-868</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-868</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-916</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Increase of long-term loans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327</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944</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Decrease of long term loans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Net Increase/(decrease) in long-term debt</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327</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0</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944</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0</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Increase of short term loans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62</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Decrease of short-term loans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-1,109</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600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600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300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300</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Net Increase/(decrease) in short-term debt</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62</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-1,109</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-60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600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600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300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300</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Dividends paid</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-39</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-50</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-83</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-146</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-166</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-206</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-252</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Share-based payment (exercised)</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137</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23</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54</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Purchase/sale of treasury shares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-641</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-1,614</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-787</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-655</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-1,000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-1,000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-1,000</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Other adjustments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7</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-26</w:t>
                      </w: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-13</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0</w:t>
                      </w:r>
                    </w:p>
                  </w:tc>
                </w:tr>
                <w:tr w:rsidR="007F3ED6" w:rsidRPr="009D7CBD" w:rsidTr="00326326">
                  <w:tc>
                    <w:tcPr>
                      <w:tcW w:w="409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Cash flow from financing activities</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-147</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-2,776</w:t>
                      </w:r>
                    </w:p>
                  </w:tc>
                  <w:tc>
                    <w:tcPr>
                      <w:tcW w:w="875" w:type="dxa"/>
                      <w:tcBorders>
                        <w:top w:val="single" w:sz="6" w:space="0" w:color="auto"/>
                        <w:left w:val="nil"/>
                        <w:bottom w:val="single" w:sz="6" w:space="0" w:color="auto"/>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55</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-201</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-566</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-906</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-952</w:t>
                      </w:r>
                    </w:p>
                  </w:tc>
                </w:tr>
                <w:tr w:rsidR="007F3ED6" w:rsidRPr="009D7CBD" w:rsidTr="00326326">
                  <w:tc>
                    <w:tcPr>
                      <w:tcW w:w="409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Net cash flow from discontinuing operations</w:t>
                      </w: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nil"/>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r>
                <w:tr w:rsidR="007F3ED6" w:rsidRPr="009D7CBD" w:rsidTr="00326326">
                  <w:tc>
                    <w:tcPr>
                      <w:tcW w:w="409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rPr>
                          <w:rFonts w:ascii="Arial Narrow" w:hAnsi="Arial Narrow"/>
                          <w:b/>
                          <w:bCs/>
                          <w:sz w:val="14"/>
                          <w:szCs w:val="14"/>
                          <w:lang w:val="en-GB" w:eastAsia="en-GB"/>
                        </w:rPr>
                      </w:pPr>
                      <w:r w:rsidRPr="009D7CBD">
                        <w:rPr>
                          <w:rFonts w:ascii="Arial Narrow" w:hAnsi="Arial Narrow"/>
                          <w:b/>
                          <w:bCs/>
                          <w:sz w:val="14"/>
                          <w:szCs w:val="14"/>
                          <w:lang w:val="en-GB" w:eastAsia="en-GB"/>
                        </w:rPr>
                        <w:t>Net cash flow</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69</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-57</w:t>
                      </w:r>
                    </w:p>
                  </w:tc>
                  <w:tc>
                    <w:tcPr>
                      <w:tcW w:w="875" w:type="dxa"/>
                      <w:tcBorders>
                        <w:top w:val="single" w:sz="6" w:space="0" w:color="auto"/>
                        <w:left w:val="nil"/>
                        <w:bottom w:val="single" w:sz="6" w:space="0" w:color="auto"/>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2</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163</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0</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-83</w:t>
                      </w:r>
                    </w:p>
                  </w:tc>
                  <w:tc>
                    <w:tcPr>
                      <w:tcW w:w="875" w:type="dxa"/>
                      <w:tcBorders>
                        <w:top w:val="single" w:sz="6" w:space="0" w:color="auto"/>
                        <w:left w:val="nil"/>
                        <w:bottom w:val="single" w:sz="6"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b/>
                          <w:bCs/>
                          <w:sz w:val="14"/>
                          <w:szCs w:val="14"/>
                          <w:lang w:val="en-GB" w:eastAsia="en-GB"/>
                        </w:rPr>
                      </w:pPr>
                      <w:r w:rsidRPr="009D7CBD">
                        <w:rPr>
                          <w:rFonts w:ascii="Arial Narrow" w:hAnsi="Arial Narrow"/>
                          <w:b/>
                          <w:bCs/>
                          <w:sz w:val="14"/>
                          <w:szCs w:val="14"/>
                          <w:lang w:val="en-GB" w:eastAsia="en-GB"/>
                        </w:rPr>
                        <w:t>42</w:t>
                      </w:r>
                    </w:p>
                  </w:tc>
                </w:tr>
                <w:tr w:rsidR="007F3ED6" w:rsidRPr="009D7CBD" w:rsidTr="00326326">
                  <w:tc>
                    <w:tcPr>
                      <w:tcW w:w="4095" w:type="dxa"/>
                      <w:tcBorders>
                        <w:top w:val="nil"/>
                        <w:left w:val="nil"/>
                        <w:bottom w:val="single" w:sz="4" w:space="0" w:color="auto"/>
                        <w:right w:val="nil"/>
                      </w:tcBorders>
                    </w:tcPr>
                    <w:p w:rsidR="007F3ED6" w:rsidRPr="009D7CBD" w:rsidRDefault="007F3ED6" w:rsidP="00326326">
                      <w:pPr>
                        <w:keepNext/>
                        <w:autoSpaceDE w:val="0"/>
                        <w:autoSpaceDN w:val="0"/>
                        <w:adjustRightInd w:val="0"/>
                        <w:spacing w:before="40" w:line="160" w:lineRule="exact"/>
                        <w:rPr>
                          <w:rFonts w:ascii="Arial Narrow" w:hAnsi="Arial Narrow"/>
                          <w:sz w:val="14"/>
                          <w:szCs w:val="14"/>
                          <w:lang w:val="en-GB" w:eastAsia="en-GB"/>
                        </w:rPr>
                      </w:pPr>
                      <w:r w:rsidRPr="009D7CBD">
                        <w:rPr>
                          <w:rFonts w:ascii="Arial Narrow" w:hAnsi="Arial Narrow"/>
                          <w:sz w:val="14"/>
                          <w:szCs w:val="14"/>
                          <w:lang w:val="en-GB" w:eastAsia="en-GB"/>
                        </w:rPr>
                        <w:t>Exchange rate movement effects</w:t>
                      </w:r>
                    </w:p>
                  </w:tc>
                  <w:tc>
                    <w:tcPr>
                      <w:tcW w:w="875" w:type="dxa"/>
                      <w:tcBorders>
                        <w:top w:val="nil"/>
                        <w:left w:val="nil"/>
                        <w:bottom w:val="single" w:sz="4"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w:t>
                      </w:r>
                    </w:p>
                  </w:tc>
                  <w:tc>
                    <w:tcPr>
                      <w:tcW w:w="875" w:type="dxa"/>
                      <w:tcBorders>
                        <w:top w:val="nil"/>
                        <w:left w:val="nil"/>
                        <w:bottom w:val="single" w:sz="4"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-3</w:t>
                      </w:r>
                    </w:p>
                  </w:tc>
                  <w:tc>
                    <w:tcPr>
                      <w:tcW w:w="875" w:type="dxa"/>
                      <w:tcBorders>
                        <w:top w:val="nil"/>
                        <w:left w:val="nil"/>
                        <w:bottom w:val="single" w:sz="4" w:space="0" w:color="auto"/>
                        <w:right w:val="dashSmallGap" w:sz="6" w:space="0" w:color="auto"/>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r w:rsidRPr="009D7CBD">
                        <w:rPr>
                          <w:rFonts w:ascii="Arial Narrow" w:hAnsi="Arial Narrow"/>
                          <w:sz w:val="14"/>
                          <w:szCs w:val="14"/>
                          <w:lang w:val="en-GB" w:eastAsia="en-GB"/>
                        </w:rPr>
                        <w:t>-8</w:t>
                      </w:r>
                    </w:p>
                  </w:tc>
                  <w:tc>
                    <w:tcPr>
                      <w:tcW w:w="875" w:type="dxa"/>
                      <w:tcBorders>
                        <w:top w:val="nil"/>
                        <w:left w:val="nil"/>
                        <w:bottom w:val="single" w:sz="4"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single" w:sz="4"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single" w:sz="4"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c>
                    <w:tcPr>
                      <w:tcW w:w="875" w:type="dxa"/>
                      <w:tcBorders>
                        <w:top w:val="nil"/>
                        <w:left w:val="nil"/>
                        <w:bottom w:val="single" w:sz="4" w:space="0" w:color="auto"/>
                        <w:right w:val="nil"/>
                      </w:tcBorders>
                    </w:tcPr>
                    <w:p w:rsidR="007F3ED6" w:rsidRPr="009D7CBD" w:rsidRDefault="007F3ED6" w:rsidP="00326326">
                      <w:pPr>
                        <w:keepNext/>
                        <w:autoSpaceDE w:val="0"/>
                        <w:autoSpaceDN w:val="0"/>
                        <w:adjustRightInd w:val="0"/>
                        <w:spacing w:before="40" w:line="160" w:lineRule="exact"/>
                        <w:jc w:val="right"/>
                        <w:rPr>
                          <w:rFonts w:ascii="Arial Narrow" w:hAnsi="Arial Narrow"/>
                          <w:sz w:val="14"/>
                          <w:szCs w:val="14"/>
                          <w:lang w:val="en-GB" w:eastAsia="en-GB"/>
                        </w:rPr>
                      </w:pPr>
                    </w:p>
                  </w:tc>
                </w:tr>
                <w:tr w:rsidR="007F3ED6" w:rsidRPr="009D7CBD" w:rsidTr="00326326">
                  <w:tc>
                    <w:tcPr>
                      <w:tcW w:w="4095" w:type="dxa"/>
                      <w:tcBorders>
                        <w:top w:val="single" w:sz="4" w:space="0" w:color="auto"/>
                        <w:left w:val="nil"/>
                        <w:bottom w:val="single" w:sz="4" w:space="0" w:color="auto"/>
                      </w:tcBorders>
                      <w:shd w:val="clear" w:color="auto" w:fill="E6E6E6"/>
                    </w:tcPr>
                    <w:p w:rsidR="007F3ED6" w:rsidRPr="009D7CBD" w:rsidRDefault="007F3ED6" w:rsidP="00326326">
                      <w:pPr>
                        <w:keepNext/>
                        <w:autoSpaceDE w:val="0"/>
                        <w:autoSpaceDN w:val="0"/>
                        <w:adjustRightInd w:val="0"/>
                        <w:spacing w:before="40" w:line="160" w:lineRule="exac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Net change in cash and cash equivalents</w:t>
                      </w:r>
                    </w:p>
                  </w:tc>
                  <w:tc>
                    <w:tcPr>
                      <w:tcW w:w="875" w:type="dxa"/>
                      <w:tcBorders>
                        <w:top w:val="single" w:sz="4" w:space="0" w:color="auto"/>
                        <w:bottom w:val="single" w:sz="4" w:space="0" w:color="auto"/>
                      </w:tcBorders>
                      <w:shd w:val="clear" w:color="auto" w:fill="E6E6E6"/>
                    </w:tcPr>
                    <w:p w:rsidR="007F3ED6" w:rsidRPr="009D7CBD" w:rsidRDefault="007F3ED6" w:rsidP="00326326">
                      <w:pPr>
                        <w:keepNext/>
                        <w:autoSpaceDE w:val="0"/>
                        <w:autoSpaceDN w:val="0"/>
                        <w:adjustRightInd w:val="0"/>
                        <w:spacing w:before="40" w:line="160" w:lineRule="exact"/>
                        <w:jc w:val="righ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72</w:t>
                      </w:r>
                    </w:p>
                  </w:tc>
                  <w:tc>
                    <w:tcPr>
                      <w:tcW w:w="875" w:type="dxa"/>
                      <w:tcBorders>
                        <w:top w:val="single" w:sz="4" w:space="0" w:color="auto"/>
                        <w:bottom w:val="single" w:sz="4" w:space="0" w:color="auto"/>
                      </w:tcBorders>
                      <w:shd w:val="clear" w:color="auto" w:fill="E6E6E6"/>
                    </w:tcPr>
                    <w:p w:rsidR="007F3ED6" w:rsidRPr="009D7CBD" w:rsidRDefault="007F3ED6" w:rsidP="00326326">
                      <w:pPr>
                        <w:keepNext/>
                        <w:autoSpaceDE w:val="0"/>
                        <w:autoSpaceDN w:val="0"/>
                        <w:adjustRightInd w:val="0"/>
                        <w:spacing w:before="40" w:line="160" w:lineRule="exact"/>
                        <w:jc w:val="righ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-60</w:t>
                      </w:r>
                    </w:p>
                  </w:tc>
                  <w:tc>
                    <w:tcPr>
                      <w:tcW w:w="875" w:type="dxa"/>
                      <w:tcBorders>
                        <w:top w:val="single" w:sz="4" w:space="0" w:color="auto"/>
                        <w:bottom w:val="single" w:sz="4" w:space="0" w:color="auto"/>
                      </w:tcBorders>
                      <w:shd w:val="clear" w:color="auto" w:fill="E6E6E6"/>
                    </w:tcPr>
                    <w:p w:rsidR="007F3ED6" w:rsidRPr="009D7CBD" w:rsidRDefault="007F3ED6" w:rsidP="00326326">
                      <w:pPr>
                        <w:keepNext/>
                        <w:autoSpaceDE w:val="0"/>
                        <w:autoSpaceDN w:val="0"/>
                        <w:adjustRightInd w:val="0"/>
                        <w:spacing w:before="40" w:line="160" w:lineRule="exact"/>
                        <w:jc w:val="righ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-6</w:t>
                      </w:r>
                    </w:p>
                  </w:tc>
                  <w:tc>
                    <w:tcPr>
                      <w:tcW w:w="875" w:type="dxa"/>
                      <w:tcBorders>
                        <w:top w:val="single" w:sz="4" w:space="0" w:color="auto"/>
                        <w:bottom w:val="single" w:sz="4" w:space="0" w:color="auto"/>
                      </w:tcBorders>
                      <w:shd w:val="clear" w:color="auto" w:fill="E6E6E6"/>
                    </w:tcPr>
                    <w:p w:rsidR="007F3ED6" w:rsidRPr="009D7CBD" w:rsidRDefault="007F3ED6" w:rsidP="00326326">
                      <w:pPr>
                        <w:keepNext/>
                        <w:autoSpaceDE w:val="0"/>
                        <w:autoSpaceDN w:val="0"/>
                        <w:adjustRightInd w:val="0"/>
                        <w:spacing w:before="40" w:line="160" w:lineRule="exact"/>
                        <w:jc w:val="righ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163</w:t>
                      </w:r>
                    </w:p>
                  </w:tc>
                  <w:tc>
                    <w:tcPr>
                      <w:tcW w:w="875" w:type="dxa"/>
                      <w:tcBorders>
                        <w:top w:val="single" w:sz="4" w:space="0" w:color="auto"/>
                        <w:bottom w:val="single" w:sz="4" w:space="0" w:color="auto"/>
                      </w:tcBorders>
                      <w:shd w:val="clear" w:color="auto" w:fill="E6E6E6"/>
                    </w:tcPr>
                    <w:p w:rsidR="007F3ED6" w:rsidRPr="009D7CBD" w:rsidRDefault="007F3ED6" w:rsidP="00326326">
                      <w:pPr>
                        <w:keepNext/>
                        <w:autoSpaceDE w:val="0"/>
                        <w:autoSpaceDN w:val="0"/>
                        <w:adjustRightInd w:val="0"/>
                        <w:spacing w:before="40" w:line="160" w:lineRule="exact"/>
                        <w:jc w:val="righ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0</w:t>
                      </w:r>
                    </w:p>
                  </w:tc>
                  <w:tc>
                    <w:tcPr>
                      <w:tcW w:w="875" w:type="dxa"/>
                      <w:tcBorders>
                        <w:top w:val="single" w:sz="4" w:space="0" w:color="auto"/>
                        <w:bottom w:val="single" w:sz="4" w:space="0" w:color="auto"/>
                      </w:tcBorders>
                      <w:shd w:val="clear" w:color="auto" w:fill="E6E6E6"/>
                    </w:tcPr>
                    <w:p w:rsidR="007F3ED6" w:rsidRPr="009D7CBD" w:rsidRDefault="007F3ED6" w:rsidP="00326326">
                      <w:pPr>
                        <w:keepNext/>
                        <w:autoSpaceDE w:val="0"/>
                        <w:autoSpaceDN w:val="0"/>
                        <w:adjustRightInd w:val="0"/>
                        <w:spacing w:before="40" w:line="160" w:lineRule="exact"/>
                        <w:jc w:val="righ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-83</w:t>
                      </w:r>
                    </w:p>
                  </w:tc>
                  <w:tc>
                    <w:tcPr>
                      <w:tcW w:w="875" w:type="dxa"/>
                      <w:tcBorders>
                        <w:top w:val="single" w:sz="4" w:space="0" w:color="auto"/>
                        <w:bottom w:val="single" w:sz="4" w:space="0" w:color="auto"/>
                        <w:right w:val="nil"/>
                      </w:tcBorders>
                      <w:shd w:val="clear" w:color="auto" w:fill="E6E6E6"/>
                    </w:tcPr>
                    <w:p w:rsidR="007F3ED6" w:rsidRPr="009D7CBD" w:rsidRDefault="007F3ED6" w:rsidP="00326326">
                      <w:pPr>
                        <w:keepNext/>
                        <w:autoSpaceDE w:val="0"/>
                        <w:autoSpaceDN w:val="0"/>
                        <w:adjustRightInd w:val="0"/>
                        <w:spacing w:before="40" w:line="160" w:lineRule="exact"/>
                        <w:jc w:val="right"/>
                        <w:rPr>
                          <w:rFonts w:ascii="Arial Narrow" w:hAnsi="Arial Narrow"/>
                          <w:b/>
                          <w:bCs/>
                          <w:color w:val="000000"/>
                          <w:sz w:val="14"/>
                          <w:szCs w:val="14"/>
                          <w:lang w:val="en-GB" w:eastAsia="en-GB"/>
                        </w:rPr>
                      </w:pPr>
                      <w:r w:rsidRPr="009D7CBD">
                        <w:rPr>
                          <w:rFonts w:ascii="Arial Narrow" w:hAnsi="Arial Narrow"/>
                          <w:b/>
                          <w:bCs/>
                          <w:color w:val="000000"/>
                          <w:sz w:val="14"/>
                          <w:szCs w:val="14"/>
                          <w:lang w:val="en-GB" w:eastAsia="en-GB"/>
                        </w:rPr>
                        <w:t>42</w:t>
                      </w:r>
                    </w:p>
                  </w:tc>
                </w:tr>
              </w:tbl>
              <w:p w:rsidR="007F3ED6" w:rsidRDefault="007F3ED6" w:rsidP="00326326">
                <w:pPr>
                  <w:pStyle w:val="CIRMaster"/>
                  <w:spacing w:line="14" w:lineRule="auto"/>
                </w:pPr>
                <w:r>
                  <w:fldChar w:fldCharType="end"/>
                </w:r>
              </w:p>
            </w:tc>
          </w:tr>
          <w:tr w:rsidR="007F3ED6" w:rsidTr="00326326">
            <w:trPr>
              <w:cantSplit/>
            </w:trPr>
            <w:tc>
              <w:tcPr>
                <w:tcW w:w="10220" w:type="dxa"/>
              </w:tcPr>
              <w:p w:rsidR="007F3ED6" w:rsidRDefault="007F3ED6" w:rsidP="00326326">
                <w:pPr>
                  <w:pStyle w:val="CIRSourceNote"/>
                </w:pPr>
                <w:r>
                  <w:t>Source: Company data, Citi Research estimates</w:t>
                </w:r>
              </w:p>
            </w:tc>
          </w:tr>
        </w:tbl>
        <w:p w:rsidR="007F3ED6" w:rsidRDefault="007F3ED6" w:rsidP="007F3ED6">
          <w:pPr>
            <w:pStyle w:val="CIRBodyText"/>
            <w:rPr>
              <w:lang w:val="en-GB"/>
            </w:rPr>
          </w:pPr>
        </w:p>
        <w:p w:rsidR="007F3ED6" w:rsidRDefault="007F3ED6" w:rsidP="007F3ED6">
          <w:pPr>
            <w:pStyle w:val="CIRBodyText"/>
            <w:rPr>
              <w:lang w:val="en-GB"/>
            </w:rPr>
          </w:pPr>
          <w:r>
            <w:rPr>
              <w:lang w:val="en-GB"/>
            </w:rPr>
            <w:br w:type="page"/>
          </w:r>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10220" w:type="dxa"/>
              </w:tcPr>
              <w:p w:rsidR="007F3ED6" w:rsidRDefault="007F3ED6" w:rsidP="00326326">
                <w:pPr>
                  <w:pStyle w:val="CIRCaption"/>
                  <w:pageBreakBefore/>
                </w:pPr>
                <w:r>
                  <w:t xml:space="preserve">Figure </w:t>
                </w:r>
                <w:fldSimple w:instr=" SEQ Figure \* ARABIC ">
                  <w:r>
                    <w:rPr>
                      <w:noProof/>
                    </w:rPr>
                    <w:t>61</w:t>
                  </w:r>
                </w:fldSimple>
                <w:r>
                  <w:t>. GN Store Nord Annual Balance Sheet</w:t>
                </w:r>
              </w:p>
            </w:tc>
          </w:tr>
          <w:tr w:rsidR="007F3ED6" w:rsidTr="00326326">
            <w:trPr>
              <w:trHeight w:val="160"/>
            </w:trPr>
            <w:tc>
              <w:tcPr>
                <w:tcW w:w="10220" w:type="dxa"/>
              </w:tcPr>
              <w:p w:rsidR="007F3ED6" w:rsidRDefault="007F3ED6" w:rsidP="00326326">
                <w:pPr>
                  <w:pStyle w:val="CIRMaster"/>
                  <w:spacing w:before="20" w:line="14" w:lineRule="auto"/>
                  <w:rPr>
                    <w:rFonts w:asciiTheme="minorHAnsi" w:eastAsiaTheme="minorHAnsi" w:hAnsiTheme="minorHAnsi" w:cstheme="minorBidi"/>
                    <w:kern w:val="0"/>
                    <w:sz w:val="22"/>
                    <w:szCs w:val="22"/>
                  </w:rPr>
                </w:pPr>
                <w:r>
                  <w:fldChar w:fldCharType="begin" w:fldLock="1"/>
                </w:r>
                <w:r>
                  <w:instrText xml:space="preserve"> LINK Excel.SheetMacroEnabled.12 "\\\\ldnvnaseqr0006\\eqr_erpharma\\MEDTECH\\Models\\Live Models\\GN Store Nord model (Citi).xlsm" "Balance Sheet!R2C1:R52C15" \f 4 \r  \* MERGEFORMAT</w:instrText>
                </w:r>
                <w:r>
                  <w:fldChar w:fldCharType="separate"/>
                </w:r>
              </w:p>
              <w:tbl>
                <w:tblPr>
                  <w:tblW w:w="10220" w:type="dxa"/>
                  <w:tblLayout w:type="fixed"/>
                  <w:tblCellMar>
                    <w:left w:w="0" w:type="dxa"/>
                    <w:right w:w="36" w:type="dxa"/>
                  </w:tblCellMar>
                  <w:tblLook w:val="0000" w:firstRow="0" w:lastRow="0" w:firstColumn="0" w:lastColumn="0" w:noHBand="0" w:noVBand="0"/>
                </w:tblPr>
                <w:tblGrid>
                  <w:gridCol w:w="4095"/>
                  <w:gridCol w:w="875"/>
                  <w:gridCol w:w="875"/>
                  <w:gridCol w:w="875"/>
                  <w:gridCol w:w="875"/>
                  <w:gridCol w:w="875"/>
                  <w:gridCol w:w="875"/>
                  <w:gridCol w:w="875"/>
                </w:tblGrid>
                <w:tr w:rsidR="007F3ED6" w:rsidRPr="00C9320F" w:rsidTr="00326326">
                  <w:tc>
                    <w:tcPr>
                      <w:tcW w:w="4095" w:type="dxa"/>
                      <w:shd w:val="clear" w:color="auto" w:fill="002D72"/>
                    </w:tcPr>
                    <w:p w:rsidR="007F3ED6" w:rsidRPr="00C9320F" w:rsidRDefault="007F3ED6" w:rsidP="00326326">
                      <w:pPr>
                        <w:keepNext/>
                        <w:autoSpaceDE w:val="0"/>
                        <w:autoSpaceDN w:val="0"/>
                        <w:adjustRightInd w:val="0"/>
                        <w:spacing w:before="20" w:line="160" w:lineRule="exac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DKrmn</w:t>
                      </w:r>
                    </w:p>
                  </w:tc>
                  <w:tc>
                    <w:tcPr>
                      <w:tcW w:w="875" w:type="dxa"/>
                      <w:shd w:val="clear" w:color="auto" w:fill="002D72"/>
                    </w:tcPr>
                    <w:p w:rsidR="007F3ED6" w:rsidRPr="00C9320F" w:rsidRDefault="007F3ED6" w:rsidP="00326326">
                      <w:pPr>
                        <w:keepNext/>
                        <w:autoSpaceDE w:val="0"/>
                        <w:autoSpaceDN w:val="0"/>
                        <w:adjustRightInd w:val="0"/>
                        <w:spacing w:before="20" w:line="160" w:lineRule="exact"/>
                        <w:jc w:val="righ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2011</w:t>
                      </w:r>
                    </w:p>
                  </w:tc>
                  <w:tc>
                    <w:tcPr>
                      <w:tcW w:w="875" w:type="dxa"/>
                      <w:shd w:val="clear" w:color="auto" w:fill="002D72"/>
                    </w:tcPr>
                    <w:p w:rsidR="007F3ED6" w:rsidRPr="00C9320F" w:rsidRDefault="007F3ED6" w:rsidP="00326326">
                      <w:pPr>
                        <w:keepNext/>
                        <w:autoSpaceDE w:val="0"/>
                        <w:autoSpaceDN w:val="0"/>
                        <w:adjustRightInd w:val="0"/>
                        <w:spacing w:before="20" w:line="160" w:lineRule="exact"/>
                        <w:jc w:val="righ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2012</w:t>
                      </w:r>
                    </w:p>
                  </w:tc>
                  <w:tc>
                    <w:tcPr>
                      <w:tcW w:w="875" w:type="dxa"/>
                      <w:tcBorders>
                        <w:right w:val="dashSmallGap" w:sz="6" w:space="0" w:color="auto"/>
                      </w:tcBorders>
                      <w:shd w:val="clear" w:color="auto" w:fill="002D72"/>
                    </w:tcPr>
                    <w:p w:rsidR="007F3ED6" w:rsidRPr="00C9320F" w:rsidRDefault="007F3ED6" w:rsidP="00326326">
                      <w:pPr>
                        <w:keepNext/>
                        <w:autoSpaceDE w:val="0"/>
                        <w:autoSpaceDN w:val="0"/>
                        <w:adjustRightInd w:val="0"/>
                        <w:spacing w:before="20" w:line="160" w:lineRule="exact"/>
                        <w:jc w:val="righ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2013</w:t>
                      </w:r>
                    </w:p>
                  </w:tc>
                  <w:tc>
                    <w:tcPr>
                      <w:tcW w:w="875" w:type="dxa"/>
                      <w:tcBorders>
                        <w:left w:val="dashSmallGap" w:sz="6" w:space="0" w:color="auto"/>
                      </w:tcBorders>
                      <w:shd w:val="clear" w:color="auto" w:fill="002D72"/>
                    </w:tcPr>
                    <w:p w:rsidR="007F3ED6" w:rsidRPr="00C9320F" w:rsidRDefault="007F3ED6" w:rsidP="00326326">
                      <w:pPr>
                        <w:keepNext/>
                        <w:autoSpaceDE w:val="0"/>
                        <w:autoSpaceDN w:val="0"/>
                        <w:adjustRightInd w:val="0"/>
                        <w:spacing w:before="20" w:line="160" w:lineRule="exact"/>
                        <w:jc w:val="righ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2014E</w:t>
                      </w:r>
                    </w:p>
                  </w:tc>
                  <w:tc>
                    <w:tcPr>
                      <w:tcW w:w="875" w:type="dxa"/>
                      <w:shd w:val="clear" w:color="auto" w:fill="002D72"/>
                    </w:tcPr>
                    <w:p w:rsidR="007F3ED6" w:rsidRPr="00C9320F" w:rsidRDefault="007F3ED6" w:rsidP="00326326">
                      <w:pPr>
                        <w:keepNext/>
                        <w:autoSpaceDE w:val="0"/>
                        <w:autoSpaceDN w:val="0"/>
                        <w:adjustRightInd w:val="0"/>
                        <w:spacing w:before="20" w:line="160" w:lineRule="exact"/>
                        <w:jc w:val="righ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2015E</w:t>
                      </w:r>
                    </w:p>
                  </w:tc>
                  <w:tc>
                    <w:tcPr>
                      <w:tcW w:w="875" w:type="dxa"/>
                      <w:shd w:val="clear" w:color="auto" w:fill="002D72"/>
                    </w:tcPr>
                    <w:p w:rsidR="007F3ED6" w:rsidRPr="00C9320F" w:rsidRDefault="007F3ED6" w:rsidP="00326326">
                      <w:pPr>
                        <w:keepNext/>
                        <w:autoSpaceDE w:val="0"/>
                        <w:autoSpaceDN w:val="0"/>
                        <w:adjustRightInd w:val="0"/>
                        <w:spacing w:before="20" w:line="160" w:lineRule="exact"/>
                        <w:jc w:val="righ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2016E</w:t>
                      </w:r>
                    </w:p>
                  </w:tc>
                  <w:tc>
                    <w:tcPr>
                      <w:tcW w:w="875" w:type="dxa"/>
                      <w:shd w:val="clear" w:color="auto" w:fill="002D72"/>
                    </w:tcPr>
                    <w:p w:rsidR="007F3ED6" w:rsidRPr="00C9320F" w:rsidRDefault="007F3ED6" w:rsidP="00326326">
                      <w:pPr>
                        <w:keepNext/>
                        <w:autoSpaceDE w:val="0"/>
                        <w:autoSpaceDN w:val="0"/>
                        <w:adjustRightInd w:val="0"/>
                        <w:spacing w:before="20" w:line="160" w:lineRule="exact"/>
                        <w:jc w:val="right"/>
                        <w:rPr>
                          <w:rFonts w:ascii="Arial Narrow" w:hAnsi="Arial Narrow"/>
                          <w:b/>
                          <w:bCs/>
                          <w:color w:val="FFFFFF"/>
                          <w:sz w:val="14"/>
                          <w:szCs w:val="14"/>
                          <w:lang w:val="en-GB" w:eastAsia="en-GB"/>
                        </w:rPr>
                      </w:pPr>
                      <w:r w:rsidRPr="00C9320F">
                        <w:rPr>
                          <w:rFonts w:ascii="Arial Narrow" w:hAnsi="Arial Narrow"/>
                          <w:b/>
                          <w:bCs/>
                          <w:color w:val="FFFFFF"/>
                          <w:sz w:val="14"/>
                          <w:szCs w:val="14"/>
                          <w:lang w:val="en-GB" w:eastAsia="en-GB"/>
                        </w:rPr>
                        <w:t>2017E</w:t>
                      </w:r>
                    </w:p>
                  </w:tc>
                </w:tr>
                <w:tr w:rsidR="007F3ED6" w:rsidRPr="00C9320F" w:rsidTr="00326326">
                  <w:tc>
                    <w:tcPr>
                      <w:tcW w:w="4095" w:type="dxa"/>
                      <w:tcBorders>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Assets</w:t>
                      </w:r>
                    </w:p>
                  </w:tc>
                  <w:tc>
                    <w:tcPr>
                      <w:tcW w:w="875" w:type="dxa"/>
                      <w:tcBorders>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c>
                    <w:tcPr>
                      <w:tcW w:w="875" w:type="dxa"/>
                      <w:tcBorders>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c>
                    <w:tcPr>
                      <w:tcW w:w="875" w:type="dxa"/>
                      <w:tcBorders>
                        <w:left w:val="nil"/>
                        <w:bottom w:val="single" w:sz="6" w:space="0" w:color="auto"/>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c>
                    <w:tcPr>
                      <w:tcW w:w="875" w:type="dxa"/>
                      <w:tcBorders>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c>
                    <w:tcPr>
                      <w:tcW w:w="875" w:type="dxa"/>
                      <w:tcBorders>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c>
                    <w:tcPr>
                      <w:tcW w:w="875" w:type="dxa"/>
                      <w:tcBorders>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c>
                    <w:tcPr>
                      <w:tcW w:w="875" w:type="dxa"/>
                      <w:tcBorders>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r>
                <w:tr w:rsidR="007F3ED6" w:rsidRPr="00C9320F" w:rsidTr="00326326">
                  <w:tc>
                    <w:tcPr>
                      <w:tcW w:w="4095" w:type="dxa"/>
                      <w:tcBorders>
                        <w:top w:val="single" w:sz="6" w:space="0" w:color="auto"/>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Property, plant &amp; equipment</w:t>
                      </w:r>
                    </w:p>
                  </w:tc>
                  <w:tc>
                    <w:tcPr>
                      <w:tcW w:w="875" w:type="dxa"/>
                      <w:tcBorders>
                        <w:top w:val="single" w:sz="6" w:space="0" w:color="auto"/>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262</w:t>
                      </w:r>
                    </w:p>
                  </w:tc>
                  <w:tc>
                    <w:tcPr>
                      <w:tcW w:w="875" w:type="dxa"/>
                      <w:tcBorders>
                        <w:top w:val="single" w:sz="6" w:space="0" w:color="auto"/>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254</w:t>
                      </w:r>
                    </w:p>
                  </w:tc>
                  <w:tc>
                    <w:tcPr>
                      <w:tcW w:w="875" w:type="dxa"/>
                      <w:tcBorders>
                        <w:top w:val="single" w:sz="6" w:space="0" w:color="auto"/>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465</w:t>
                      </w:r>
                    </w:p>
                  </w:tc>
                  <w:tc>
                    <w:tcPr>
                      <w:tcW w:w="875" w:type="dxa"/>
                      <w:tcBorders>
                        <w:top w:val="single" w:sz="6" w:space="0" w:color="auto"/>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424</w:t>
                      </w:r>
                    </w:p>
                  </w:tc>
                  <w:tc>
                    <w:tcPr>
                      <w:tcW w:w="875" w:type="dxa"/>
                      <w:tcBorders>
                        <w:top w:val="single" w:sz="6" w:space="0" w:color="auto"/>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440</w:t>
                      </w:r>
                    </w:p>
                  </w:tc>
                  <w:tc>
                    <w:tcPr>
                      <w:tcW w:w="875" w:type="dxa"/>
                      <w:tcBorders>
                        <w:top w:val="single" w:sz="6" w:space="0" w:color="auto"/>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464</w:t>
                      </w:r>
                    </w:p>
                  </w:tc>
                  <w:tc>
                    <w:tcPr>
                      <w:tcW w:w="875" w:type="dxa"/>
                      <w:tcBorders>
                        <w:top w:val="single" w:sz="6" w:space="0" w:color="auto"/>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492</w:t>
                      </w:r>
                    </w:p>
                  </w:tc>
                </w:tr>
                <w:tr w:rsidR="007F3ED6" w:rsidRPr="00C9320F" w:rsidTr="00326326">
                  <w:tc>
                    <w:tcPr>
                      <w:tcW w:w="4095" w:type="dxa"/>
                      <w:tcBorders>
                        <w:top w:val="single" w:sz="6" w:space="0" w:color="auto"/>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 xml:space="preserve">Goodwill </w:t>
                      </w:r>
                    </w:p>
                  </w:tc>
                  <w:tc>
                    <w:tcPr>
                      <w:tcW w:w="875" w:type="dxa"/>
                      <w:tcBorders>
                        <w:top w:val="single" w:sz="6" w:space="0" w:color="auto"/>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3,048</w:t>
                      </w:r>
                    </w:p>
                  </w:tc>
                  <w:tc>
                    <w:tcPr>
                      <w:tcW w:w="875" w:type="dxa"/>
                      <w:tcBorders>
                        <w:top w:val="single" w:sz="6" w:space="0" w:color="auto"/>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2,960</w:t>
                      </w:r>
                    </w:p>
                  </w:tc>
                  <w:tc>
                    <w:tcPr>
                      <w:tcW w:w="875" w:type="dxa"/>
                      <w:tcBorders>
                        <w:top w:val="single" w:sz="6" w:space="0" w:color="auto"/>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2,974</w:t>
                      </w:r>
                    </w:p>
                  </w:tc>
                  <w:tc>
                    <w:tcPr>
                      <w:tcW w:w="875" w:type="dxa"/>
                      <w:tcBorders>
                        <w:top w:val="single" w:sz="6" w:space="0" w:color="auto"/>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2,985</w:t>
                      </w:r>
                    </w:p>
                  </w:tc>
                  <w:tc>
                    <w:tcPr>
                      <w:tcW w:w="875" w:type="dxa"/>
                      <w:tcBorders>
                        <w:top w:val="single" w:sz="6" w:space="0" w:color="auto"/>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2,985</w:t>
                      </w:r>
                    </w:p>
                  </w:tc>
                  <w:tc>
                    <w:tcPr>
                      <w:tcW w:w="875" w:type="dxa"/>
                      <w:tcBorders>
                        <w:top w:val="single" w:sz="6" w:space="0" w:color="auto"/>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2,985</w:t>
                      </w:r>
                    </w:p>
                  </w:tc>
                  <w:tc>
                    <w:tcPr>
                      <w:tcW w:w="875" w:type="dxa"/>
                      <w:tcBorders>
                        <w:top w:val="single" w:sz="6" w:space="0" w:color="auto"/>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2,985</w:t>
                      </w:r>
                    </w:p>
                  </w:tc>
                </w:tr>
                <w:tr w:rsidR="007F3ED6" w:rsidRPr="00C9320F" w:rsidTr="00326326">
                  <w:tc>
                    <w:tcPr>
                      <w:tcW w:w="4095" w:type="dxa"/>
                      <w:tcBorders>
                        <w:top w:val="nil"/>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Other Intangibles</w:t>
                      </w:r>
                    </w:p>
                  </w:tc>
                  <w:tc>
                    <w:tcPr>
                      <w:tcW w:w="875" w:type="dxa"/>
                      <w:tcBorders>
                        <w:top w:val="nil"/>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1,200</w:t>
                      </w:r>
                    </w:p>
                  </w:tc>
                  <w:tc>
                    <w:tcPr>
                      <w:tcW w:w="875" w:type="dxa"/>
                      <w:tcBorders>
                        <w:top w:val="nil"/>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1,274</w:t>
                      </w:r>
                    </w:p>
                  </w:tc>
                  <w:tc>
                    <w:tcPr>
                      <w:tcW w:w="875" w:type="dxa"/>
                      <w:tcBorders>
                        <w:top w:val="nil"/>
                        <w:left w:val="nil"/>
                        <w:bottom w:val="single" w:sz="6" w:space="0" w:color="auto"/>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1,512</w:t>
                      </w:r>
                    </w:p>
                  </w:tc>
                  <w:tc>
                    <w:tcPr>
                      <w:tcW w:w="875" w:type="dxa"/>
                      <w:tcBorders>
                        <w:top w:val="nil"/>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1,658</w:t>
                      </w:r>
                    </w:p>
                  </w:tc>
                  <w:tc>
                    <w:tcPr>
                      <w:tcW w:w="875" w:type="dxa"/>
                      <w:tcBorders>
                        <w:top w:val="nil"/>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1,749</w:t>
                      </w:r>
                    </w:p>
                  </w:tc>
                  <w:tc>
                    <w:tcPr>
                      <w:tcW w:w="875" w:type="dxa"/>
                      <w:tcBorders>
                        <w:top w:val="nil"/>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1,820</w:t>
                      </w:r>
                    </w:p>
                  </w:tc>
                  <w:tc>
                    <w:tcPr>
                      <w:tcW w:w="875" w:type="dxa"/>
                      <w:tcBorders>
                        <w:top w:val="nil"/>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1,868</w:t>
                      </w:r>
                    </w:p>
                  </w:tc>
                </w:tr>
                <w:tr w:rsidR="007F3ED6" w:rsidRPr="00C9320F" w:rsidTr="00326326">
                  <w:tc>
                    <w:tcPr>
                      <w:tcW w:w="4095" w:type="dxa"/>
                      <w:tcBorders>
                        <w:top w:val="nil"/>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Total Intangible Assets</w:t>
                      </w:r>
                    </w:p>
                  </w:tc>
                  <w:tc>
                    <w:tcPr>
                      <w:tcW w:w="875" w:type="dxa"/>
                      <w:tcBorders>
                        <w:top w:val="nil"/>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4,248</w:t>
                      </w:r>
                    </w:p>
                  </w:tc>
                  <w:tc>
                    <w:tcPr>
                      <w:tcW w:w="875" w:type="dxa"/>
                      <w:tcBorders>
                        <w:top w:val="nil"/>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4,234</w:t>
                      </w:r>
                    </w:p>
                  </w:tc>
                  <w:tc>
                    <w:tcPr>
                      <w:tcW w:w="875" w:type="dxa"/>
                      <w:tcBorders>
                        <w:top w:val="nil"/>
                        <w:left w:val="nil"/>
                        <w:bottom w:val="single" w:sz="6" w:space="0" w:color="auto"/>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4,486</w:t>
                      </w:r>
                    </w:p>
                  </w:tc>
                  <w:tc>
                    <w:tcPr>
                      <w:tcW w:w="875" w:type="dxa"/>
                      <w:tcBorders>
                        <w:top w:val="nil"/>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4,643</w:t>
                      </w:r>
                    </w:p>
                  </w:tc>
                  <w:tc>
                    <w:tcPr>
                      <w:tcW w:w="875" w:type="dxa"/>
                      <w:tcBorders>
                        <w:top w:val="nil"/>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4,734</w:t>
                      </w:r>
                    </w:p>
                  </w:tc>
                  <w:tc>
                    <w:tcPr>
                      <w:tcW w:w="875" w:type="dxa"/>
                      <w:tcBorders>
                        <w:top w:val="nil"/>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4,805</w:t>
                      </w:r>
                    </w:p>
                  </w:tc>
                  <w:tc>
                    <w:tcPr>
                      <w:tcW w:w="875" w:type="dxa"/>
                      <w:tcBorders>
                        <w:top w:val="nil"/>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4,853</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Investment in associates</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Other securities</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175</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Deferred tax assets</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569</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563</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502</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502</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502</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502</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502</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Other non-current assets</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670</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826</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1,048</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1,198</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1,298</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1,398</w:t>
                      </w:r>
                    </w:p>
                  </w:tc>
                </w:tr>
                <w:tr w:rsidR="007F3ED6" w:rsidRPr="00C9320F" w:rsidTr="00326326">
                  <w:tc>
                    <w:tcPr>
                      <w:tcW w:w="409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Non-current Assets</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5,272</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5,738</w:t>
                      </w:r>
                    </w:p>
                  </w:tc>
                  <w:tc>
                    <w:tcPr>
                      <w:tcW w:w="875" w:type="dxa"/>
                      <w:tcBorders>
                        <w:top w:val="single" w:sz="6" w:space="0" w:color="auto"/>
                        <w:left w:val="nil"/>
                        <w:bottom w:val="single" w:sz="6" w:space="0" w:color="auto"/>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6,296</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6,634</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6,892</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7,086</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7,262</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Inventories</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549</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471</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592</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622</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696</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763</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826</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Trade Receivables</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1,269</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1,349</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1,520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1,626</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1,823</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1,997</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2,154</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Tax receivables</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13</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34</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90</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Prepayments</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178</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Other receivables</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3,517</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214</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302</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302</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302</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302</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302</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Cash and cash equivalents</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229</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169</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163</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326</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325</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242</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284</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Assets held for sale</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154</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224</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r>
                <w:tr w:rsidR="007F3ED6" w:rsidRPr="00C9320F" w:rsidTr="00326326">
                  <w:tc>
                    <w:tcPr>
                      <w:tcW w:w="409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Current Assets</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5,909</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2,461</w:t>
                      </w:r>
                    </w:p>
                  </w:tc>
                  <w:tc>
                    <w:tcPr>
                      <w:tcW w:w="875" w:type="dxa"/>
                      <w:tcBorders>
                        <w:top w:val="single" w:sz="6" w:space="0" w:color="auto"/>
                        <w:left w:val="nil"/>
                        <w:bottom w:val="single" w:sz="6" w:space="0" w:color="auto"/>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2,667</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2,966</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3,236</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3,395</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3,657</w:t>
                      </w:r>
                    </w:p>
                  </w:tc>
                </w:tr>
                <w:tr w:rsidR="007F3ED6" w:rsidRPr="00C9320F" w:rsidTr="00326326">
                  <w:tc>
                    <w:tcPr>
                      <w:tcW w:w="4095" w:type="dxa"/>
                      <w:tcBorders>
                        <w:top w:val="nil"/>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Total Assets</w:t>
                      </w:r>
                    </w:p>
                  </w:tc>
                  <w:tc>
                    <w:tcPr>
                      <w:tcW w:w="875" w:type="dxa"/>
                      <w:tcBorders>
                        <w:top w:val="nil"/>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11,181</w:t>
                      </w:r>
                    </w:p>
                  </w:tc>
                  <w:tc>
                    <w:tcPr>
                      <w:tcW w:w="875" w:type="dxa"/>
                      <w:tcBorders>
                        <w:top w:val="nil"/>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8,199</w:t>
                      </w:r>
                    </w:p>
                  </w:tc>
                  <w:tc>
                    <w:tcPr>
                      <w:tcW w:w="875" w:type="dxa"/>
                      <w:tcBorders>
                        <w:top w:val="nil"/>
                        <w:left w:val="nil"/>
                        <w:bottom w:val="single" w:sz="6" w:space="0" w:color="auto"/>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8,963</w:t>
                      </w:r>
                    </w:p>
                  </w:tc>
                  <w:tc>
                    <w:tcPr>
                      <w:tcW w:w="875" w:type="dxa"/>
                      <w:tcBorders>
                        <w:top w:val="nil"/>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9,601</w:t>
                      </w:r>
                    </w:p>
                  </w:tc>
                  <w:tc>
                    <w:tcPr>
                      <w:tcW w:w="875" w:type="dxa"/>
                      <w:tcBorders>
                        <w:top w:val="nil"/>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10,128</w:t>
                      </w:r>
                    </w:p>
                  </w:tc>
                  <w:tc>
                    <w:tcPr>
                      <w:tcW w:w="875" w:type="dxa"/>
                      <w:tcBorders>
                        <w:top w:val="nil"/>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10,481</w:t>
                      </w:r>
                    </w:p>
                  </w:tc>
                  <w:tc>
                    <w:tcPr>
                      <w:tcW w:w="875" w:type="dxa"/>
                      <w:tcBorders>
                        <w:top w:val="nil"/>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10,919</w:t>
                      </w:r>
                    </w:p>
                  </w:tc>
                </w:tr>
                <w:tr w:rsidR="007F3ED6" w:rsidRPr="00C9320F" w:rsidTr="00326326">
                  <w:tc>
                    <w:tcPr>
                      <w:tcW w:w="4095" w:type="dxa"/>
                      <w:tcBorders>
                        <w:top w:val="nil"/>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color w:val="000000"/>
                          <w:sz w:val="14"/>
                          <w:szCs w:val="14"/>
                          <w:lang w:val="en-GB" w:eastAsia="en-GB"/>
                        </w:rPr>
                      </w:pPr>
                    </w:p>
                  </w:tc>
                  <w:tc>
                    <w:tcPr>
                      <w:tcW w:w="875" w:type="dxa"/>
                      <w:tcBorders>
                        <w:top w:val="nil"/>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p>
                  </w:tc>
                  <w:tc>
                    <w:tcPr>
                      <w:tcW w:w="875" w:type="dxa"/>
                      <w:tcBorders>
                        <w:top w:val="nil"/>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p>
                  </w:tc>
                  <w:tc>
                    <w:tcPr>
                      <w:tcW w:w="875" w:type="dxa"/>
                      <w:tcBorders>
                        <w:top w:val="nil"/>
                        <w:left w:val="nil"/>
                        <w:bottom w:val="single" w:sz="6" w:space="0" w:color="auto"/>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p>
                  </w:tc>
                  <w:tc>
                    <w:tcPr>
                      <w:tcW w:w="875" w:type="dxa"/>
                      <w:tcBorders>
                        <w:top w:val="nil"/>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p>
                  </w:tc>
                  <w:tc>
                    <w:tcPr>
                      <w:tcW w:w="875" w:type="dxa"/>
                      <w:tcBorders>
                        <w:top w:val="nil"/>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p>
                  </w:tc>
                  <w:tc>
                    <w:tcPr>
                      <w:tcW w:w="875" w:type="dxa"/>
                      <w:tcBorders>
                        <w:top w:val="nil"/>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p>
                  </w:tc>
                  <w:tc>
                    <w:tcPr>
                      <w:tcW w:w="875" w:type="dxa"/>
                      <w:tcBorders>
                        <w:top w:val="nil"/>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p>
                  </w:tc>
                </w:tr>
                <w:tr w:rsidR="007F3ED6" w:rsidRPr="00C9320F" w:rsidTr="00326326">
                  <w:tc>
                    <w:tcPr>
                      <w:tcW w:w="409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Liabilities</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single" w:sz="6" w:space="0" w:color="auto"/>
                        <w:left w:val="nil"/>
                        <w:bottom w:val="single" w:sz="6" w:space="0" w:color="auto"/>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p>
                  </w:tc>
                </w:tr>
                <w:tr w:rsidR="007F3ED6" w:rsidRPr="00C9320F" w:rsidTr="00326326">
                  <w:tc>
                    <w:tcPr>
                      <w:tcW w:w="4095" w:type="dxa"/>
                      <w:tcBorders>
                        <w:top w:val="single" w:sz="6" w:space="0" w:color="auto"/>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Minority interests</w:t>
                      </w:r>
                    </w:p>
                  </w:tc>
                  <w:tc>
                    <w:tcPr>
                      <w:tcW w:w="875" w:type="dxa"/>
                      <w:tcBorders>
                        <w:top w:val="single" w:sz="6" w:space="0" w:color="auto"/>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single" w:sz="6" w:space="0" w:color="auto"/>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single" w:sz="6" w:space="0" w:color="auto"/>
                        <w:left w:val="nil"/>
                        <w:bottom w:val="nil"/>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single" w:sz="6" w:space="0" w:color="auto"/>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single" w:sz="6" w:space="0" w:color="auto"/>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single" w:sz="6" w:space="0" w:color="auto"/>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single" w:sz="6" w:space="0" w:color="auto"/>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r>
                <w:tr w:rsidR="007F3ED6" w:rsidRPr="00C9320F" w:rsidTr="00326326">
                  <w:tc>
                    <w:tcPr>
                      <w:tcW w:w="409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Share capital</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833</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775</w:t>
                      </w:r>
                    </w:p>
                  </w:tc>
                  <w:tc>
                    <w:tcPr>
                      <w:tcW w:w="875" w:type="dxa"/>
                      <w:tcBorders>
                        <w:top w:val="nil"/>
                        <w:left w:val="nil"/>
                        <w:bottom w:val="nil"/>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693</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693</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693</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693</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693</w:t>
                      </w:r>
                    </w:p>
                  </w:tc>
                </w:tr>
                <w:tr w:rsidR="007F3ED6" w:rsidRPr="00C9320F" w:rsidTr="00326326">
                  <w:tc>
                    <w:tcPr>
                      <w:tcW w:w="409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Other reserves</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906</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-648</w:t>
                      </w:r>
                    </w:p>
                  </w:tc>
                  <w:tc>
                    <w:tcPr>
                      <w:tcW w:w="875" w:type="dxa"/>
                      <w:tcBorders>
                        <w:top w:val="nil"/>
                        <w:left w:val="nil"/>
                        <w:bottom w:val="nil"/>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-1,497</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-2,152</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-3,152</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-4,152</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-5,152</w:t>
                      </w:r>
                    </w:p>
                  </w:tc>
                </w:tr>
                <w:tr w:rsidR="007F3ED6" w:rsidRPr="00C9320F" w:rsidTr="00326326">
                  <w:tc>
                    <w:tcPr>
                      <w:tcW w:w="409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Proposed dividends for the year</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57</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94</w:t>
                      </w:r>
                    </w:p>
                  </w:tc>
                  <w:tc>
                    <w:tcPr>
                      <w:tcW w:w="875" w:type="dxa"/>
                      <w:tcBorders>
                        <w:top w:val="nil"/>
                        <w:left w:val="nil"/>
                        <w:bottom w:val="nil"/>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146</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166</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206</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252</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294</w:t>
                      </w:r>
                    </w:p>
                  </w:tc>
                </w:tr>
                <w:tr w:rsidR="007F3ED6" w:rsidRPr="00C9320F" w:rsidTr="00326326">
                  <w:tc>
                    <w:tcPr>
                      <w:tcW w:w="409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FX adjustments</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0</w:t>
                      </w:r>
                    </w:p>
                  </w:tc>
                  <w:tc>
                    <w:tcPr>
                      <w:tcW w:w="875" w:type="dxa"/>
                      <w:tcBorders>
                        <w:top w:val="nil"/>
                        <w:left w:val="nil"/>
                        <w:bottom w:val="nil"/>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p>
                  </w:tc>
                </w:tr>
                <w:tr w:rsidR="007F3ED6" w:rsidRPr="00C9320F" w:rsidTr="00326326">
                  <w:tc>
                    <w:tcPr>
                      <w:tcW w:w="409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Retained earnings</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5,082</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5,321</w:t>
                      </w:r>
                    </w:p>
                  </w:tc>
                  <w:tc>
                    <w:tcPr>
                      <w:tcW w:w="875" w:type="dxa"/>
                      <w:tcBorders>
                        <w:top w:val="nil"/>
                        <w:left w:val="nil"/>
                        <w:bottom w:val="nil"/>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5,988</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6,617</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7,439</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8,388</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9,432</w:t>
                      </w:r>
                    </w:p>
                  </w:tc>
                </w:tr>
                <w:tr w:rsidR="007F3ED6" w:rsidRPr="00C9320F" w:rsidTr="00326326">
                  <w:tc>
                    <w:tcPr>
                      <w:tcW w:w="409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Shareholder's equity</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6,878</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5,542</w:t>
                      </w:r>
                    </w:p>
                  </w:tc>
                  <w:tc>
                    <w:tcPr>
                      <w:tcW w:w="875" w:type="dxa"/>
                      <w:tcBorders>
                        <w:top w:val="single" w:sz="6" w:space="0" w:color="auto"/>
                        <w:left w:val="nil"/>
                        <w:bottom w:val="single" w:sz="6" w:space="0" w:color="auto"/>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5,330</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5,324</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5,186</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5,182</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5,268</w:t>
                      </w:r>
                    </w:p>
                  </w:tc>
                </w:tr>
                <w:tr w:rsidR="007F3ED6" w:rsidRPr="00C9320F" w:rsidTr="00326326">
                  <w:tc>
                    <w:tcPr>
                      <w:tcW w:w="409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Long-term borrowings</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1,374</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276</w:t>
                      </w:r>
                    </w:p>
                  </w:tc>
                  <w:tc>
                    <w:tcPr>
                      <w:tcW w:w="875" w:type="dxa"/>
                      <w:tcBorders>
                        <w:top w:val="nil"/>
                        <w:left w:val="nil"/>
                        <w:bottom w:val="nil"/>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1,216</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1,216</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1,216</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1,216</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1,216</w:t>
                      </w:r>
                    </w:p>
                  </w:tc>
                </w:tr>
                <w:tr w:rsidR="007F3ED6" w:rsidRPr="00C9320F" w:rsidTr="00326326">
                  <w:tc>
                    <w:tcPr>
                      <w:tcW w:w="409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Pension obligations</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110</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100</w:t>
                      </w:r>
                    </w:p>
                  </w:tc>
                  <w:tc>
                    <w:tcPr>
                      <w:tcW w:w="875" w:type="dxa"/>
                      <w:tcBorders>
                        <w:top w:val="nil"/>
                        <w:left w:val="nil"/>
                        <w:bottom w:val="nil"/>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44</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44</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44</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44</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44</w:t>
                      </w:r>
                    </w:p>
                  </w:tc>
                </w:tr>
                <w:tr w:rsidR="007F3ED6" w:rsidRPr="00C9320F" w:rsidTr="00326326">
                  <w:tc>
                    <w:tcPr>
                      <w:tcW w:w="409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Provisions</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130</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152</w:t>
                      </w:r>
                    </w:p>
                  </w:tc>
                  <w:tc>
                    <w:tcPr>
                      <w:tcW w:w="875" w:type="dxa"/>
                      <w:tcBorders>
                        <w:top w:val="nil"/>
                        <w:left w:val="nil"/>
                        <w:bottom w:val="nil"/>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167</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167</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167</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167</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167</w:t>
                      </w:r>
                    </w:p>
                  </w:tc>
                </w:tr>
                <w:tr w:rsidR="007F3ED6" w:rsidRPr="00C9320F" w:rsidTr="00326326">
                  <w:tc>
                    <w:tcPr>
                      <w:tcW w:w="409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Deferred tax liabilities</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825</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373</w:t>
                      </w:r>
                    </w:p>
                  </w:tc>
                  <w:tc>
                    <w:tcPr>
                      <w:tcW w:w="875" w:type="dxa"/>
                      <w:tcBorders>
                        <w:top w:val="nil"/>
                        <w:left w:val="nil"/>
                        <w:bottom w:val="nil"/>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403</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403</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403</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403</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403</w:t>
                      </w:r>
                    </w:p>
                  </w:tc>
                </w:tr>
                <w:tr w:rsidR="007F3ED6" w:rsidRPr="00C9320F" w:rsidTr="00326326">
                  <w:tc>
                    <w:tcPr>
                      <w:tcW w:w="409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Other non-current liabilities</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59</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185</w:t>
                      </w:r>
                    </w:p>
                  </w:tc>
                  <w:tc>
                    <w:tcPr>
                      <w:tcW w:w="875" w:type="dxa"/>
                      <w:tcBorders>
                        <w:top w:val="nil"/>
                        <w:left w:val="nil"/>
                        <w:bottom w:val="nil"/>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209</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209</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209</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209</w:t>
                      </w:r>
                    </w:p>
                  </w:tc>
                  <w:tc>
                    <w:tcPr>
                      <w:tcW w:w="875" w:type="dxa"/>
                      <w:tcBorders>
                        <w:top w:val="nil"/>
                        <w:left w:val="nil"/>
                        <w:bottom w:val="nil"/>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209</w:t>
                      </w:r>
                    </w:p>
                  </w:tc>
                </w:tr>
                <w:tr w:rsidR="007F3ED6" w:rsidRPr="00C9320F" w:rsidTr="00326326">
                  <w:tc>
                    <w:tcPr>
                      <w:tcW w:w="409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Long-term liabilities</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2,498</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1,086</w:t>
                      </w:r>
                    </w:p>
                  </w:tc>
                  <w:tc>
                    <w:tcPr>
                      <w:tcW w:w="875" w:type="dxa"/>
                      <w:tcBorders>
                        <w:top w:val="single" w:sz="6" w:space="0" w:color="auto"/>
                        <w:left w:val="nil"/>
                        <w:bottom w:val="single" w:sz="6" w:space="0" w:color="auto"/>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2,039</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2,039</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2,039</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2,039</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2,039</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Short-term borrowings</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124</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123</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60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660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1,260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1,560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1,860</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Trade payables</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486</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485</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493</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537</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602</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659</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711</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Tax payable</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36</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11</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34</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34</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34</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34</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34</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Provisions</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260</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225</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214</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214</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214</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214</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214</w:t>
                      </w:r>
                    </w:p>
                  </w:tc>
                </w:tr>
                <w:tr w:rsidR="007F3ED6" w:rsidRPr="00C9320F" w:rsidTr="00326326">
                  <w:tc>
                    <w:tcPr>
                      <w:tcW w:w="409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rPr>
                          <w:rFonts w:ascii="Arial Narrow" w:hAnsi="Arial Narrow"/>
                          <w:color w:val="000000"/>
                          <w:sz w:val="14"/>
                          <w:szCs w:val="14"/>
                          <w:lang w:val="en-GB" w:eastAsia="en-GB"/>
                        </w:rPr>
                      </w:pPr>
                      <w:r w:rsidRPr="00C9320F">
                        <w:rPr>
                          <w:rFonts w:ascii="Arial Narrow" w:hAnsi="Arial Narrow"/>
                          <w:color w:val="000000"/>
                          <w:sz w:val="14"/>
                          <w:szCs w:val="14"/>
                          <w:lang w:val="en-GB" w:eastAsia="en-GB"/>
                        </w:rPr>
                        <w:t>Other payables</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899</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727</w:t>
                      </w:r>
                    </w:p>
                  </w:tc>
                  <w:tc>
                    <w:tcPr>
                      <w:tcW w:w="875" w:type="dxa"/>
                      <w:tcBorders>
                        <w:top w:val="nil"/>
                        <w:left w:val="nil"/>
                        <w:bottom w:val="nil"/>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793</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793</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793</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793</w:t>
                      </w:r>
                    </w:p>
                  </w:tc>
                  <w:tc>
                    <w:tcPr>
                      <w:tcW w:w="875" w:type="dxa"/>
                      <w:tcBorders>
                        <w:top w:val="nil"/>
                        <w:left w:val="nil"/>
                        <w:bottom w:val="nil"/>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sz w:val="14"/>
                          <w:szCs w:val="14"/>
                          <w:lang w:val="en-GB" w:eastAsia="en-GB"/>
                        </w:rPr>
                      </w:pPr>
                      <w:r w:rsidRPr="00C9320F">
                        <w:rPr>
                          <w:rFonts w:ascii="Arial Narrow" w:hAnsi="Arial Narrow"/>
                          <w:sz w:val="14"/>
                          <w:szCs w:val="14"/>
                          <w:lang w:val="en-GB" w:eastAsia="en-GB"/>
                        </w:rPr>
                        <w:t>793</w:t>
                      </w:r>
                    </w:p>
                  </w:tc>
                </w:tr>
                <w:tr w:rsidR="007F3ED6" w:rsidRPr="00C9320F" w:rsidTr="00326326">
                  <w:tc>
                    <w:tcPr>
                      <w:tcW w:w="409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Current liabilities</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1,805</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1,571</w:t>
                      </w:r>
                    </w:p>
                  </w:tc>
                  <w:tc>
                    <w:tcPr>
                      <w:tcW w:w="875" w:type="dxa"/>
                      <w:tcBorders>
                        <w:top w:val="single" w:sz="6" w:space="0" w:color="auto"/>
                        <w:left w:val="nil"/>
                        <w:bottom w:val="single" w:sz="6" w:space="0" w:color="auto"/>
                        <w:right w:val="dashSmallGap" w:sz="6" w:space="0" w:color="auto"/>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1,594</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2,238</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2,903</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3,260</w:t>
                      </w:r>
                    </w:p>
                  </w:tc>
                  <w:tc>
                    <w:tcPr>
                      <w:tcW w:w="875" w:type="dxa"/>
                      <w:tcBorders>
                        <w:top w:val="single" w:sz="6" w:space="0" w:color="auto"/>
                        <w:left w:val="nil"/>
                        <w:bottom w:val="single" w:sz="6" w:space="0" w:color="auto"/>
                        <w:right w:val="nil"/>
                      </w:tcBorders>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3,612</w:t>
                      </w:r>
                    </w:p>
                  </w:tc>
                </w:tr>
                <w:tr w:rsidR="007F3ED6" w:rsidRPr="00C9320F" w:rsidTr="00326326">
                  <w:tc>
                    <w:tcPr>
                      <w:tcW w:w="409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rPr>
                          <w:rFonts w:ascii="Arial Narrow" w:hAnsi="Arial Narrow"/>
                          <w:b/>
                          <w:bCs/>
                          <w:color w:val="000000"/>
                          <w:sz w:val="14"/>
                          <w:szCs w:val="14"/>
                          <w:lang w:val="en-GB" w:eastAsia="en-GB"/>
                        </w:rPr>
                      </w:pPr>
                      <w:r w:rsidRPr="00C9320F">
                        <w:rPr>
                          <w:rFonts w:ascii="Arial Narrow" w:hAnsi="Arial Narrow"/>
                          <w:b/>
                          <w:bCs/>
                          <w:color w:val="000000"/>
                          <w:sz w:val="14"/>
                          <w:szCs w:val="14"/>
                          <w:lang w:val="en-GB" w:eastAsia="en-GB"/>
                        </w:rPr>
                        <w:t>Total Liabilities</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11,181</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8,199</w:t>
                      </w:r>
                    </w:p>
                  </w:tc>
                  <w:tc>
                    <w:tcPr>
                      <w:tcW w:w="875" w:type="dxa"/>
                      <w:tcBorders>
                        <w:top w:val="single" w:sz="6" w:space="0" w:color="auto"/>
                        <w:left w:val="nil"/>
                        <w:bottom w:val="single" w:sz="6" w:space="0" w:color="auto"/>
                        <w:right w:val="dashSmallGap" w:sz="6" w:space="0" w:color="auto"/>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8,963</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9,601</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10,128</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10,481</w:t>
                      </w:r>
                    </w:p>
                  </w:tc>
                  <w:tc>
                    <w:tcPr>
                      <w:tcW w:w="875" w:type="dxa"/>
                      <w:tcBorders>
                        <w:top w:val="single" w:sz="6" w:space="0" w:color="auto"/>
                        <w:left w:val="nil"/>
                        <w:bottom w:val="single" w:sz="6" w:space="0" w:color="auto"/>
                        <w:right w:val="nil"/>
                      </w:tcBorders>
                      <w:shd w:val="solid" w:color="FFFFFF" w:fill="auto"/>
                    </w:tcPr>
                    <w:p w:rsidR="007F3ED6" w:rsidRPr="00C9320F" w:rsidRDefault="007F3ED6" w:rsidP="00326326">
                      <w:pPr>
                        <w:keepNext/>
                        <w:autoSpaceDE w:val="0"/>
                        <w:autoSpaceDN w:val="0"/>
                        <w:adjustRightInd w:val="0"/>
                        <w:spacing w:before="20" w:line="160" w:lineRule="exact"/>
                        <w:jc w:val="right"/>
                        <w:rPr>
                          <w:rFonts w:ascii="Arial Narrow" w:hAnsi="Arial Narrow"/>
                          <w:b/>
                          <w:bCs/>
                          <w:sz w:val="14"/>
                          <w:szCs w:val="14"/>
                          <w:lang w:val="en-GB" w:eastAsia="en-GB"/>
                        </w:rPr>
                      </w:pPr>
                      <w:r w:rsidRPr="00C9320F">
                        <w:rPr>
                          <w:rFonts w:ascii="Arial Narrow" w:hAnsi="Arial Narrow"/>
                          <w:b/>
                          <w:bCs/>
                          <w:sz w:val="14"/>
                          <w:szCs w:val="14"/>
                          <w:lang w:val="en-GB" w:eastAsia="en-GB"/>
                        </w:rPr>
                        <w:t>10,919</w:t>
                      </w:r>
                    </w:p>
                  </w:tc>
                </w:tr>
              </w:tbl>
              <w:p w:rsidR="007F3ED6" w:rsidRDefault="007F3ED6" w:rsidP="00326326">
                <w:pPr>
                  <w:pStyle w:val="CIRMaster"/>
                  <w:spacing w:before="20" w:line="14" w:lineRule="auto"/>
                </w:pPr>
                <w:r>
                  <w:fldChar w:fldCharType="end"/>
                </w:r>
              </w:p>
            </w:tc>
          </w:tr>
          <w:tr w:rsidR="007F3ED6" w:rsidTr="00326326">
            <w:trPr>
              <w:cantSplit/>
            </w:trPr>
            <w:tc>
              <w:tcPr>
                <w:tcW w:w="10220" w:type="dxa"/>
              </w:tcPr>
              <w:p w:rsidR="007F3ED6" w:rsidRDefault="007F3ED6" w:rsidP="00326326">
                <w:pPr>
                  <w:pStyle w:val="CIRSourceNote"/>
                  <w:spacing w:before="20"/>
                </w:pPr>
                <w:r>
                  <w:t xml:space="preserve">Source: Company data, Citi Research estimates </w:t>
                </w:r>
              </w:p>
            </w:tc>
          </w:tr>
        </w:tbl>
        <w:p w:rsidR="007F3ED6" w:rsidRDefault="007F3ED6" w:rsidP="007F3ED6">
          <w:pPr>
            <w:pStyle w:val="CIRBodyText"/>
            <w:rPr>
              <w:lang w:val="en-GB"/>
            </w:rPr>
          </w:pPr>
        </w:p>
        <w:p w:rsidR="007F3ED6" w:rsidRDefault="007F3ED6" w:rsidP="007F3ED6">
          <w:pPr>
            <w:pStyle w:val="CIRBodyText"/>
            <w:rPr>
              <w:lang w:val="en-GB"/>
            </w:rPr>
          </w:pPr>
          <w:r>
            <w:rPr>
              <w:lang w:val="en-GB"/>
            </w:rPr>
            <w:br w:type="page"/>
          </w:r>
        </w:p>
        <w:p w:rsidR="007F3ED6" w:rsidRDefault="007F3ED6" w:rsidP="007F3ED6">
          <w:pPr>
            <w:pStyle w:val="CIRChapter"/>
            <w:framePr w:wrap="around"/>
            <w:rPr>
              <w:lang w:val="en-GB"/>
            </w:rPr>
          </w:pPr>
          <w:bookmarkStart w:id="97" w:name="_Toc406404000"/>
          <w:bookmarkStart w:id="98" w:name="_Toc406509717"/>
          <w:r>
            <w:rPr>
              <w:lang w:val="en-GB"/>
            </w:rPr>
            <w:t>Appendix</w:t>
          </w:r>
          <w:bookmarkEnd w:id="97"/>
          <w:bookmarkEnd w:id="98"/>
        </w:p>
        <w:p w:rsidR="007F3ED6" w:rsidRDefault="007F3ED6" w:rsidP="007F3ED6">
          <w:pPr>
            <w:pStyle w:val="Heading2"/>
            <w:rPr>
              <w:lang w:val="en-GB"/>
            </w:rPr>
          </w:pPr>
          <w:bookmarkStart w:id="99" w:name="_Toc406404001"/>
          <w:bookmarkStart w:id="100" w:name="_Toc406509718"/>
          <w:r>
            <w:rPr>
              <w:lang w:val="en-GB"/>
            </w:rPr>
            <w:t>Miracle-Ear and Kirkland Signature contract analysis</w:t>
          </w:r>
          <w:bookmarkEnd w:id="99"/>
          <w:bookmarkEnd w:id="100"/>
        </w:p>
        <w:tbl>
          <w:tblPr>
            <w:tblStyle w:val="CIRTable"/>
            <w:tblW w:w="10220" w:type="dxa"/>
            <w:tblInd w:w="-3528" w:type="dxa"/>
            <w:tblLayout w:type="fixed"/>
            <w:tblLook w:val="04A0" w:firstRow="1" w:lastRow="0" w:firstColumn="1" w:lastColumn="0" w:noHBand="0" w:noVBand="1"/>
            <w:tblCaption w:val="EmbedTable"/>
            <w:tblDescription w:val="1|FullPage|0"/>
          </w:tblPr>
          <w:tblGrid>
            <w:gridCol w:w="10220"/>
          </w:tblGrid>
          <w:tr w:rsidR="007F3ED6" w:rsidTr="00326326">
            <w:trPr>
              <w:cnfStyle w:val="100000000000" w:firstRow="1" w:lastRow="0" w:firstColumn="0" w:lastColumn="0" w:oddVBand="0" w:evenVBand="0" w:oddHBand="0" w:evenHBand="0" w:firstRowFirstColumn="0" w:firstRowLastColumn="0" w:lastRowFirstColumn="0" w:lastRowLastColumn="0"/>
            </w:trPr>
            <w:tc>
              <w:tcPr>
                <w:tcW w:w="10220" w:type="dxa"/>
              </w:tcPr>
              <w:p w:rsidR="007F3ED6" w:rsidRDefault="007F3ED6" w:rsidP="00326326">
                <w:pPr>
                  <w:pStyle w:val="CIRCaption"/>
                </w:pPr>
                <w:r>
                  <w:t xml:space="preserve">Figure </w:t>
                </w:r>
                <w:fldSimple w:instr=" SEQ Figure \* ARABIC ">
                  <w:r>
                    <w:rPr>
                      <w:noProof/>
                    </w:rPr>
                    <w:t>62</w:t>
                  </w:r>
                </w:fldSimple>
                <w:r>
                  <w:t xml:space="preserve">. </w:t>
                </w:r>
                <w:r w:rsidRPr="00C004E0">
                  <w:t xml:space="preserve">GN has </w:t>
                </w:r>
                <w:r w:rsidRPr="008034E6">
                  <w:t>c3%</w:t>
                </w:r>
                <w:r>
                  <w:t xml:space="preserve"> </w:t>
                </w:r>
                <w:r w:rsidRPr="008034E6">
                  <w:t>of</w:t>
                </w:r>
                <w:r w:rsidRPr="00C004E0">
                  <w:t xml:space="preserve"> EPS a</w:t>
                </w:r>
                <w:r>
                  <w:t>t risk but only c1% probability-</w:t>
                </w:r>
                <w:r w:rsidRPr="00C004E0">
                  <w:t>weighted</w:t>
                </w:r>
                <w:r>
                  <w:t xml:space="preserve"> </w:t>
                </w:r>
              </w:p>
            </w:tc>
          </w:tr>
          <w:tr w:rsidR="007F3ED6" w:rsidTr="00326326">
            <w:trPr>
              <w:trHeight w:val="160"/>
            </w:trPr>
            <w:tc>
              <w:tcPr>
                <w:tcW w:w="10220" w:type="dxa"/>
              </w:tcPr>
              <w:p w:rsidR="007F3ED6" w:rsidRDefault="007F3ED6" w:rsidP="00326326">
                <w:pPr>
                  <w:pStyle w:val="CIRMaster"/>
                  <w:spacing w:line="14" w:lineRule="auto"/>
                  <w:rPr>
                    <w:rFonts w:asciiTheme="minorHAnsi" w:eastAsiaTheme="minorEastAsia" w:hAnsiTheme="minorHAnsi" w:cstheme="minorBidi"/>
                    <w:kern w:val="0"/>
                    <w:sz w:val="22"/>
                    <w:szCs w:val="22"/>
                    <w:lang w:eastAsia="en-US"/>
                  </w:rPr>
                </w:pPr>
                <w:r>
                  <w:fldChar w:fldCharType="begin" w:fldLock="1"/>
                </w:r>
                <w:r>
                  <w:instrText xml:space="preserve"> LINK Excel.Sheet.12 "\\\\ldnvnaseqr0006\\eqr_erpharma\\MEDTECH\\Market models &amp; data\\Hearing\\Hearing Aid Market Model (Citi).xlsx" "HA market!R120C2:R168C6" \f 4 \r  \* MERGEFORMAT</w:instrText>
                </w:r>
                <w:r>
                  <w:fldChar w:fldCharType="separate"/>
                </w:r>
              </w:p>
              <w:tbl>
                <w:tblPr>
                  <w:tblW w:w="10220" w:type="dxa"/>
                  <w:tblLayout w:type="fixed"/>
                  <w:tblCellMar>
                    <w:left w:w="0" w:type="dxa"/>
                    <w:right w:w="36" w:type="dxa"/>
                  </w:tblCellMar>
                  <w:tblLook w:val="0000" w:firstRow="0" w:lastRow="0" w:firstColumn="0" w:lastColumn="0" w:noHBand="0" w:noVBand="0"/>
                </w:tblPr>
                <w:tblGrid>
                  <w:gridCol w:w="5657"/>
                  <w:gridCol w:w="1000"/>
                  <w:gridCol w:w="1163"/>
                  <w:gridCol w:w="1237"/>
                  <w:gridCol w:w="1163"/>
                </w:tblGrid>
                <w:tr w:rsidR="007F3ED6" w:rsidRPr="00864D2D" w:rsidTr="00326326">
                  <w:tc>
                    <w:tcPr>
                      <w:tcW w:w="1" w:type="dxa"/>
                      <w:gridSpan w:val="4"/>
                      <w:tcBorders>
                        <w:top w:val="nil"/>
                        <w:left w:val="nil"/>
                        <w:bottom w:val="nil"/>
                        <w:right w:val="nil"/>
                      </w:tcBorders>
                      <w:shd w:val="solid" w:color="003366"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FFFFFF"/>
                          <w:sz w:val="16"/>
                          <w:szCs w:val="20"/>
                          <w:lang w:val="en-GB" w:eastAsia="en-GB"/>
                        </w:rPr>
                      </w:pPr>
                      <w:r w:rsidRPr="00864D2D">
                        <w:rPr>
                          <w:rFonts w:ascii="Arial Narrow" w:hAnsi="Arial Narrow" w:cs="Arial"/>
                          <w:b/>
                          <w:bCs/>
                          <w:color w:val="FFFFFF"/>
                          <w:sz w:val="16"/>
                          <w:szCs w:val="20"/>
                          <w:lang w:val="en-GB" w:eastAsia="en-GB"/>
                        </w:rPr>
                        <w:t>Amplifon Miracle-Ear (M-E) contract sensitivity by company (incumbent Siemens)</w:t>
                      </w:r>
                    </w:p>
                  </w:tc>
                  <w:tc>
                    <w:tcPr>
                      <w:tcW w:w="1035" w:type="dxa"/>
                      <w:tcBorders>
                        <w:top w:val="nil"/>
                        <w:left w:val="nil"/>
                        <w:bottom w:val="nil"/>
                        <w:right w:val="nil"/>
                      </w:tcBorders>
                      <w:shd w:val="solid" w:color="003366" w:fill="auto"/>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FFFFFF"/>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Contract assumptions</w:t>
                      </w:r>
                    </w:p>
                  </w:tc>
                  <w:tc>
                    <w:tcPr>
                      <w:tcW w:w="890"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101"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Amplifon units per annum (mn)</w:t>
                      </w:r>
                    </w:p>
                  </w:tc>
                  <w:tc>
                    <w:tcPr>
                      <w:tcW w:w="890" w:type="dxa"/>
                      <w:tcBorders>
                        <w:top w:val="nil"/>
                        <w:left w:val="nil"/>
                        <w:bottom w:val="nil"/>
                        <w:right w:val="nil"/>
                      </w:tcBorders>
                      <w:shd w:val="solid" w:color="FF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0.95</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M-E share within Amplifon</w:t>
                      </w: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16.8%</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M-E contract units per annum (mn)</w:t>
                      </w: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0.16</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Contract ASP (US$)</w:t>
                      </w: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315</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M-E contract value per annum (US$mn)</w:t>
                      </w:r>
                    </w:p>
                  </w:tc>
                  <w:tc>
                    <w:tcPr>
                      <w:tcW w:w="890"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50.4</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Contract EBIT margin (%)</w:t>
                      </w:r>
                    </w:p>
                  </w:tc>
                  <w:tc>
                    <w:tcPr>
                      <w:tcW w:w="890" w:type="dxa"/>
                      <w:tcBorders>
                        <w:top w:val="nil"/>
                        <w:left w:val="nil"/>
                        <w:bottom w:val="nil"/>
                        <w:right w:val="nil"/>
                      </w:tcBorders>
                      <w:shd w:val="solid" w:color="FF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25.0%</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Contract EBIT (US$mn)</w:t>
                      </w:r>
                    </w:p>
                  </w:tc>
                  <w:tc>
                    <w:tcPr>
                      <w:tcW w:w="890"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12.6</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 xml:space="preserve">Contract Tax rate (%) </w:t>
                      </w: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40.0%</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Contract Earnings (US$mn)</w:t>
                      </w:r>
                    </w:p>
                  </w:tc>
                  <w:tc>
                    <w:tcPr>
                      <w:tcW w:w="890"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5.0</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c>
                    <w:tcPr>
                      <w:tcW w:w="890"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Sensitivity by company</w:t>
                      </w:r>
                    </w:p>
                  </w:tc>
                  <w:tc>
                    <w:tcPr>
                      <w:tcW w:w="890"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GN</w:t>
                      </w:r>
                    </w:p>
                  </w:tc>
                  <w:tc>
                    <w:tcPr>
                      <w:tcW w:w="1035"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SOON</w:t>
                      </w:r>
                    </w:p>
                  </w:tc>
                  <w:tc>
                    <w:tcPr>
                      <w:tcW w:w="1101"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WDH</w:t>
                      </w:r>
                    </w:p>
                  </w:tc>
                  <w:tc>
                    <w:tcPr>
                      <w:tcW w:w="1035"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Siemens</w:t>
                      </w: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Group Sales (US$mn, CY14E)</w:t>
                      </w: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1,315</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2,007</w:t>
                      </w: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1,682</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Annualised Group Sales effect (%)</w:t>
                      </w:r>
                    </w:p>
                  </w:tc>
                  <w:tc>
                    <w:tcPr>
                      <w:tcW w:w="890"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3.8%</w:t>
                      </w:r>
                    </w:p>
                  </w:tc>
                  <w:tc>
                    <w:tcPr>
                      <w:tcW w:w="1035"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2.5%</w:t>
                      </w:r>
                    </w:p>
                  </w:tc>
                  <w:tc>
                    <w:tcPr>
                      <w:tcW w:w="1101"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3.0%</w:t>
                      </w:r>
                    </w:p>
                  </w:tc>
                  <w:tc>
                    <w:tcPr>
                      <w:tcW w:w="1035"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Group Adj. Earnings (US$mn, CY14E)</w:t>
                      </w: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156</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351</w:t>
                      </w: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236</w:t>
                      </w:r>
                    </w:p>
                  </w:tc>
                  <w:tc>
                    <w:tcPr>
                      <w:tcW w:w="1035"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Annualised Adj. EPS effect (%)</w:t>
                      </w:r>
                    </w:p>
                  </w:tc>
                  <w:tc>
                    <w:tcPr>
                      <w:tcW w:w="890"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3.2%</w:t>
                      </w:r>
                    </w:p>
                  </w:tc>
                  <w:tc>
                    <w:tcPr>
                      <w:tcW w:w="1035"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1.4%</w:t>
                      </w:r>
                    </w:p>
                  </w:tc>
                  <w:tc>
                    <w:tcPr>
                      <w:tcW w:w="1101"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2.1%</w:t>
                      </w:r>
                    </w:p>
                  </w:tc>
                  <w:tc>
                    <w:tcPr>
                      <w:tcW w:w="1035"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c>
                    <w:tcPr>
                      <w:tcW w:w="890"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101"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 xml:space="preserve">Probability of contract win / loss </w:t>
                      </w:r>
                      <w:r w:rsidRPr="00894086">
                        <w:rPr>
                          <w:rFonts w:ascii="Arial Narrow" w:hAnsi="Arial Narrow" w:cs="Arial"/>
                          <w:b/>
                          <w:bCs/>
                          <w:color w:val="000000"/>
                          <w:sz w:val="16"/>
                          <w:szCs w:val="20"/>
                          <w:lang w:val="en-GB" w:eastAsia="en-GB"/>
                        </w:rPr>
                        <w:t>if incumbent</w:t>
                      </w:r>
                    </w:p>
                  </w:tc>
                  <w:tc>
                    <w:tcPr>
                      <w:tcW w:w="890" w:type="dxa"/>
                      <w:tcBorders>
                        <w:top w:val="single" w:sz="6" w:space="0" w:color="auto"/>
                        <w:left w:val="nil"/>
                        <w:bottom w:val="single" w:sz="6" w:space="0" w:color="auto"/>
                        <w:right w:val="nil"/>
                      </w:tcBorders>
                      <w:shd w:val="solid" w:color="FF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10.0%</w:t>
                      </w:r>
                    </w:p>
                  </w:tc>
                  <w:tc>
                    <w:tcPr>
                      <w:tcW w:w="1035"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20.0%</w:t>
                      </w:r>
                    </w:p>
                  </w:tc>
                  <w:tc>
                    <w:tcPr>
                      <w:tcW w:w="1101"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20.0%</w:t>
                      </w:r>
                    </w:p>
                  </w:tc>
                  <w:tc>
                    <w:tcPr>
                      <w:tcW w:w="1035"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50.0%</w:t>
                      </w: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Probabil</w:t>
                      </w:r>
                      <w:r>
                        <w:rPr>
                          <w:rFonts w:ascii="Arial Narrow" w:hAnsi="Arial Narrow" w:cs="Arial"/>
                          <w:color w:val="000000"/>
                          <w:sz w:val="16"/>
                          <w:szCs w:val="20"/>
                          <w:lang w:val="en-GB" w:eastAsia="en-GB"/>
                        </w:rPr>
                        <w:t>it</w:t>
                      </w:r>
                      <w:r w:rsidRPr="00864D2D">
                        <w:rPr>
                          <w:rFonts w:ascii="Arial Narrow" w:hAnsi="Arial Narrow" w:cs="Arial"/>
                          <w:color w:val="000000"/>
                          <w:sz w:val="16"/>
                          <w:szCs w:val="20"/>
                          <w:lang w:val="en-GB" w:eastAsia="en-GB"/>
                        </w:rPr>
                        <w:t>y adjusted Group Sales effect (%)</w:t>
                      </w: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0.4%</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0.5%</w:t>
                      </w: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0.6%</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Probability adjusted EPS effect (%)</w:t>
                      </w:r>
                    </w:p>
                  </w:tc>
                  <w:tc>
                    <w:tcPr>
                      <w:tcW w:w="890"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0.3%</w:t>
                      </w:r>
                    </w:p>
                  </w:tc>
                  <w:tc>
                    <w:tcPr>
                      <w:tcW w:w="1035"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0.3%</w:t>
                      </w:r>
                    </w:p>
                  </w:tc>
                  <w:tc>
                    <w:tcPr>
                      <w:tcW w:w="1101"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0.4%</w:t>
                      </w:r>
                    </w:p>
                  </w:tc>
                  <w:tc>
                    <w:tcPr>
                      <w:tcW w:w="1035"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7F3ED6" w:rsidRPr="00864D2D" w:rsidTr="00326326">
                  <w:tc>
                    <w:tcPr>
                      <w:tcW w:w="1" w:type="dxa"/>
                      <w:gridSpan w:val="3"/>
                      <w:tcBorders>
                        <w:top w:val="nil"/>
                        <w:left w:val="nil"/>
                        <w:bottom w:val="nil"/>
                        <w:right w:val="nil"/>
                      </w:tcBorders>
                      <w:shd w:val="solid" w:color="003366"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FFFFFF"/>
                          <w:sz w:val="16"/>
                          <w:szCs w:val="20"/>
                          <w:lang w:val="en-GB" w:eastAsia="en-GB"/>
                        </w:rPr>
                      </w:pPr>
                      <w:r w:rsidRPr="00864D2D">
                        <w:rPr>
                          <w:rFonts w:ascii="Arial Narrow" w:hAnsi="Arial Narrow" w:cs="Arial"/>
                          <w:b/>
                          <w:bCs/>
                          <w:color w:val="FFFFFF"/>
                          <w:sz w:val="16"/>
                          <w:szCs w:val="20"/>
                          <w:lang w:val="en-GB" w:eastAsia="en-GB"/>
                        </w:rPr>
                        <w:t>Costco Kirkland Signature (KS) contract sensitivity by company (incumbent GN)</w:t>
                      </w:r>
                    </w:p>
                  </w:tc>
                  <w:tc>
                    <w:tcPr>
                      <w:tcW w:w="1101" w:type="dxa"/>
                      <w:tcBorders>
                        <w:top w:val="nil"/>
                        <w:left w:val="nil"/>
                        <w:bottom w:val="nil"/>
                        <w:right w:val="nil"/>
                      </w:tcBorders>
                      <w:shd w:val="solid" w:color="003366" w:fill="auto"/>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FFFFFF"/>
                          <w:sz w:val="16"/>
                          <w:szCs w:val="20"/>
                          <w:lang w:val="en-GB" w:eastAsia="en-GB"/>
                        </w:rPr>
                      </w:pPr>
                    </w:p>
                  </w:tc>
                  <w:tc>
                    <w:tcPr>
                      <w:tcW w:w="1035" w:type="dxa"/>
                      <w:tcBorders>
                        <w:top w:val="nil"/>
                        <w:left w:val="nil"/>
                        <w:bottom w:val="nil"/>
                        <w:right w:val="nil"/>
                      </w:tcBorders>
                      <w:shd w:val="solid" w:color="003366"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FFFFFF"/>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Contract assumptions</w:t>
                      </w:r>
                    </w:p>
                  </w:tc>
                  <w:tc>
                    <w:tcPr>
                      <w:tcW w:w="890"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101"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Costco units per annum (mn)</w:t>
                      </w: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0.23</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KS share within Costco</w:t>
                      </w: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40.0%</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KS contract units per annum (mn)</w:t>
                      </w: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0.09</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Contract ASP (US$)</w:t>
                      </w: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400</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KS contract value per annum (US$mn)</w:t>
                      </w:r>
                    </w:p>
                  </w:tc>
                  <w:tc>
                    <w:tcPr>
                      <w:tcW w:w="890"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36.0</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Contract EBIT margin (%)</w:t>
                      </w:r>
                    </w:p>
                  </w:tc>
                  <w:tc>
                    <w:tcPr>
                      <w:tcW w:w="890" w:type="dxa"/>
                      <w:tcBorders>
                        <w:top w:val="nil"/>
                        <w:left w:val="nil"/>
                        <w:bottom w:val="nil"/>
                        <w:right w:val="nil"/>
                      </w:tcBorders>
                      <w:shd w:val="solid" w:color="FF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30.0%</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Contract EBIT (US$mn)</w:t>
                      </w:r>
                    </w:p>
                  </w:tc>
                  <w:tc>
                    <w:tcPr>
                      <w:tcW w:w="890"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10.8</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 xml:space="preserve">Contract Tax rate (%) </w:t>
                      </w: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40.0%</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Contract Earnings (US$mn)</w:t>
                      </w:r>
                    </w:p>
                  </w:tc>
                  <w:tc>
                    <w:tcPr>
                      <w:tcW w:w="890"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4.3</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c>
                    <w:tcPr>
                      <w:tcW w:w="890"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Sensitivity by company</w:t>
                      </w:r>
                    </w:p>
                  </w:tc>
                  <w:tc>
                    <w:tcPr>
                      <w:tcW w:w="890"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GN</w:t>
                      </w:r>
                    </w:p>
                  </w:tc>
                  <w:tc>
                    <w:tcPr>
                      <w:tcW w:w="1035"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SOON</w:t>
                      </w:r>
                    </w:p>
                  </w:tc>
                  <w:tc>
                    <w:tcPr>
                      <w:tcW w:w="1101"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WDH</w:t>
                      </w:r>
                    </w:p>
                  </w:tc>
                  <w:tc>
                    <w:tcPr>
                      <w:tcW w:w="1035"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Siemens</w:t>
                      </w: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Group Sales (US$mn, CY14E)</w:t>
                      </w: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1,315</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2,007</w:t>
                      </w: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1,682</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Annualised Group Sales effect (%)</w:t>
                      </w:r>
                    </w:p>
                  </w:tc>
                  <w:tc>
                    <w:tcPr>
                      <w:tcW w:w="890"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2.7%</w:t>
                      </w:r>
                    </w:p>
                  </w:tc>
                  <w:tc>
                    <w:tcPr>
                      <w:tcW w:w="1035"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1.8%</w:t>
                      </w:r>
                    </w:p>
                  </w:tc>
                  <w:tc>
                    <w:tcPr>
                      <w:tcW w:w="1101"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2.1%</w:t>
                      </w:r>
                    </w:p>
                  </w:tc>
                  <w:tc>
                    <w:tcPr>
                      <w:tcW w:w="1035"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Group Adj. Earnings (US$mn, CY14E)</w:t>
                      </w: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156</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351</w:t>
                      </w: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236</w:t>
                      </w:r>
                    </w:p>
                  </w:tc>
                  <w:tc>
                    <w:tcPr>
                      <w:tcW w:w="1035"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Annualised Adj. EPS effect (%)</w:t>
                      </w:r>
                    </w:p>
                  </w:tc>
                  <w:tc>
                    <w:tcPr>
                      <w:tcW w:w="890"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2.8%</w:t>
                      </w:r>
                    </w:p>
                  </w:tc>
                  <w:tc>
                    <w:tcPr>
                      <w:tcW w:w="1035"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1.2%</w:t>
                      </w:r>
                    </w:p>
                  </w:tc>
                  <w:tc>
                    <w:tcPr>
                      <w:tcW w:w="1101"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1.8%</w:t>
                      </w:r>
                    </w:p>
                  </w:tc>
                  <w:tc>
                    <w:tcPr>
                      <w:tcW w:w="1035"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c>
                    <w:tcPr>
                      <w:tcW w:w="890"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101"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c>
                    <w:tcPr>
                      <w:tcW w:w="1035"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Probability of contract win / los</w:t>
                      </w:r>
                      <w:r w:rsidRPr="00894086">
                        <w:rPr>
                          <w:rFonts w:ascii="Arial Narrow" w:hAnsi="Arial Narrow" w:cs="Arial"/>
                          <w:b/>
                          <w:bCs/>
                          <w:color w:val="000000"/>
                          <w:sz w:val="16"/>
                          <w:szCs w:val="20"/>
                          <w:lang w:val="en-GB" w:eastAsia="en-GB"/>
                        </w:rPr>
                        <w:t>s if incumbent</w:t>
                      </w:r>
                    </w:p>
                  </w:tc>
                  <w:tc>
                    <w:tcPr>
                      <w:tcW w:w="890" w:type="dxa"/>
                      <w:tcBorders>
                        <w:top w:val="single" w:sz="6" w:space="0" w:color="auto"/>
                        <w:left w:val="nil"/>
                        <w:bottom w:val="single" w:sz="6" w:space="0" w:color="auto"/>
                        <w:right w:val="nil"/>
                      </w:tcBorders>
                      <w:shd w:val="solid" w:color="FF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50.0%</w:t>
                      </w:r>
                    </w:p>
                  </w:tc>
                  <w:tc>
                    <w:tcPr>
                      <w:tcW w:w="1035"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20.0%</w:t>
                      </w:r>
                    </w:p>
                  </w:tc>
                  <w:tc>
                    <w:tcPr>
                      <w:tcW w:w="1101"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20.0%</w:t>
                      </w:r>
                    </w:p>
                  </w:tc>
                  <w:tc>
                    <w:tcPr>
                      <w:tcW w:w="1035" w:type="dxa"/>
                      <w:tcBorders>
                        <w:top w:val="single" w:sz="6" w:space="0" w:color="auto"/>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10.0%</w:t>
                      </w: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Probab</w:t>
                      </w:r>
                      <w:r>
                        <w:rPr>
                          <w:rFonts w:ascii="Arial Narrow" w:hAnsi="Arial Narrow" w:cs="Arial"/>
                          <w:color w:val="000000"/>
                          <w:sz w:val="16"/>
                          <w:szCs w:val="20"/>
                          <w:lang w:val="en-GB" w:eastAsia="en-GB"/>
                        </w:rPr>
                        <w:t>ility</w:t>
                      </w:r>
                      <w:r w:rsidRPr="00864D2D">
                        <w:rPr>
                          <w:rFonts w:ascii="Arial Narrow" w:hAnsi="Arial Narrow" w:cs="Arial"/>
                          <w:color w:val="000000"/>
                          <w:sz w:val="16"/>
                          <w:szCs w:val="20"/>
                          <w:lang w:val="en-GB" w:eastAsia="en-GB"/>
                        </w:rPr>
                        <w:t xml:space="preserve"> adjusted Group Sales effect (%)</w:t>
                      </w: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-1.4%</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0.4%</w:t>
                      </w: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r w:rsidRPr="00864D2D">
                        <w:rPr>
                          <w:rFonts w:ascii="Arial Narrow" w:hAnsi="Arial Narrow" w:cs="Arial"/>
                          <w:color w:val="000000"/>
                          <w:sz w:val="16"/>
                          <w:szCs w:val="20"/>
                          <w:lang w:val="en-GB" w:eastAsia="en-GB"/>
                        </w:rPr>
                        <w:t>0.4%</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color w:val="000000"/>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Probability adjusted EPS effect (%)</w:t>
                      </w:r>
                    </w:p>
                  </w:tc>
                  <w:tc>
                    <w:tcPr>
                      <w:tcW w:w="890"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-1.4%</w:t>
                      </w:r>
                    </w:p>
                  </w:tc>
                  <w:tc>
                    <w:tcPr>
                      <w:tcW w:w="1035"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0.2%</w:t>
                      </w:r>
                    </w:p>
                  </w:tc>
                  <w:tc>
                    <w:tcPr>
                      <w:tcW w:w="1101"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0.4%</w:t>
                      </w:r>
                    </w:p>
                  </w:tc>
                  <w:tc>
                    <w:tcPr>
                      <w:tcW w:w="1035" w:type="dxa"/>
                      <w:tcBorders>
                        <w:top w:val="single" w:sz="6" w:space="0" w:color="auto"/>
                        <w:left w:val="nil"/>
                        <w:bottom w:val="single" w:sz="6" w:space="0" w:color="auto"/>
                        <w:right w:val="nil"/>
                      </w:tcBorders>
                      <w:shd w:val="solid" w:color="C0C0C0"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890"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color w:val="000000"/>
                          <w:sz w:val="16"/>
                          <w:szCs w:val="20"/>
                          <w:lang w:val="en-GB" w:eastAsia="en-GB"/>
                        </w:rPr>
                      </w:pPr>
                    </w:p>
                  </w:tc>
                </w:tr>
                <w:tr w:rsidR="007F3ED6" w:rsidRPr="00864D2D" w:rsidTr="00326326">
                  <w:tc>
                    <w:tcPr>
                      <w:tcW w:w="5032" w:type="dxa"/>
                      <w:tcBorders>
                        <w:top w:val="nil"/>
                        <w:left w:val="nil"/>
                        <w:bottom w:val="nil"/>
                        <w:right w:val="nil"/>
                      </w:tcBorders>
                      <w:shd w:val="solid" w:color="003366"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FFFFFF"/>
                          <w:sz w:val="16"/>
                          <w:szCs w:val="20"/>
                          <w:lang w:val="en-GB" w:eastAsia="en-GB"/>
                        </w:rPr>
                      </w:pPr>
                      <w:r w:rsidRPr="00864D2D">
                        <w:rPr>
                          <w:rFonts w:ascii="Arial Narrow" w:hAnsi="Arial Narrow" w:cs="Arial"/>
                          <w:b/>
                          <w:bCs/>
                          <w:color w:val="FFFFFF"/>
                          <w:sz w:val="16"/>
                          <w:szCs w:val="20"/>
                          <w:lang w:val="en-GB" w:eastAsia="en-GB"/>
                        </w:rPr>
                        <w:t>Combined contract sensitivity by company</w:t>
                      </w:r>
                    </w:p>
                  </w:tc>
                  <w:tc>
                    <w:tcPr>
                      <w:tcW w:w="890" w:type="dxa"/>
                      <w:tcBorders>
                        <w:top w:val="nil"/>
                        <w:left w:val="nil"/>
                        <w:bottom w:val="nil"/>
                        <w:right w:val="nil"/>
                      </w:tcBorders>
                      <w:shd w:val="solid" w:color="003366" w:fill="auto"/>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FFFFFF"/>
                          <w:sz w:val="16"/>
                          <w:szCs w:val="20"/>
                          <w:lang w:val="en-GB" w:eastAsia="en-GB"/>
                        </w:rPr>
                      </w:pPr>
                    </w:p>
                  </w:tc>
                  <w:tc>
                    <w:tcPr>
                      <w:tcW w:w="1035" w:type="dxa"/>
                      <w:tcBorders>
                        <w:top w:val="nil"/>
                        <w:left w:val="nil"/>
                        <w:bottom w:val="nil"/>
                        <w:right w:val="nil"/>
                      </w:tcBorders>
                      <w:shd w:val="solid" w:color="003366" w:fill="auto"/>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FFFFFF"/>
                          <w:sz w:val="16"/>
                          <w:szCs w:val="20"/>
                          <w:lang w:val="en-GB" w:eastAsia="en-GB"/>
                        </w:rPr>
                      </w:pPr>
                    </w:p>
                  </w:tc>
                  <w:tc>
                    <w:tcPr>
                      <w:tcW w:w="1101" w:type="dxa"/>
                      <w:tcBorders>
                        <w:top w:val="nil"/>
                        <w:left w:val="nil"/>
                        <w:bottom w:val="nil"/>
                        <w:right w:val="nil"/>
                      </w:tcBorders>
                      <w:shd w:val="solid" w:color="003366" w:fill="auto"/>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FFFFFF"/>
                          <w:sz w:val="16"/>
                          <w:szCs w:val="20"/>
                          <w:lang w:val="en-GB" w:eastAsia="en-GB"/>
                        </w:rPr>
                      </w:pPr>
                    </w:p>
                  </w:tc>
                  <w:tc>
                    <w:tcPr>
                      <w:tcW w:w="1035" w:type="dxa"/>
                      <w:tcBorders>
                        <w:top w:val="nil"/>
                        <w:left w:val="nil"/>
                        <w:bottom w:val="nil"/>
                        <w:right w:val="nil"/>
                      </w:tcBorders>
                      <w:shd w:val="solid" w:color="003366" w:fill="auto"/>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FFFFFF"/>
                          <w:sz w:val="16"/>
                          <w:szCs w:val="20"/>
                          <w:lang w:val="en-GB" w:eastAsia="en-GB"/>
                        </w:rPr>
                      </w:pPr>
                    </w:p>
                  </w:tc>
                </w:tr>
                <w:tr w:rsidR="007F3ED6" w:rsidRPr="00864D2D" w:rsidTr="00326326">
                  <w:tc>
                    <w:tcPr>
                      <w:tcW w:w="5032"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Annualised impact to adj. EPS</w:t>
                      </w:r>
                    </w:p>
                  </w:tc>
                  <w:tc>
                    <w:tcPr>
                      <w:tcW w:w="890"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GN</w:t>
                      </w:r>
                    </w:p>
                  </w:tc>
                  <w:tc>
                    <w:tcPr>
                      <w:tcW w:w="1035"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SOON</w:t>
                      </w:r>
                    </w:p>
                  </w:tc>
                  <w:tc>
                    <w:tcPr>
                      <w:tcW w:w="1101"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WDH</w:t>
                      </w:r>
                    </w:p>
                  </w:tc>
                  <w:tc>
                    <w:tcPr>
                      <w:tcW w:w="1035" w:type="dxa"/>
                      <w:tcBorders>
                        <w:top w:val="single" w:sz="6" w:space="0" w:color="auto"/>
                        <w:left w:val="nil"/>
                        <w:bottom w:val="single" w:sz="6" w:space="0" w:color="auto"/>
                        <w:right w:val="nil"/>
                      </w:tcBorders>
                      <w:shd w:val="solid" w:color="CCFFFF" w:fill="auto"/>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r>
                <w:tr w:rsidR="007F3ED6" w:rsidRPr="00864D2D" w:rsidTr="00326326">
                  <w:tc>
                    <w:tcPr>
                      <w:tcW w:w="5032" w:type="dxa"/>
                      <w:tcBorders>
                        <w:top w:val="single" w:sz="6" w:space="0" w:color="auto"/>
                        <w:left w:val="nil"/>
                        <w:bottom w:val="nil"/>
                        <w:right w:val="nil"/>
                      </w:tcBorders>
                    </w:tcPr>
                    <w:p w:rsidR="007F3ED6" w:rsidRPr="00894086"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94086">
                        <w:rPr>
                          <w:rFonts w:ascii="Arial Narrow" w:hAnsi="Arial Narrow" w:cs="Arial"/>
                          <w:b/>
                          <w:bCs/>
                          <w:color w:val="000000"/>
                          <w:sz w:val="16"/>
                          <w:szCs w:val="20"/>
                          <w:lang w:val="en-GB" w:eastAsia="en-GB"/>
                        </w:rPr>
                        <w:t>Probability adjusted scenario</w:t>
                      </w:r>
                    </w:p>
                  </w:tc>
                  <w:tc>
                    <w:tcPr>
                      <w:tcW w:w="890" w:type="dxa"/>
                      <w:tcBorders>
                        <w:top w:val="single" w:sz="6" w:space="0" w:color="auto"/>
                        <w:left w:val="nil"/>
                        <w:bottom w:val="nil"/>
                        <w:right w:val="nil"/>
                      </w:tcBorders>
                    </w:tcPr>
                    <w:p w:rsidR="007F3ED6" w:rsidRPr="00894086"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94086">
                        <w:rPr>
                          <w:rFonts w:ascii="Arial Narrow" w:hAnsi="Arial Narrow" w:cs="Arial"/>
                          <w:b/>
                          <w:bCs/>
                          <w:color w:val="000000"/>
                          <w:sz w:val="16"/>
                          <w:szCs w:val="20"/>
                          <w:lang w:val="en-GB" w:eastAsia="en-GB"/>
                        </w:rPr>
                        <w:t>-1.1%</w:t>
                      </w:r>
                    </w:p>
                  </w:tc>
                  <w:tc>
                    <w:tcPr>
                      <w:tcW w:w="1035" w:type="dxa"/>
                      <w:tcBorders>
                        <w:top w:val="single" w:sz="6" w:space="0" w:color="auto"/>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0.5%</w:t>
                      </w:r>
                    </w:p>
                  </w:tc>
                  <w:tc>
                    <w:tcPr>
                      <w:tcW w:w="1101" w:type="dxa"/>
                      <w:tcBorders>
                        <w:top w:val="single" w:sz="6" w:space="0" w:color="auto"/>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0.8%</w:t>
                      </w:r>
                    </w:p>
                  </w:tc>
                  <w:tc>
                    <w:tcPr>
                      <w:tcW w:w="1035" w:type="dxa"/>
                      <w:tcBorders>
                        <w:top w:val="single" w:sz="6" w:space="0" w:color="auto"/>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r>
                <w:tr w:rsidR="007F3ED6" w:rsidRPr="00864D2D" w:rsidTr="00326326">
                  <w:tc>
                    <w:tcPr>
                      <w:tcW w:w="5032" w:type="dxa"/>
                      <w:tcBorders>
                        <w:top w:val="nil"/>
                        <w:left w:val="nil"/>
                        <w:bottom w:val="nil"/>
                        <w:right w:val="nil"/>
                      </w:tcBorders>
                    </w:tcPr>
                    <w:p w:rsidR="007F3ED6" w:rsidRPr="00894086"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94086">
                        <w:rPr>
                          <w:rFonts w:ascii="Arial Narrow" w:hAnsi="Arial Narrow" w:cs="Arial"/>
                          <w:b/>
                          <w:bCs/>
                          <w:color w:val="000000"/>
                          <w:sz w:val="16"/>
                          <w:szCs w:val="20"/>
                          <w:lang w:val="en-GB" w:eastAsia="en-GB"/>
                        </w:rPr>
                        <w:t>Best case scenario (Win both)</w:t>
                      </w:r>
                    </w:p>
                  </w:tc>
                  <w:tc>
                    <w:tcPr>
                      <w:tcW w:w="890" w:type="dxa"/>
                      <w:tcBorders>
                        <w:top w:val="nil"/>
                        <w:left w:val="nil"/>
                        <w:bottom w:val="nil"/>
                        <w:right w:val="nil"/>
                      </w:tcBorders>
                    </w:tcPr>
                    <w:p w:rsidR="007F3ED6" w:rsidRPr="00894086"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94086">
                        <w:rPr>
                          <w:rFonts w:ascii="Arial Narrow" w:hAnsi="Arial Narrow" w:cs="Arial"/>
                          <w:b/>
                          <w:bCs/>
                          <w:color w:val="000000"/>
                          <w:sz w:val="16"/>
                          <w:szCs w:val="20"/>
                          <w:lang w:val="en-GB" w:eastAsia="en-GB"/>
                        </w:rPr>
                        <w:t>3.2%</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2.7%</w:t>
                      </w:r>
                    </w:p>
                  </w:tc>
                  <w:tc>
                    <w:tcPr>
                      <w:tcW w:w="1101"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4.0%</w:t>
                      </w:r>
                    </w:p>
                  </w:tc>
                  <w:tc>
                    <w:tcPr>
                      <w:tcW w:w="1035" w:type="dxa"/>
                      <w:tcBorders>
                        <w:top w:val="nil"/>
                        <w:left w:val="nil"/>
                        <w:bottom w:val="nil"/>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r>
                <w:tr w:rsidR="007F3ED6" w:rsidRPr="00864D2D" w:rsidTr="00326326">
                  <w:tc>
                    <w:tcPr>
                      <w:tcW w:w="5032" w:type="dxa"/>
                      <w:tcBorders>
                        <w:top w:val="nil"/>
                        <w:left w:val="nil"/>
                        <w:bottom w:val="single" w:sz="6" w:space="0" w:color="auto"/>
                        <w:right w:val="nil"/>
                      </w:tcBorders>
                    </w:tcPr>
                    <w:p w:rsidR="007F3ED6" w:rsidRPr="00894086" w:rsidRDefault="007F3ED6" w:rsidP="00326326">
                      <w:pPr>
                        <w:keepNext/>
                        <w:autoSpaceDE w:val="0"/>
                        <w:autoSpaceDN w:val="0"/>
                        <w:adjustRightInd w:val="0"/>
                        <w:spacing w:before="40" w:line="160" w:lineRule="exact"/>
                        <w:rPr>
                          <w:rFonts w:ascii="Arial Narrow" w:hAnsi="Arial Narrow" w:cs="Arial"/>
                          <w:b/>
                          <w:bCs/>
                          <w:color w:val="000000"/>
                          <w:sz w:val="16"/>
                          <w:szCs w:val="20"/>
                          <w:lang w:val="en-GB" w:eastAsia="en-GB"/>
                        </w:rPr>
                      </w:pPr>
                      <w:r w:rsidRPr="00894086">
                        <w:rPr>
                          <w:rFonts w:ascii="Arial Narrow" w:hAnsi="Arial Narrow" w:cs="Arial"/>
                          <w:b/>
                          <w:bCs/>
                          <w:color w:val="000000"/>
                          <w:sz w:val="16"/>
                          <w:szCs w:val="20"/>
                          <w:lang w:val="en-GB" w:eastAsia="en-GB"/>
                        </w:rPr>
                        <w:t>Worst case scenario (Lose both)</w:t>
                      </w:r>
                    </w:p>
                  </w:tc>
                  <w:tc>
                    <w:tcPr>
                      <w:tcW w:w="890" w:type="dxa"/>
                      <w:tcBorders>
                        <w:top w:val="nil"/>
                        <w:left w:val="nil"/>
                        <w:bottom w:val="single" w:sz="6" w:space="0" w:color="auto"/>
                        <w:right w:val="nil"/>
                      </w:tcBorders>
                    </w:tcPr>
                    <w:p w:rsidR="007F3ED6" w:rsidRPr="00894086"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94086">
                        <w:rPr>
                          <w:rFonts w:ascii="Arial Narrow" w:hAnsi="Arial Narrow" w:cs="Arial"/>
                          <w:b/>
                          <w:bCs/>
                          <w:color w:val="000000"/>
                          <w:sz w:val="16"/>
                          <w:szCs w:val="20"/>
                          <w:lang w:val="en-GB" w:eastAsia="en-GB"/>
                        </w:rPr>
                        <w:t>-2.8%</w:t>
                      </w:r>
                    </w:p>
                  </w:tc>
                  <w:tc>
                    <w:tcPr>
                      <w:tcW w:w="1035" w:type="dxa"/>
                      <w:tcBorders>
                        <w:top w:val="nil"/>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0.0%</w:t>
                      </w:r>
                    </w:p>
                  </w:tc>
                  <w:tc>
                    <w:tcPr>
                      <w:tcW w:w="1101" w:type="dxa"/>
                      <w:tcBorders>
                        <w:top w:val="nil"/>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center"/>
                        <w:rPr>
                          <w:rFonts w:ascii="Arial Narrow" w:hAnsi="Arial Narrow" w:cs="Arial"/>
                          <w:b/>
                          <w:bCs/>
                          <w:color w:val="000000"/>
                          <w:sz w:val="16"/>
                          <w:szCs w:val="20"/>
                          <w:lang w:val="en-GB" w:eastAsia="en-GB"/>
                        </w:rPr>
                      </w:pPr>
                      <w:r w:rsidRPr="00864D2D">
                        <w:rPr>
                          <w:rFonts w:ascii="Arial Narrow" w:hAnsi="Arial Narrow" w:cs="Arial"/>
                          <w:b/>
                          <w:bCs/>
                          <w:color w:val="000000"/>
                          <w:sz w:val="16"/>
                          <w:szCs w:val="20"/>
                          <w:lang w:val="en-GB" w:eastAsia="en-GB"/>
                        </w:rPr>
                        <w:t>0.0%</w:t>
                      </w:r>
                    </w:p>
                  </w:tc>
                  <w:tc>
                    <w:tcPr>
                      <w:tcW w:w="1035" w:type="dxa"/>
                      <w:tcBorders>
                        <w:top w:val="nil"/>
                        <w:left w:val="nil"/>
                        <w:bottom w:val="single" w:sz="6" w:space="0" w:color="auto"/>
                        <w:right w:val="nil"/>
                      </w:tcBorders>
                    </w:tcPr>
                    <w:p w:rsidR="007F3ED6" w:rsidRPr="00864D2D" w:rsidRDefault="007F3ED6" w:rsidP="00326326">
                      <w:pPr>
                        <w:keepNext/>
                        <w:autoSpaceDE w:val="0"/>
                        <w:autoSpaceDN w:val="0"/>
                        <w:adjustRightInd w:val="0"/>
                        <w:spacing w:before="40" w:line="160" w:lineRule="exact"/>
                        <w:jc w:val="right"/>
                        <w:rPr>
                          <w:rFonts w:ascii="Arial Narrow" w:hAnsi="Arial Narrow" w:cs="Arial"/>
                          <w:b/>
                          <w:bCs/>
                          <w:color w:val="000000"/>
                          <w:sz w:val="16"/>
                          <w:szCs w:val="20"/>
                          <w:lang w:val="en-GB" w:eastAsia="en-GB"/>
                        </w:rPr>
                      </w:pPr>
                    </w:p>
                  </w:tc>
                </w:tr>
              </w:tbl>
              <w:p w:rsidR="007F3ED6" w:rsidRDefault="007F3ED6" w:rsidP="00326326">
                <w:pPr>
                  <w:pStyle w:val="CIRMaster"/>
                  <w:spacing w:line="14" w:lineRule="auto"/>
                </w:pPr>
                <w:r>
                  <w:fldChar w:fldCharType="end"/>
                </w:r>
              </w:p>
            </w:tc>
          </w:tr>
          <w:tr w:rsidR="007F3ED6" w:rsidTr="00326326">
            <w:trPr>
              <w:cantSplit/>
            </w:trPr>
            <w:tc>
              <w:tcPr>
                <w:tcW w:w="10220" w:type="dxa"/>
              </w:tcPr>
              <w:p w:rsidR="007F3ED6" w:rsidRDefault="007F3ED6" w:rsidP="00326326">
                <w:pPr>
                  <w:pStyle w:val="CIRSourceNote"/>
                </w:pPr>
                <w:r>
                  <w:t xml:space="preserve">Price/rating for other stock mentioned: </w:t>
                </w:r>
                <w:fldSimple w:instr=" DOCVARIABLE CCREF##CIR###SIEGn.DE \* MERGEFORMAT ">
                  <w:r>
                    <w:t>Siemens (SIEGn.DE; €92.40; 1)</w:t>
                  </w:r>
                </w:fldSimple>
                <w:r>
                  <w:t xml:space="preserve">     Source: Citi Research estimates </w:t>
                </w:r>
              </w:p>
            </w:tc>
          </w:tr>
        </w:tbl>
        <w:p w:rsidR="007F3ED6" w:rsidRPr="00B3391A" w:rsidRDefault="007F3ED6" w:rsidP="007F3ED6">
          <w:pPr>
            <w:pStyle w:val="CIRBodyText"/>
            <w:rPr>
              <w:lang w:val="en-GB"/>
            </w:rPr>
          </w:pPr>
        </w:p>
        <w:p w:rsidR="007F3ED6" w:rsidRDefault="007F3ED6" w:rsidP="007F3ED6">
          <w:pPr>
            <w:spacing w:after="200" w:line="276" w:lineRule="auto"/>
            <w:rPr>
              <w:b/>
            </w:rPr>
          </w:pPr>
          <w:r>
            <w:rPr>
              <w:b/>
            </w:rPr>
            <w:br w:type="page"/>
          </w:r>
        </w:p>
        <w:p w:rsidR="007F3ED6" w:rsidRDefault="007F3ED6" w:rsidP="007F3ED6">
          <w:pPr>
            <w:pStyle w:val="CIRBodyText"/>
          </w:pPr>
        </w:p>
        <w:p w:rsidR="00A0169C" w:rsidRDefault="00A0169C">
          <w:pPr>
            <w:pStyle w:val="CIRBodyText"/>
          </w:pPr>
        </w:p>
        <w:p w:rsidR="00A0169C" w:rsidRDefault="00A0169C">
          <w:pPr>
            <w:pStyle w:val="CIRBodyText"/>
          </w:pPr>
        </w:p>
        <w:p w:rsidR="00A0169C" w:rsidRDefault="00A0169C">
          <w:pPr>
            <w:pStyle w:val="CIRBodyText"/>
          </w:pPr>
        </w:p>
        <w:p w:rsidR="00A0169C" w:rsidRDefault="006460EA">
          <w:pPr>
            <w:spacing w:line="14" w:lineRule="auto"/>
          </w:pPr>
        </w:p>
        <w:permEnd w:id="1205564782" w:displacedByCustomXml="next"/>
      </w:sdtContent>
    </w:sdt>
    <w:p w:rsidR="00A0169C" w:rsidRDefault="00A0169C">
      <w:pPr>
        <w:pStyle w:val="CIRBodyText"/>
        <w:spacing w:after="0" w:line="14" w:lineRule="auto"/>
      </w:pPr>
    </w:p>
    <w:bookmarkStart w:id="101" w:name="bkm_Narratives" w:displacedByCustomXml="next"/>
    <w:bookmarkEnd w:id="101" w:displacedByCustomXml="next"/>
    <w:sdt>
      <w:sdtPr>
        <w:rPr>
          <w:rFonts w:eastAsiaTheme="minorEastAsia" w:cstheme="minorBidi"/>
          <w:b w:val="0"/>
          <w:bCs w:val="0"/>
          <w:kern w:val="0"/>
          <w:sz w:val="18"/>
          <w:szCs w:val="22"/>
        </w:rPr>
        <w:tag w:val="narrative"/>
        <w:id w:val="-1139331369"/>
        <w:placeholder>
          <w:docPart w:val="0D054E1213BD4B10859198B5043AD820"/>
        </w:placeholder>
      </w:sdtPr>
      <w:sdtEndPr/>
      <w:sdtContent>
        <w:permStart w:id="2039964274" w:edGrp="everyone" w:displacedByCustomXml="next"/>
        <w:sdt>
          <w:sdtPr>
            <w:rPr>
              <w:rFonts w:eastAsiaTheme="minorEastAsia" w:cstheme="minorBidi"/>
              <w:b w:val="0"/>
              <w:bCs w:val="0"/>
              <w:kern w:val="0"/>
              <w:sz w:val="18"/>
              <w:szCs w:val="22"/>
            </w:rPr>
            <w:tag w:val="narrativeCompanyName"/>
            <w:id w:val="602074894"/>
            <w:placeholder>
              <w:docPart w:val="EB64980A7BF14CC188FDBF9D65C6F116"/>
            </w:placeholder>
          </w:sdtPr>
          <w:sdtEndPr/>
          <w:sdtContent>
            <w:p w:rsidR="007F3ED6" w:rsidRDefault="007F3ED6" w:rsidP="007F3ED6">
              <w:pPr>
                <w:pStyle w:val="Heading1"/>
                <w:pageBreakBefore/>
              </w:pPr>
              <w:r>
                <w:t>Bruker Corp</w:t>
              </w:r>
            </w:p>
            <w:p w:rsidR="007F3ED6" w:rsidRDefault="006460EA" w:rsidP="007F3ED6">
              <w:pPr>
                <w:spacing w:line="14" w:lineRule="auto"/>
              </w:pPr>
            </w:p>
            <w:permEnd w:id="2039964274" w:displacedByCustomXml="next"/>
          </w:sdtContent>
        </w:sdt>
        <w:sdt>
          <w:sdtPr>
            <w:rPr>
              <w:rFonts w:eastAsiaTheme="minorEastAsia" w:cstheme="minorBidi"/>
              <w:b w:val="0"/>
              <w:bCs w:val="0"/>
              <w:kern w:val="0"/>
              <w:sz w:val="18"/>
              <w:szCs w:val="22"/>
            </w:rPr>
            <w:tag w:val="narrativeDataItem"/>
            <w:id w:val="-601649348"/>
            <w:placeholder>
              <w:docPart w:val="9913D63E9D654489A57A4F2D98C6C2F5"/>
            </w:placeholder>
          </w:sdtPr>
          <w:sdtEndPr/>
          <w:sdtContent>
            <w:permStart w:id="710769052" w:edGrp="everyone" w:displacedByCustomXml="prev"/>
            <w:p w:rsidR="007F3ED6" w:rsidRDefault="007F3ED6" w:rsidP="007F3ED6">
              <w:pPr>
                <w:pStyle w:val="Heading2"/>
                <w:rPr>
                  <w:rFonts w:eastAsiaTheme="minorEastAsia"/>
                </w:rPr>
              </w:pPr>
              <w:r>
                <w:t>Company description</w:t>
              </w:r>
            </w:p>
            <w:p w:rsidR="007F3ED6" w:rsidRDefault="007F3ED6" w:rsidP="007F3ED6">
              <w:pPr>
                <w:pStyle w:val="CIRBodyText"/>
              </w:pPr>
              <w:r>
                <w:t>Bruker Corp. is a leading provider of high performance scientific instrumentation and services for use by life science research, materials research, industrial and clinical diagnostic customers, among others. Bruker Corporation formed in 2000 and subsequently consolidated several independent Bruker entities by 2008. The company maintains its corporate headquarters in Billerica, MA.</w:t>
              </w:r>
            </w:p>
            <w:p w:rsidR="007F3ED6" w:rsidRDefault="006460EA" w:rsidP="007F3ED6">
              <w:pPr>
                <w:spacing w:line="14" w:lineRule="auto"/>
              </w:pPr>
            </w:p>
            <w:permEnd w:id="710769052" w:displacedByCustomXml="next"/>
          </w:sdtContent>
        </w:sdt>
        <w:sdt>
          <w:sdtPr>
            <w:rPr>
              <w:rFonts w:eastAsiaTheme="minorEastAsia" w:cstheme="minorBidi"/>
              <w:b w:val="0"/>
              <w:bCs w:val="0"/>
              <w:kern w:val="0"/>
              <w:sz w:val="18"/>
              <w:szCs w:val="22"/>
            </w:rPr>
            <w:tag w:val="narrativeDataItem"/>
            <w:id w:val="877986540"/>
            <w:placeholder>
              <w:docPart w:val="4C22888FC4FF4A4A87FBA5B7DBDE2C86"/>
            </w:placeholder>
          </w:sdtPr>
          <w:sdtEndPr/>
          <w:sdtContent>
            <w:permStart w:id="1702391487" w:edGrp="everyone" w:displacedByCustomXml="prev"/>
            <w:p w:rsidR="007F3ED6" w:rsidRDefault="007F3ED6" w:rsidP="007F3ED6">
              <w:pPr>
                <w:pStyle w:val="Heading2"/>
                <w:rPr>
                  <w:rFonts w:eastAsiaTheme="minorEastAsia"/>
                </w:rPr>
              </w:pPr>
              <w:r>
                <w:t>Investment strategy</w:t>
              </w:r>
            </w:p>
            <w:p w:rsidR="007F3ED6" w:rsidRDefault="007F3ED6" w:rsidP="007F3ED6">
              <w:pPr>
                <w:pStyle w:val="CIRBodyText"/>
              </w:pPr>
              <w:r>
                <w:t xml:space="preserve">Bruker’s product offerings have a reputation for being a collection of high-quality, high-end analytical platforms that are best-in-class in many areas. This has driven strong customer demand across several of the company’s businesses, which has in turn yielded organic growth rates consistently above those of peers – averaging 8% annually over the last 5 years vs. ~4% for the tools group. Operationally, however, Bruker has faced significant challenges related to organizational alignment and communication, supply chain inefficiencies, system reporting, and employee incentives. As such, quarterly results have been excessively volatile and overall profitability has been hampered: Bruker’s 12.2% average operating margin over the last five years is well-below the 20%-30% of many peers. BRKR is one that favors lengthier investment horizons and an emphasis on being directionally correct on the stock more than right on any one quarter. </w:t>
              </w:r>
            </w:p>
            <w:p w:rsidR="007F3ED6" w:rsidRDefault="006460EA" w:rsidP="007F3ED6">
              <w:pPr>
                <w:spacing w:line="14" w:lineRule="auto"/>
              </w:pPr>
            </w:p>
            <w:permEnd w:id="1702391487" w:displacedByCustomXml="next"/>
          </w:sdtContent>
        </w:sdt>
        <w:sdt>
          <w:sdtPr>
            <w:rPr>
              <w:rFonts w:eastAsiaTheme="minorEastAsia" w:cstheme="minorBidi"/>
              <w:b w:val="0"/>
              <w:bCs w:val="0"/>
              <w:kern w:val="0"/>
              <w:sz w:val="18"/>
              <w:szCs w:val="22"/>
            </w:rPr>
            <w:tag w:val="narrativeDataItem"/>
            <w:id w:val="-666712792"/>
            <w:placeholder>
              <w:docPart w:val="6D03F75DB94F4833A9C46A87F49807DA"/>
            </w:placeholder>
          </w:sdtPr>
          <w:sdtEndPr/>
          <w:sdtContent>
            <w:permStart w:id="1175859294" w:edGrp="everyone" w:displacedByCustomXml="prev"/>
            <w:p w:rsidR="007F3ED6" w:rsidRDefault="007F3ED6" w:rsidP="007F3ED6">
              <w:pPr>
                <w:pStyle w:val="Heading2"/>
                <w:rPr>
                  <w:rFonts w:eastAsiaTheme="minorEastAsia"/>
                </w:rPr>
              </w:pPr>
              <w:r>
                <w:t>Valuation</w:t>
              </w:r>
            </w:p>
            <w:p w:rsidR="007F3ED6" w:rsidRDefault="007F3ED6" w:rsidP="007F3ED6">
              <w:pPr>
                <w:pStyle w:val="CIRBodyText"/>
              </w:pPr>
              <w:r>
                <w:t>Our 12-month price target is derived by applying a forward EV/sales multiple of 2.3x to our 2015 revenue estimate of $1,990 million. This yields a price target of $27.</w:t>
              </w:r>
            </w:p>
            <w:p w:rsidR="007F3ED6" w:rsidRDefault="006460EA" w:rsidP="007F3ED6">
              <w:pPr>
                <w:spacing w:line="14" w:lineRule="auto"/>
              </w:pPr>
            </w:p>
            <w:permEnd w:id="1175859294" w:displacedByCustomXml="next"/>
          </w:sdtContent>
        </w:sdt>
        <w:sdt>
          <w:sdtPr>
            <w:rPr>
              <w:rFonts w:eastAsiaTheme="minorEastAsia" w:cstheme="minorBidi"/>
              <w:b w:val="0"/>
              <w:bCs w:val="0"/>
              <w:kern w:val="0"/>
              <w:sz w:val="18"/>
              <w:szCs w:val="22"/>
            </w:rPr>
            <w:tag w:val="narrativeDataItem"/>
            <w:id w:val="-531578457"/>
            <w:placeholder>
              <w:docPart w:val="DDBA3E6E063B4F618F9A985C390B558F"/>
            </w:placeholder>
          </w:sdtPr>
          <w:sdtEndPr/>
          <w:sdtContent>
            <w:permStart w:id="1028608580" w:edGrp="everyone" w:displacedByCustomXml="prev"/>
            <w:p w:rsidR="007F3ED6" w:rsidRDefault="007F3ED6" w:rsidP="007F3ED6">
              <w:pPr>
                <w:pStyle w:val="Heading2"/>
                <w:rPr>
                  <w:rFonts w:eastAsiaTheme="minorEastAsia"/>
                </w:rPr>
              </w:pPr>
              <w:r>
                <w:t>Risks</w:t>
              </w:r>
            </w:p>
            <w:p w:rsidR="007F3ED6" w:rsidRDefault="007F3ED6" w:rsidP="007F3ED6">
              <w:pPr>
                <w:pStyle w:val="CIRBodyText"/>
              </w:pPr>
              <w:r>
                <w:t>Results volatility will likely remain a part of the quarterly dynamic for BRKR as there is an inherent level of lumpiness associated with big-ticket items that have long lead times. Thus, in any one quarter there exists an above-average potential for a negative surprise.</w:t>
              </w:r>
            </w:p>
            <w:p w:rsidR="007F3ED6" w:rsidRDefault="007F3ED6" w:rsidP="007F3ED6">
              <w:pPr>
                <w:pStyle w:val="CIRBodyText"/>
              </w:pPr>
              <w:r>
                <w:t>We also see risk related to the Street getting ahead of itself and losing sight of the likelihood of a bumpy road towards improved profitability.</w:t>
              </w:r>
            </w:p>
            <w:p w:rsidR="007F3ED6" w:rsidRDefault="007F3ED6" w:rsidP="007F3ED6">
              <w:pPr>
                <w:pStyle w:val="CIRBodyText"/>
              </w:pPr>
              <w:r>
                <w:t xml:space="preserve">The company’s Chemical and Applied Market (CAM) business continues to pressure margins, as the business is expected to record a loss again in 2014. Management has indicated that it will look to narrow the focus of the unit going forward, but hasn’t provided a timeline for the reorganization. </w:t>
              </w:r>
            </w:p>
            <w:p w:rsidR="007F3ED6" w:rsidRDefault="007F3ED6" w:rsidP="007F3ED6">
              <w:pPr>
                <w:pStyle w:val="CIRBodyText"/>
              </w:pPr>
              <w:r>
                <w:t xml:space="preserve">End market conditions remain volatile. Bruker’s exposure to industrial customers (semiconductors, materials and mining, etc.) is above average, and the outlook for these markets remains unclear. </w:t>
              </w:r>
            </w:p>
            <w:p w:rsidR="007F3ED6" w:rsidRDefault="007F3ED6" w:rsidP="007F3ED6">
              <w:pPr>
                <w:pStyle w:val="CIRBodyText"/>
              </w:pPr>
              <w:r>
                <w:t>If the impact on the company from any of these factors proves to be greater than we anticipate, the stock will likely have difficulty achieving our target price.</w:t>
              </w:r>
            </w:p>
            <w:p w:rsidR="00A0169C" w:rsidRDefault="006460EA" w:rsidP="007F3ED6">
              <w:pPr>
                <w:spacing w:line="14" w:lineRule="auto"/>
              </w:pPr>
            </w:p>
            <w:permEnd w:id="1028608580" w:displacedByCustomXml="next"/>
          </w:sdtContent>
        </w:sdt>
      </w:sdtContent>
    </w:sdt>
    <w:p w:rsidR="00A0169C" w:rsidRDefault="00A0169C">
      <w:pPr>
        <w:spacing w:line="14" w:lineRule="auto"/>
      </w:pPr>
      <w:bookmarkStart w:id="102" w:name="bkm_NarrativesEnd"/>
      <w:bookmarkEnd w:id="102"/>
    </w:p>
    <w:p w:rsidR="00A0169C" w:rsidRDefault="00A0169C">
      <w:pPr>
        <w:spacing w:line="14" w:lineRule="auto"/>
        <w:sectPr w:rsidR="00A0169C" w:rsidSect="007F3ED6">
          <w:headerReference w:type="default" r:id="rId109"/>
          <w:pgSz w:w="12240" w:h="15840" w:code="1"/>
          <w:pgMar w:top="1728" w:right="1008" w:bottom="720" w:left="4536" w:header="288" w:footer="346" w:gutter="0"/>
          <w:cols w:space="720"/>
          <w:docGrid w:linePitch="360"/>
        </w:sectPr>
      </w:pPr>
    </w:p>
    <w:p w:rsidR="00A0169C" w:rsidRDefault="00250139">
      <w:pPr>
        <w:pStyle w:val="CIRChapter"/>
        <w:pageBreakBefore w:val="0"/>
        <w:framePr w:w="0" w:wrap="auto" w:vAnchor="margin" w:yAlign="inline"/>
        <w:spacing w:before="240"/>
        <w:rPr>
          <w:rFonts w:cs="Times New Roman"/>
        </w:rPr>
      </w:pPr>
      <w:bookmarkStart w:id="103" w:name="bkm_MultiInstrument"/>
      <w:bookmarkStart w:id="104" w:name="bkm_OptionsText"/>
      <w:bookmarkEnd w:id="103"/>
      <w:bookmarkEnd w:id="104"/>
      <w:r>
        <w:t>Appendix A-1</w:t>
      </w:r>
    </w:p>
    <w:bookmarkStart w:id="105" w:name="Glb_bkm_bp_disclosures_whole" w:displacedByCustomXml="next"/>
    <w:bookmarkStart w:id="106" w:name="RENDITION_CERTIFICATION" w:displacedByCustomXml="next"/>
    <w:sdt>
      <w:sdtPr>
        <w:tag w:val="disclosuresPage"/>
        <w:id w:val="1645461501"/>
        <w:placeholder>
          <w:docPart w:val="5E7E8A9D88E6497795DB98EA4C80033A"/>
        </w:placeholder>
      </w:sdtPr>
      <w:sdtEndPr>
        <w:rPr>
          <w:rFonts w:ascii="Arial Narrow" w:hAnsi="Arial Narrow" w:cs="Arial Narrow"/>
          <w:b w:val="0"/>
          <w:bCs w:val="0"/>
          <w:noProof/>
          <w:color w:val="000000"/>
          <w:sz w:val="18"/>
          <w:szCs w:val="17"/>
        </w:rPr>
      </w:sdtEndPr>
      <w:sdtContent>
        <w:p w:rsidR="006C5B01" w:rsidRDefault="006C5B01">
          <w:pPr>
            <w:pStyle w:val="CIRHeading2"/>
          </w:pPr>
          <w:r>
            <w:t>Analyst Certification</w:t>
          </w:r>
        </w:p>
        <w:p w:rsidR="006C5B01" w:rsidRDefault="006C5B01">
          <w:pPr>
            <w:pStyle w:val="CIRAnalystCert"/>
            <w:keepLines/>
          </w:pPr>
          <w:bookmarkStart w:id="107" w:name="DISC_TYPE_B_1_B4IMPTDISC"/>
          <w:bookmarkStart w:id="108" w:name="bkm_AnalystCertification"/>
          <w:r>
            <w:t>The research analyst(s) primarily responsible for the preparation and content of this research report are named in bold text in the author block at the front of the product except for those sections where an analyst's name appears in bold alongside content which is attributable to that analyst. Each of these analyst(s) certify, with respect to the section(s) of the report for which they are responsible, that the views expressed therein accurately reflect their personal views about each issuer and security referenced and were prepared in an independent manner, including with respect to Citigroup Global Markets Inc and its affiliates. No part of the research analyst's compensation was, is, or will be, directly or indirectly, related to the specific recommendation(s) or view(s) expressed by that research analyst in this report.</w:t>
          </w:r>
          <w:bookmarkStart w:id="109" w:name="Glb_bkm_bp_disclosures"/>
          <w:bookmarkEnd w:id="109"/>
        </w:p>
        <w:p w:rsidR="006C5B01" w:rsidRDefault="006C5B01">
          <w:pPr>
            <w:pStyle w:val="SSBDisclaimer"/>
            <w:keepNext/>
          </w:pPr>
          <w:bookmarkStart w:id="110" w:name="bkmText_Start"/>
          <w:bookmarkStart w:id="111" w:name="RENDITION_IMPORTANT"/>
          <w:bookmarkStart w:id="112" w:name="TRC_Disclaimer"/>
          <w:bookmarkEnd w:id="106"/>
          <w:bookmarkEnd w:id="107"/>
          <w:bookmarkEnd w:id="108"/>
          <w:bookmarkEnd w:id="110"/>
          <w:r>
            <w:rPr>
              <w:b/>
              <w:sz w:val="24"/>
            </w:rPr>
            <w:t>IMPORTANT DISCLOSURES</w:t>
          </w:r>
        </w:p>
        <w:p w:rsidR="006C5B01" w:rsidRDefault="006C5B01">
          <w:pPr>
            <w:pStyle w:val="SSBCharts"/>
          </w:pPr>
          <w:bookmarkStart w:id="113" w:name="bkm_InsertChart"/>
          <w:bookmarkStart w:id="114" w:name="DISC_TYPE_B_1_IMPTDISC"/>
          <w:bookmarkEnd w:id="113"/>
          <w:r>
            <w:pict>
              <v:shape id="_x0000_i1061" type="#_x0000_t75" alt="DisclosureImage:gif:https://uat.ir.citi.com/LSoNIhRPmGtm7gkOFudEvGQ0CRGLF3yDcEShnKJdAjY%3D" style="width:489.95pt;height:178.5pt">
                <v:imagedata r:id="rId110" o:title="Image title"/>
              </v:shape>
            </w:pict>
          </w:r>
        </w:p>
        <w:p w:rsidR="006C5B01" w:rsidRDefault="006C5B01">
          <w:pPr>
            <w:pStyle w:val="DisclosureHiddenText"/>
            <w:rPr>
              <w:vanish w:val="0"/>
            </w:rPr>
          </w:pPr>
          <w:bookmarkStart w:id="115" w:name="bkmHiddenTableStart_1"/>
          <w:bookmarkEnd w:id="115"/>
          <w:r>
            <w:t>Bruker Corp (BRKR)</w:t>
          </w:r>
        </w:p>
        <w:p w:rsidR="006C5B01" w:rsidRDefault="006C5B01">
          <w:pPr>
            <w:pStyle w:val="DisclosureHiddenText"/>
            <w:rPr>
              <w:vanish w:val="0"/>
            </w:rPr>
          </w:pPr>
          <w:r>
            <w:t>Ratings and Target Price History - Fundamental Research</w:t>
          </w:r>
        </w:p>
        <w:p w:rsidR="006C5B01" w:rsidRDefault="006C5B01">
          <w:pPr>
            <w:pStyle w:val="DisclosureHiddenText"/>
            <w:rPr>
              <w:vanish w:val="0"/>
            </w:rPr>
          </w:pPr>
          <w:r>
            <w:t>Analyst: Daniel Arias - Covered since July 17 2014</w:t>
          </w:r>
        </w:p>
        <w:p w:rsidR="006C5B01" w:rsidRDefault="006C5B01">
          <w:pPr>
            <w:pStyle w:val="DisclosureHiddenText"/>
            <w:rPr>
              <w:vanish w:val="0"/>
            </w:rPr>
          </w:pPr>
          <w:r>
            <w:t>------------------------------------------</w:t>
          </w:r>
        </w:p>
        <w:p w:rsidR="006C5B01" w:rsidRDefault="006C5B01">
          <w:pPr>
            <w:pStyle w:val="DisclosureHiddenText"/>
            <w:rPr>
              <w:vanish w:val="0"/>
            </w:rPr>
          </w:pPr>
          <w:r>
            <w:t xml:space="preserve">                        Target     Closing</w:t>
          </w:r>
        </w:p>
        <w:p w:rsidR="006C5B01" w:rsidRDefault="006C5B01">
          <w:pPr>
            <w:pStyle w:val="DisclosureHiddenText"/>
            <w:rPr>
              <w:vanish w:val="0"/>
            </w:rPr>
          </w:pPr>
          <w:r>
            <w:t xml:space="preserve">                         Price       Price</w:t>
          </w:r>
        </w:p>
        <w:p w:rsidR="006C5B01" w:rsidRDefault="006C5B01">
          <w:pPr>
            <w:pStyle w:val="DisclosureHiddenText"/>
            <w:rPr>
              <w:vanish w:val="0"/>
            </w:rPr>
          </w:pPr>
          <w:r>
            <w:t>Date          Rating     (USD)       (USD)</w:t>
          </w:r>
        </w:p>
        <w:p w:rsidR="006C5B01" w:rsidRDefault="006C5B01">
          <w:pPr>
            <w:pStyle w:val="DisclosureHiddenText"/>
            <w:rPr>
              <w:vanish w:val="0"/>
            </w:rPr>
          </w:pPr>
          <w:r>
            <w:t>------------------------------------------</w:t>
          </w:r>
        </w:p>
        <w:p w:rsidR="006C5B01" w:rsidRDefault="006C5B01">
          <w:pPr>
            <w:pStyle w:val="DisclosureHiddenText"/>
            <w:rPr>
              <w:vanish w:val="0"/>
            </w:rPr>
          </w:pPr>
          <w:r>
            <w:t xml:space="preserve"> 8 Oct 11   Stock rating system changed                               </w:t>
          </w:r>
        </w:p>
        <w:p w:rsidR="006C5B01" w:rsidRDefault="006C5B01">
          <w:pPr>
            <w:pStyle w:val="DisclosureHiddenText"/>
            <w:rPr>
              <w:vanish w:val="0"/>
            </w:rPr>
          </w:pPr>
          <w:r>
            <w:t xml:space="preserve">17 Jul 14         *1    *30.00       22.92                            </w:t>
          </w:r>
        </w:p>
        <w:p w:rsidR="006C5B01" w:rsidRDefault="006C5B01">
          <w:pPr>
            <w:pStyle w:val="DisclosureHiddenText"/>
            <w:rPr>
              <w:vanish w:val="0"/>
            </w:rPr>
          </w:pPr>
          <w:r>
            <w:t xml:space="preserve"> 6 Aug 14          1    *27.00       22.80                            </w:t>
          </w:r>
        </w:p>
        <w:p w:rsidR="006C5B01" w:rsidRDefault="006C5B01">
          <w:pPr>
            <w:pStyle w:val="DisclosureHiddenText"/>
            <w:rPr>
              <w:vanish w:val="0"/>
            </w:rPr>
          </w:pPr>
          <w:r>
            <w:t xml:space="preserve">21 Nov 14          1    *27.00       18.35                            </w:t>
          </w:r>
        </w:p>
        <w:p w:rsidR="006C5B01" w:rsidRDefault="006C5B01">
          <w:pPr>
            <w:pStyle w:val="DisclosureHiddenText"/>
            <w:rPr>
              <w:vanish w:val="0"/>
            </w:rPr>
          </w:pPr>
          <w:r>
            <w:t>------------------------------------------</w:t>
          </w:r>
        </w:p>
        <w:p w:rsidR="006C5B01" w:rsidRDefault="006C5B01">
          <w:pPr>
            <w:pStyle w:val="DisclosureHiddenText"/>
            <w:rPr>
              <w:vanish w:val="0"/>
            </w:rPr>
          </w:pPr>
          <w:r>
            <w:t xml:space="preserve"> </w:t>
          </w:r>
        </w:p>
        <w:p w:rsidR="006C5B01" w:rsidRDefault="006C5B01">
          <w:pPr>
            <w:pStyle w:val="DisclosureHiddenText"/>
            <w:rPr>
              <w:vanish w:val="0"/>
            </w:rPr>
          </w:pPr>
          <w:r>
            <w:t>* Indicates change</w:t>
          </w:r>
        </w:p>
        <w:p w:rsidR="006C5B01" w:rsidRDefault="006C5B01">
          <w:pPr>
            <w:pStyle w:val="DisclosureHiddenText"/>
            <w:rPr>
              <w:vanish w:val="0"/>
            </w:rPr>
          </w:pPr>
          <w:r>
            <w:t>Rating/target price changes above reflect Eastern Standard Time</w:t>
          </w:r>
        </w:p>
        <w:p w:rsidR="006C5B01" w:rsidRDefault="006C5B01">
          <w:pPr>
            <w:pStyle w:val="SSBCharts"/>
          </w:pPr>
          <w:bookmarkStart w:id="116" w:name="bkmHiddenTableEnd_1"/>
          <w:bookmarkEnd w:id="116"/>
          <w:r>
            <w:pict>
              <v:shape id="_x0000_i1062" type="#_x0000_t75" alt="DisclosureImage:gif:https://uat.ir.citi.com/LSoNIhRPmGs39MAmIusvKc4KR7%2FPdYmtj1osXuXwDXhOPSc0rso1fg%3D%3D" style="width:489.95pt;height:160.5pt">
                <v:imagedata r:id="rId111" o:title="Image title"/>
              </v:shape>
            </w:pict>
          </w:r>
        </w:p>
        <w:p w:rsidR="006C5B01" w:rsidRDefault="006C5B01">
          <w:pPr>
            <w:pStyle w:val="DisclosureHiddenText"/>
            <w:rPr>
              <w:vanish w:val="0"/>
            </w:rPr>
          </w:pPr>
          <w:bookmarkStart w:id="117" w:name="bkmHiddenTableStart_2"/>
          <w:bookmarkEnd w:id="117"/>
          <w:r>
            <w:t>Bruker Corp (BRKR)</w:t>
          </w:r>
        </w:p>
        <w:p w:rsidR="006C5B01" w:rsidRDefault="006C5B01">
          <w:pPr>
            <w:pStyle w:val="DisclosureHiddenText"/>
            <w:rPr>
              <w:vanish w:val="0"/>
            </w:rPr>
          </w:pPr>
          <w:r>
            <w:t>Ratings and Target Price History - Best Ideas Research</w:t>
          </w:r>
        </w:p>
        <w:p w:rsidR="006C5B01" w:rsidRDefault="006C5B01">
          <w:pPr>
            <w:pStyle w:val="DisclosureHiddenText"/>
            <w:rPr>
              <w:vanish w:val="0"/>
            </w:rPr>
          </w:pPr>
          <w:r>
            <w:t>Relative Call (3 Month)</w:t>
          </w:r>
        </w:p>
        <w:p w:rsidR="006C5B01" w:rsidRDefault="006C5B01">
          <w:pPr>
            <w:pStyle w:val="DisclosureHiddenText"/>
            <w:rPr>
              <w:vanish w:val="0"/>
            </w:rPr>
          </w:pPr>
          <w:r>
            <w:t>Analyst: Daniel Arias - Covered since July 17 2014</w:t>
          </w:r>
        </w:p>
        <w:p w:rsidR="006C5B01" w:rsidRDefault="006C5B01">
          <w:pPr>
            <w:pStyle w:val="DisclosureHiddenText"/>
            <w:rPr>
              <w:vanish w:val="0"/>
            </w:rPr>
          </w:pPr>
          <w:r>
            <w:t>------------------------------------------</w:t>
          </w:r>
        </w:p>
        <w:p w:rsidR="006C5B01" w:rsidRDefault="006C5B01">
          <w:pPr>
            <w:pStyle w:val="DisclosureHiddenText"/>
            <w:rPr>
              <w:vanish w:val="0"/>
            </w:rPr>
          </w:pPr>
          <w:r>
            <w:t xml:space="preserve">                        Target     Closing</w:t>
          </w:r>
        </w:p>
        <w:p w:rsidR="006C5B01" w:rsidRDefault="006C5B01">
          <w:pPr>
            <w:pStyle w:val="DisclosureHiddenText"/>
            <w:rPr>
              <w:vanish w:val="0"/>
            </w:rPr>
          </w:pPr>
          <w:r>
            <w:t xml:space="preserve">                         Price       Price</w:t>
          </w:r>
        </w:p>
        <w:p w:rsidR="006C5B01" w:rsidRDefault="006C5B01">
          <w:pPr>
            <w:pStyle w:val="DisclosureHiddenText"/>
            <w:rPr>
              <w:vanish w:val="0"/>
            </w:rPr>
          </w:pPr>
          <w:r>
            <w:t>Date          Rating     (USD)       (USD)</w:t>
          </w:r>
        </w:p>
        <w:p w:rsidR="006C5B01" w:rsidRDefault="006C5B01">
          <w:pPr>
            <w:pStyle w:val="DisclosureHiddenText"/>
            <w:rPr>
              <w:vanish w:val="0"/>
            </w:rPr>
          </w:pPr>
          <w:r>
            <w:t>------------------------------------------</w:t>
          </w:r>
        </w:p>
        <w:p w:rsidR="006C5B01" w:rsidRDefault="006C5B01">
          <w:pPr>
            <w:pStyle w:val="DisclosureHiddenText"/>
            <w:rPr>
              <w:vanish w:val="0"/>
            </w:rPr>
          </w:pPr>
          <w:r>
            <w:t>------------------------------------------</w:t>
          </w:r>
        </w:p>
        <w:p w:rsidR="006C5B01" w:rsidRDefault="006C5B01">
          <w:pPr>
            <w:pStyle w:val="DisclosureHiddenText"/>
            <w:rPr>
              <w:vanish w:val="0"/>
            </w:rPr>
          </w:pPr>
          <w:r>
            <w:t xml:space="preserve"> </w:t>
          </w:r>
        </w:p>
        <w:p w:rsidR="006C5B01" w:rsidRDefault="006C5B01">
          <w:pPr>
            <w:pStyle w:val="DisclosureHiddenText"/>
            <w:rPr>
              <w:vanish w:val="0"/>
            </w:rPr>
          </w:pPr>
          <w:r>
            <w:t>* Indicates change</w:t>
          </w:r>
        </w:p>
        <w:p w:rsidR="006C5B01" w:rsidRDefault="006C5B01">
          <w:pPr>
            <w:pStyle w:val="DisclosureHiddenText"/>
            <w:rPr>
              <w:vanish w:val="0"/>
            </w:rPr>
          </w:pPr>
          <w:r>
            <w:t>Rating/target price changes above reflect Eastern Standard Time</w:t>
          </w:r>
        </w:p>
        <w:p w:rsidR="006C5B01" w:rsidRDefault="006C5B01">
          <w:pPr>
            <w:pStyle w:val="SSBDisclaimer"/>
          </w:pPr>
          <w:bookmarkStart w:id="118" w:name="bkmHiddenTableEnd_2"/>
          <w:bookmarkEnd w:id="118"/>
        </w:p>
        <w:p w:rsidR="006C5B01" w:rsidRDefault="006C5B01">
          <w:pPr>
            <w:pStyle w:val="SSBDisclaimer"/>
          </w:pPr>
          <w:bookmarkStart w:id="119" w:name="DISC_TYPE_B_2_IMPTDISC"/>
          <w:bookmarkEnd w:id="114"/>
          <w:r>
            <w:t>Citigroup Global Markets Inc. or an affiliate received compensation for products and services other than investment banking services from Bruker Corp in the past 12 months.</w:t>
          </w:r>
        </w:p>
        <w:p w:rsidR="006C5B01" w:rsidRDefault="006C5B01">
          <w:pPr>
            <w:pStyle w:val="SSBDisclaimer"/>
          </w:pPr>
          <w:bookmarkStart w:id="120" w:name="DISC_TYPE_B_3_IMPTDISC"/>
          <w:bookmarkEnd w:id="119"/>
          <w:r>
            <w:t>Citigroup Global Markets Inc. currently has, or had within the past 12 months, the following as clients, and the services provided were non-investment-banking, non-securities-related: Bruker Corp.</w:t>
          </w:r>
        </w:p>
        <w:p w:rsidR="006C5B01" w:rsidRDefault="006C5B01">
          <w:pPr>
            <w:pStyle w:val="SSBDisclaimer"/>
          </w:pPr>
          <w:bookmarkStart w:id="121" w:name="DISC_TYPE_B_4_IMPTDISC"/>
          <w:bookmarkEnd w:id="120"/>
          <w:r>
            <w:t>Analysts' compensation is determined based upon activities and services intended to benefit the investor clients of Citigroup Global Markets Inc. and its affiliates ("the Firm"). Like all Firm employees, analysts receive compensation that is impacted by overall firm profitability which includes investment banking revenues.</w:t>
          </w:r>
        </w:p>
        <w:p w:rsidR="006C5B01" w:rsidRDefault="006C5B01">
          <w:pPr>
            <w:pStyle w:val="SSBDisclaimer"/>
          </w:pPr>
          <w:bookmarkStart w:id="122" w:name="DISC_TYPE_B_5_IMPTDISC"/>
          <w:bookmarkEnd w:id="121"/>
          <w:r>
            <w:t>The Firm is a market maker in the publicly traded equity securities of Bruker Corp.</w:t>
          </w:r>
        </w:p>
        <w:p w:rsidR="006C5B01" w:rsidRDefault="006C5B01">
          <w:pPr>
            <w:pStyle w:val="SSBDisclaimer"/>
          </w:pPr>
          <w:bookmarkStart w:id="123" w:name="DISC_TYPE_B_6_IMPTDISC"/>
          <w:bookmarkEnd w:id="122"/>
          <w:r>
            <w:t xml:space="preserve">For important disclosures (including copies of historical disclosures) regarding the companies that are the subject of this Citi Research product ("the Product"), please contact Citi Research, 388 Greenwich Street, 28th Floor, New York, NY, 10013, Attention: Legal/Compliance [E6WYB6412478]. In addition, the same important disclosures, with the exception of the Valuation and Risk assessments and historical disclosures, are contained on the Firm's disclosure website at </w:t>
          </w:r>
          <w:hyperlink r:id="rId112" w:history="1">
            <w:r>
              <w:t>https://uat.citivelocity.com/cvr/eppublic/citi_research_disclosures</w:t>
            </w:r>
          </w:hyperlink>
          <w:r>
            <w:t>.   Valuation and Risk assessments can be found in the text of the most recent research note/report regarding the subject company. Historical disclosures (for up to the past three years) will be provided upon request.</w:t>
          </w:r>
        </w:p>
        <w:tbl>
          <w:tblPr>
            <w:tblW w:w="5000" w:type="pct"/>
            <w:tblLayout w:type="fixed"/>
            <w:tblCellMar>
              <w:left w:w="0" w:type="dxa"/>
              <w:right w:w="0" w:type="dxa"/>
            </w:tblCellMar>
            <w:tblLook w:val="0000" w:firstRow="0" w:lastRow="0" w:firstColumn="0" w:lastColumn="0" w:noHBand="0" w:noVBand="0"/>
          </w:tblPr>
          <w:tblGrid>
            <w:gridCol w:w="6750"/>
            <w:gridCol w:w="579"/>
            <w:gridCol w:w="579"/>
            <w:gridCol w:w="579"/>
            <w:gridCol w:w="579"/>
            <w:gridCol w:w="579"/>
            <w:gridCol w:w="579"/>
          </w:tblGrid>
          <w:tr w:rsidR="006C5B01">
            <w:tc>
              <w:tcPr>
                <w:tcW w:w="7000" w:type="dxa"/>
              </w:tcPr>
              <w:p w:rsidR="006C5B01" w:rsidRDefault="006C5B01">
                <w:pPr>
                  <w:pStyle w:val="RatingHeadingTitle"/>
                </w:pPr>
                <w:bookmarkStart w:id="124" w:name="DISC_TYPE_B_7_IMPTDISC"/>
                <w:bookmarkEnd w:id="123"/>
                <w:r>
                  <w:t>Citi Research Equity Ratings Distribution</w:t>
                </w:r>
              </w:p>
            </w:tc>
            <w:tc>
              <w:tcPr>
                <w:tcW w:w="600" w:type="dxa"/>
              </w:tcPr>
              <w:p w:rsidR="006C5B01" w:rsidRDefault="006C5B01">
                <w:pPr>
                  <w:pStyle w:val="RatingHeadingTitle"/>
                </w:pPr>
              </w:p>
            </w:tc>
            <w:tc>
              <w:tcPr>
                <w:tcW w:w="600" w:type="dxa"/>
              </w:tcPr>
              <w:p w:rsidR="006C5B01" w:rsidRDefault="006C5B01">
                <w:pPr>
                  <w:pStyle w:val="RatingHeadingTitle"/>
                </w:pPr>
              </w:p>
            </w:tc>
            <w:tc>
              <w:tcPr>
                <w:tcW w:w="600" w:type="dxa"/>
              </w:tcPr>
              <w:p w:rsidR="006C5B01" w:rsidRDefault="006C5B01">
                <w:pPr>
                  <w:pStyle w:val="RatingHeadingTitle"/>
                </w:pPr>
              </w:p>
            </w:tc>
            <w:tc>
              <w:tcPr>
                <w:tcW w:w="600" w:type="dxa"/>
              </w:tcPr>
              <w:p w:rsidR="006C5B01" w:rsidRDefault="006C5B01">
                <w:pPr>
                  <w:pStyle w:val="RatingHeadingTitle"/>
                </w:pPr>
              </w:p>
            </w:tc>
            <w:tc>
              <w:tcPr>
                <w:tcW w:w="600" w:type="dxa"/>
              </w:tcPr>
              <w:p w:rsidR="006C5B01" w:rsidRDefault="006C5B01">
                <w:pPr>
                  <w:pStyle w:val="RatingHeadingTitle"/>
                </w:pPr>
              </w:p>
            </w:tc>
            <w:tc>
              <w:tcPr>
                <w:tcW w:w="600" w:type="dxa"/>
              </w:tcPr>
              <w:p w:rsidR="006C5B01" w:rsidRDefault="006C5B01">
                <w:pPr>
                  <w:pStyle w:val="RatingHeadingTitle"/>
                </w:pPr>
              </w:p>
            </w:tc>
          </w:tr>
          <w:tr w:rsidR="006C5B01">
            <w:tc>
              <w:tcPr>
                <w:tcW w:w="7000" w:type="dxa"/>
              </w:tcPr>
              <w:p w:rsidR="006C5B01" w:rsidRDefault="006C5B01">
                <w:pPr>
                  <w:pStyle w:val="RatingDate"/>
                </w:pPr>
              </w:p>
            </w:tc>
            <w:tc>
              <w:tcPr>
                <w:tcW w:w="1800" w:type="dxa"/>
                <w:gridSpan w:val="3"/>
              </w:tcPr>
              <w:p w:rsidR="006C5B01" w:rsidRDefault="006C5B01">
                <w:pPr>
                  <w:pStyle w:val="RatingDate"/>
                  <w:jc w:val="center"/>
                </w:pPr>
                <w:r>
                  <w:t>12 Month Rating</w:t>
                </w:r>
              </w:p>
            </w:tc>
            <w:tc>
              <w:tcPr>
                <w:tcW w:w="1800" w:type="dxa"/>
                <w:gridSpan w:val="3"/>
              </w:tcPr>
              <w:p w:rsidR="006C5B01" w:rsidRDefault="006C5B01">
                <w:pPr>
                  <w:pStyle w:val="RatingDate"/>
                  <w:jc w:val="center"/>
                </w:pPr>
                <w:r>
                  <w:t>Relative Rating</w:t>
                </w:r>
              </w:p>
            </w:tc>
          </w:tr>
          <w:tr w:rsidR="006C5B01">
            <w:tc>
              <w:tcPr>
                <w:tcW w:w="7000" w:type="dxa"/>
              </w:tcPr>
              <w:p w:rsidR="006C5B01" w:rsidRDefault="006C5B01">
                <w:pPr>
                  <w:pStyle w:val="RatingDate"/>
                </w:pPr>
                <w:r>
                  <w:t>Data current as of 30 Jun 2014</w:t>
                </w:r>
              </w:p>
            </w:tc>
            <w:tc>
              <w:tcPr>
                <w:tcW w:w="600" w:type="dxa"/>
              </w:tcPr>
              <w:p w:rsidR="006C5B01" w:rsidRDefault="006C5B01">
                <w:pPr>
                  <w:pStyle w:val="Ratings"/>
                </w:pPr>
                <w:r>
                  <w:t>Buy</w:t>
                </w:r>
              </w:p>
            </w:tc>
            <w:tc>
              <w:tcPr>
                <w:tcW w:w="600" w:type="dxa"/>
              </w:tcPr>
              <w:p w:rsidR="006C5B01" w:rsidRDefault="006C5B01">
                <w:pPr>
                  <w:pStyle w:val="Ratings"/>
                </w:pPr>
                <w:r>
                  <w:t>Hold</w:t>
                </w:r>
              </w:p>
            </w:tc>
            <w:tc>
              <w:tcPr>
                <w:tcW w:w="600" w:type="dxa"/>
              </w:tcPr>
              <w:p w:rsidR="006C5B01" w:rsidRDefault="006C5B01">
                <w:pPr>
                  <w:pStyle w:val="Ratings"/>
                </w:pPr>
                <w:r>
                  <w:t>Sell</w:t>
                </w:r>
              </w:p>
            </w:tc>
            <w:tc>
              <w:tcPr>
                <w:tcW w:w="600" w:type="dxa"/>
              </w:tcPr>
              <w:p w:rsidR="006C5B01" w:rsidRDefault="006C5B01">
                <w:pPr>
                  <w:pStyle w:val="Ratings"/>
                </w:pPr>
                <w:r>
                  <w:t>Buy</w:t>
                </w:r>
              </w:p>
            </w:tc>
            <w:tc>
              <w:tcPr>
                <w:tcW w:w="600" w:type="dxa"/>
              </w:tcPr>
              <w:p w:rsidR="006C5B01" w:rsidRDefault="006C5B01">
                <w:pPr>
                  <w:pStyle w:val="Ratings"/>
                </w:pPr>
                <w:r>
                  <w:t>Hold</w:t>
                </w:r>
              </w:p>
            </w:tc>
            <w:tc>
              <w:tcPr>
                <w:tcW w:w="600" w:type="dxa"/>
              </w:tcPr>
              <w:p w:rsidR="006C5B01" w:rsidRDefault="006C5B01">
                <w:pPr>
                  <w:pStyle w:val="Ratings"/>
                </w:pPr>
                <w:r>
                  <w:t>Sell</w:t>
                </w:r>
              </w:p>
            </w:tc>
          </w:tr>
          <w:tr w:rsidR="006C5B01">
            <w:tc>
              <w:tcPr>
                <w:tcW w:w="7000" w:type="dxa"/>
                <w:tcBorders>
                  <w:top w:val="single" w:sz="4" w:space="0" w:color="C0C0C0"/>
                  <w:bottom w:val="nil"/>
                </w:tcBorders>
              </w:tcPr>
              <w:p w:rsidR="006C5B01" w:rsidRDefault="006C5B01">
                <w:pPr>
                  <w:pStyle w:val="RatingText"/>
                </w:pPr>
                <w:r>
                  <w:t>Citi Research Global Fundamental Coverage</w:t>
                </w:r>
              </w:p>
            </w:tc>
            <w:tc>
              <w:tcPr>
                <w:tcW w:w="600" w:type="dxa"/>
                <w:tcBorders>
                  <w:top w:val="single" w:sz="4" w:space="0" w:color="C0C0C0"/>
                  <w:bottom w:val="nil"/>
                </w:tcBorders>
              </w:tcPr>
              <w:p w:rsidR="006C5B01" w:rsidRDefault="006C5B01">
                <w:pPr>
                  <w:pStyle w:val="RatingNumbers"/>
                </w:pPr>
                <w:r>
                  <w:t>49%</w:t>
                </w:r>
              </w:p>
            </w:tc>
            <w:tc>
              <w:tcPr>
                <w:tcW w:w="600" w:type="dxa"/>
                <w:tcBorders>
                  <w:top w:val="single" w:sz="4" w:space="0" w:color="C0C0C0"/>
                  <w:bottom w:val="nil"/>
                </w:tcBorders>
              </w:tcPr>
              <w:p w:rsidR="006C5B01" w:rsidRDefault="006C5B01">
                <w:pPr>
                  <w:pStyle w:val="RatingNumbers"/>
                </w:pPr>
                <w:r>
                  <w:t>40%</w:t>
                </w:r>
              </w:p>
            </w:tc>
            <w:tc>
              <w:tcPr>
                <w:tcW w:w="600" w:type="dxa"/>
                <w:tcBorders>
                  <w:top w:val="single" w:sz="4" w:space="0" w:color="C0C0C0"/>
                  <w:bottom w:val="nil"/>
                </w:tcBorders>
              </w:tcPr>
              <w:p w:rsidR="006C5B01" w:rsidRDefault="006C5B01">
                <w:pPr>
                  <w:pStyle w:val="RatingNumbers"/>
                </w:pPr>
                <w:r>
                  <w:t>12%</w:t>
                </w:r>
              </w:p>
            </w:tc>
            <w:tc>
              <w:tcPr>
                <w:tcW w:w="600" w:type="dxa"/>
                <w:tcBorders>
                  <w:top w:val="single" w:sz="4" w:space="0" w:color="C0C0C0"/>
                  <w:bottom w:val="nil"/>
                </w:tcBorders>
              </w:tcPr>
              <w:p w:rsidR="006C5B01" w:rsidRDefault="006C5B01">
                <w:pPr>
                  <w:pStyle w:val="RatingNumbers"/>
                </w:pPr>
                <w:r>
                  <w:t>0%</w:t>
                </w:r>
              </w:p>
            </w:tc>
            <w:tc>
              <w:tcPr>
                <w:tcW w:w="600" w:type="dxa"/>
                <w:tcBorders>
                  <w:top w:val="single" w:sz="4" w:space="0" w:color="C0C0C0"/>
                  <w:bottom w:val="nil"/>
                </w:tcBorders>
              </w:tcPr>
              <w:p w:rsidR="006C5B01" w:rsidRDefault="006C5B01">
                <w:pPr>
                  <w:pStyle w:val="RatingNumbers"/>
                </w:pPr>
                <w:r>
                  <w:t>100%</w:t>
                </w:r>
              </w:p>
            </w:tc>
            <w:tc>
              <w:tcPr>
                <w:tcW w:w="600" w:type="dxa"/>
                <w:tcBorders>
                  <w:top w:val="single" w:sz="4" w:space="0" w:color="C0C0C0"/>
                  <w:bottom w:val="nil"/>
                </w:tcBorders>
              </w:tcPr>
              <w:p w:rsidR="006C5B01" w:rsidRDefault="006C5B01">
                <w:pPr>
                  <w:pStyle w:val="RatingNumbers"/>
                </w:pPr>
                <w:r>
                  <w:t>0%</w:t>
                </w:r>
              </w:p>
            </w:tc>
          </w:tr>
          <w:tr w:rsidR="006C5B01">
            <w:tblPrEx>
              <w:tblBorders>
                <w:bottom w:val="single" w:sz="4" w:space="0" w:color="auto"/>
              </w:tblBorders>
            </w:tblPrEx>
            <w:tc>
              <w:tcPr>
                <w:tcW w:w="7000" w:type="dxa"/>
              </w:tcPr>
              <w:p w:rsidR="006C5B01" w:rsidRDefault="006C5B01">
                <w:pPr>
                  <w:pStyle w:val="RatingText2"/>
                </w:pPr>
                <w:r>
                  <w:t>% of companies in each rating category that are investment banking clients</w:t>
                </w:r>
              </w:p>
            </w:tc>
            <w:tc>
              <w:tcPr>
                <w:tcW w:w="600" w:type="dxa"/>
              </w:tcPr>
              <w:p w:rsidR="006C5B01" w:rsidRDefault="006C5B01">
                <w:pPr>
                  <w:pStyle w:val="RatingNumbers"/>
                </w:pPr>
                <w:r>
                  <w:t>55%</w:t>
                </w:r>
              </w:p>
            </w:tc>
            <w:tc>
              <w:tcPr>
                <w:tcW w:w="600" w:type="dxa"/>
              </w:tcPr>
              <w:p w:rsidR="006C5B01" w:rsidRDefault="006C5B01">
                <w:pPr>
                  <w:pStyle w:val="RatingNumbers"/>
                </w:pPr>
                <w:r>
                  <w:t>53%</w:t>
                </w:r>
              </w:p>
            </w:tc>
            <w:tc>
              <w:tcPr>
                <w:tcW w:w="600" w:type="dxa"/>
              </w:tcPr>
              <w:p w:rsidR="006C5B01" w:rsidRDefault="006C5B01">
                <w:pPr>
                  <w:pStyle w:val="RatingNumbers"/>
                </w:pPr>
                <w:r>
                  <w:t>46%</w:t>
                </w:r>
              </w:p>
            </w:tc>
            <w:tc>
              <w:tcPr>
                <w:tcW w:w="600" w:type="dxa"/>
              </w:tcPr>
              <w:p w:rsidR="006C5B01" w:rsidRDefault="006C5B01">
                <w:pPr>
                  <w:pStyle w:val="RatingNumbers"/>
                </w:pPr>
                <w:r>
                  <w:t>0%</w:t>
                </w:r>
              </w:p>
            </w:tc>
            <w:tc>
              <w:tcPr>
                <w:tcW w:w="600" w:type="dxa"/>
              </w:tcPr>
              <w:p w:rsidR="006C5B01" w:rsidRDefault="006C5B01">
                <w:pPr>
                  <w:pStyle w:val="RatingNumbers"/>
                </w:pPr>
                <w:r>
                  <w:t>54%</w:t>
                </w:r>
              </w:p>
            </w:tc>
            <w:tc>
              <w:tcPr>
                <w:tcW w:w="600" w:type="dxa"/>
              </w:tcPr>
              <w:p w:rsidR="006C5B01" w:rsidRDefault="006C5B01">
                <w:pPr>
                  <w:pStyle w:val="RatingNumbers"/>
                </w:pPr>
                <w:r>
                  <w:t>0%</w:t>
                </w:r>
              </w:p>
            </w:tc>
          </w:tr>
        </w:tbl>
        <w:p w:rsidR="006C5B01" w:rsidRDefault="006C5B01">
          <w:pPr>
            <w:pStyle w:val="SSBDisclaimer"/>
          </w:pPr>
          <w:bookmarkStart w:id="125" w:name="DISC_TYPE_B_8_IMPTDISC"/>
          <w:bookmarkEnd w:id="124"/>
          <w:r>
            <w:rPr>
              <w:b/>
            </w:rPr>
            <w:t>Guide to Citi Research Fundamental Research Investment Ratings:</w:t>
          </w:r>
          <w:r>
            <w:br/>
            <w:t>Citi Research stock recommendations include an investment rating and an optional risk rating to highlight high risk stocks.</w:t>
          </w:r>
          <w:r>
            <w:br/>
          </w:r>
          <w:r>
            <w:rPr>
              <w:b/>
            </w:rPr>
            <w:t>Risk rating</w:t>
          </w:r>
          <w:r>
            <w:t xml:space="preserve"> takes into account both price volatility and fundamental criteria. Stocks will either have no risk rating or a High risk rating assigned.</w:t>
          </w:r>
          <w:r>
            <w:br/>
          </w:r>
          <w:r>
            <w:rPr>
              <w:b/>
            </w:rPr>
            <w:t xml:space="preserve">Investment Ratings: </w:t>
          </w:r>
          <w:r>
            <w:t xml:space="preserve">Citi Research investment ratings are Buy, Neutral and Sell. Our ratings are a function of analyst expectations of expected total return ("ETR") and risk. ETR is the sum of the forecast price appreciation (or depreciation) plus the dividend yield for a stock within the next 12 months.  The Investment rating definitions are: Buy (1) ETR of 15% or more or 25% or more for High risk stocks; and Sell (3) for negative ETR. Any covered stock not assigned a Buy or a Sell is a Neutral (2). For stocks rated Neutral (2), if an analyst believes that there are insufficient valuation drivers and/or investment catalysts to derive a positive or negative investment view, they may elect with the approval of Citi Research management not to assign a target price and, thus, not derive an ETR. Analysts may place covered stocks "Under Review" in response to exceptional circumstances (e.g. lack of information critical to the analyst's thesis) affecting the company and / or trading in the company's securities (e.g. trading suspension). As soon as practically possible, the analyst will publish a note re-establishing a rating and investment thesis. To satisfy regulatory requirements, we correspond Under Review and Neutral to Hold in our ratings distribution table for our 12-month fundamental rating system. However, we reiterate that we do not consider Under Review to be a recommendation. </w:t>
          </w:r>
        </w:p>
        <w:p w:rsidR="006C5B01" w:rsidRDefault="006C5B01">
          <w:pPr>
            <w:pStyle w:val="SSBDisclaimer"/>
          </w:pPr>
          <w:bookmarkStart w:id="126" w:name="DISC_TYPE_B_9_IMPTDISC"/>
          <w:bookmarkEnd w:id="125"/>
          <w:r>
            <w:t>Prior to May 1, 2014 Citi Research may have also assigned a three-month relative call (or rating) to a stock to highlight expected out-performance (most preferred) or under-performance (least preferred) versus the geographic and industry sector over a 3 month period. The relative call may have highlighted a specific near-term catalyst or event impacting the company or the market that was anticipated to have a short-term price impact on the equity securities of the company. Absent any specific catalyst the analyst(s) may have indicated the most and least preferred stocks in the universe of stocks under consideration, explaining the basis for this short-term view. This three-month view may have been different from and did not affect a stock's fundamental equity rating, which reflected a longer-term total absolute return expectation. For purposes of NASD/NYSE ratings-distribution-disclosure rules, most preferred calls corresponded to a buy recommendation and least preferred calls corresponded to a sell recommendation. Any stock not assigned to a most preferred or least preferred call was considered non-relative-rated (NRR). For purposes of NASD/NYSE ratings-distribution-disclosure rules we corresponded NRR to Hold in our ratings distribution table for our 3-month relative rating system. However, we reiterate that we did not consider NRR to be a recommendation.</w:t>
          </w:r>
        </w:p>
        <w:p w:rsidR="006C5B01" w:rsidRDefault="006C5B01">
          <w:pPr>
            <w:pStyle w:val="SSBDisclaimer"/>
          </w:pPr>
          <w:bookmarkStart w:id="127" w:name="DISC_TYPE_B_10_IMPTDISC"/>
          <w:bookmarkEnd w:id="126"/>
          <w:r>
            <w:t xml:space="preserve">Prior to October 8, 2011, the firm's stock recommendation system included a risk rating and an investment rating. </w:t>
          </w:r>
          <w:r>
            <w:rPr>
              <w:b/>
            </w:rPr>
            <w:t xml:space="preserve">Risk ratings, </w:t>
          </w:r>
          <w:r>
            <w:t xml:space="preserve">which took into account both price volatility and fundamental criteria, were: Low (L), Medium (M), High (H), and Speculative (S). </w:t>
          </w:r>
          <w:r>
            <w:rPr>
              <w:b/>
            </w:rPr>
            <w:t>Investment Ratings</w:t>
          </w:r>
          <w:r>
            <w:t xml:space="preserve"> of Buy, Hold and Sell were a function of the Citi Research expectation of total return (forecast price appreciation and dividend yield within the next 12 months) and risk rating. Additionally, analysts could have placed covered stocks "Under Review" in response to exceptional circumstances (e.g. lack of information critical to the analyst's thesis) affecting the company and/or trading in the company's securities (e.g. trading suspension). Stocks placed "Under Review" were monitored daily by management and as practically possible, the analyst published a note re-establishing a rating and investment thesis. For securities in developed markets (US, UK, Europe, Japan, and Australia/New Zealand), investment ratings were:Buy (1) (expected total return of 10% or more for Low-Risk stocks, 15% or more for Medium-Risk stocks, 20% or more for High-Risk stocks, and 35% or more for Speculative stocks); Hold (2) (0%-10% for Low-Risk stocks, 0%-15% for Medium-Risk stocks, 0%-20% for High-Risk stocks, and 0%-35% for Speculative stocks); and Sell (3) (negative total return). For securities in emerging markets (Asia Pacific, Emerging Europe/Middle East/Africa, and Latin America), investment ratings were:Buy (1) (expected total return of 15% or more for Low-Risk stocks, 20% or more for Medium-Risk stocks, 30% or more for High-Risk stocks, and 40% or more for Speculative stocks); Hold (2) (5%-15% for Low-Risk stocks, 10%-20% for Medium-Risk stocks, 15%-30% for High-Risk stocks, and 20%-40% for Speculative stocks); and Sell (3) (5% or less for Low-Risk stocks, 10% or less for Medium-Risk stocks, 15% or less for High-Risk stocks, and 20% or less for Speculative stocks).</w:t>
          </w:r>
        </w:p>
        <w:p w:rsidR="006C5B01" w:rsidRDefault="006C5B01">
          <w:pPr>
            <w:pStyle w:val="SSBDisclaimer"/>
          </w:pPr>
          <w:bookmarkStart w:id="128" w:name="DISC_TYPE_B_11_IMPTDISC"/>
          <w:bookmarkEnd w:id="127"/>
          <w:r>
            <w:t>Investment ratings are determined by the ranges described above at the time of initiation of coverage, a change in investment and/or risk rating, or a change in target price (subject to limited management discretion). At other times, the expected total returns may fall outside of these ranges because of market price movements and/or other short-term volatility or trading patterns. Such interim deviations from specified ranges will be permitted but will become subject to review by Research Management. Your decision to buy or sell a security should be based upon your personal investment objectives and should be made only after evaluating the stock's expected performance and risk.</w:t>
          </w:r>
        </w:p>
        <w:p w:rsidR="006C5B01" w:rsidRDefault="006C5B01">
          <w:pPr>
            <w:pStyle w:val="SSBDisclaimer"/>
            <w:pBdr>
              <w:bottom w:val="none" w:sz="0" w:space="0" w:color="auto"/>
              <w:between w:val="none" w:sz="0" w:space="0" w:color="auto"/>
            </w:pBdr>
          </w:pPr>
          <w:bookmarkStart w:id="129" w:name="DISC_TYPE_B_12_IMPTDISC"/>
          <w:bookmarkEnd w:id="128"/>
          <w:r>
            <w:rPr>
              <w:b/>
            </w:rPr>
            <w:t>NON-US RESEARCH ANALYST DISCLOSURES</w:t>
          </w:r>
          <w:r>
            <w:br/>
            <w:t>Non-US research analysts who have prepared this report (i.e., all research analysts listed below other than those identified as employed by Citigroup Global Markets Inc.) are not registered/qualified as research analysts with FINRA. Such research analysts may not be associated persons of the member organization and therefore may not be subject to the NYSE Rule 472 and NASD Rule 2711 restrictions on communications with a subject company, public appearances and trading securities held by a research analyst account. The legal entities employing the authors of this report are listed below:</w:t>
          </w:r>
        </w:p>
        <w:tbl>
          <w:tblPr>
            <w:tblW w:w="5000" w:type="pct"/>
            <w:tblCellSpacing w:w="15" w:type="dxa"/>
            <w:tblBorders>
              <w:bottom w:val="single" w:sz="4" w:space="0" w:color="auto"/>
            </w:tblBorders>
            <w:tblLayout w:type="fixed"/>
            <w:tblCellMar>
              <w:left w:w="0" w:type="dxa"/>
              <w:right w:w="0" w:type="dxa"/>
            </w:tblCellMar>
            <w:tblLook w:val="0000" w:firstRow="0" w:lastRow="0" w:firstColumn="0" w:lastColumn="0" w:noHBand="0" w:noVBand="0"/>
          </w:tblPr>
          <w:tblGrid>
            <w:gridCol w:w="4113"/>
            <w:gridCol w:w="6171"/>
          </w:tblGrid>
          <w:tr w:rsidR="006C5B01">
            <w:trPr>
              <w:tblCellSpacing w:w="15" w:type="dxa"/>
            </w:trPr>
            <w:tc>
              <w:tcPr>
                <w:tcW w:w="3955" w:type="dxa"/>
                <w:tcBorders>
                  <w:top w:val="nil"/>
                  <w:bottom w:val="single" w:sz="4" w:space="0" w:color="C0C0C0"/>
                </w:tcBorders>
              </w:tcPr>
              <w:p w:rsidR="006C5B01" w:rsidRDefault="006C5B01">
                <w:pPr>
                  <w:pStyle w:val="RatingText"/>
                </w:pPr>
                <w:bookmarkStart w:id="130" w:name="DISC_TYPE_B_13_IMPTDISC"/>
                <w:bookmarkEnd w:id="129"/>
                <w:r>
                  <w:t>Citigroup Global Markets Inc</w:t>
                </w:r>
              </w:p>
            </w:tc>
            <w:tc>
              <w:tcPr>
                <w:tcW w:w="5955" w:type="dxa"/>
                <w:tcBorders>
                  <w:top w:val="nil"/>
                  <w:bottom w:val="single" w:sz="4" w:space="0" w:color="C0C0C0"/>
                </w:tcBorders>
              </w:tcPr>
              <w:p w:rsidR="006C5B01" w:rsidRDefault="006C5B01">
                <w:pPr>
                  <w:pStyle w:val="RatingText"/>
                </w:pPr>
                <w:r>
                  <w:t>Daniel Arias</w:t>
                </w:r>
              </w:p>
            </w:tc>
          </w:tr>
        </w:tbl>
        <w:p w:rsidR="006C5B01" w:rsidRDefault="006C5B01">
          <w:pPr>
            <w:pStyle w:val="SSBDisclaimer"/>
            <w:keepNext/>
          </w:pPr>
          <w:bookmarkStart w:id="131" w:name="bkmText_Other"/>
          <w:bookmarkStart w:id="132" w:name="RENDITION_OTHER"/>
          <w:bookmarkEnd w:id="111"/>
          <w:bookmarkEnd w:id="130"/>
          <w:bookmarkEnd w:id="131"/>
          <w:r>
            <w:rPr>
              <w:b/>
              <w:sz w:val="24"/>
            </w:rPr>
            <w:t>OTHER DISCLOSURES</w:t>
          </w:r>
        </w:p>
        <w:p w:rsidR="006C5B01" w:rsidRDefault="006C5B01">
          <w:pPr>
            <w:pStyle w:val="SSBDisclaimer"/>
          </w:pPr>
          <w:bookmarkStart w:id="133" w:name="DISC_TYPE_B_1_OTHDISC"/>
          <w:r>
            <w:t>The subject company's share price set out on the front page of this Product is quoted as at 16 December 2014 01:04 PM on the issuer's primary market.</w:t>
          </w:r>
        </w:p>
        <w:p w:rsidR="006C5B01" w:rsidRDefault="006C5B01">
          <w:pPr>
            <w:pStyle w:val="SSBDisclaimer"/>
          </w:pPr>
          <w:bookmarkStart w:id="134" w:name="DISC_TYPE_B_2_OTHDISC"/>
          <w:bookmarkEnd w:id="133"/>
          <w:r>
            <w:t>For securities recommended in the Product in which the Firm is not a market maker, the Firm is a liquidity provider in the issuers' financial instruments and may act as principal in connection with such transactions. The Firm is a regular issuer of traded financial instruments linked to securities that may have been recommended in the Product. The Firm regularly trades in the securities of the issuer(s) discussed in the Product. The Firm may engage in securities transactions in a manner inconsistent with the Product and, with respect to securities covered by the Product, will buy or sell from customers on a principal basis.</w:t>
          </w:r>
        </w:p>
        <w:p w:rsidR="006C5B01" w:rsidRDefault="006C5B01">
          <w:pPr>
            <w:pStyle w:val="SSBDisclaimer"/>
          </w:pPr>
          <w:bookmarkStart w:id="135" w:name="DISC_TYPE_B_3_OTHDISC"/>
          <w:bookmarkEnd w:id="134"/>
          <w:r>
            <w:t>Securities recommended, offered, or sold by the Firm: (i) are not insured by the Federal Deposit Insurance Corporation; (ii) are not deposits or other obligations of any insured depository institution (including Citibank); and (iii) are subject to investment risks, including the possible loss of the principal amount invested. Although information has been obtained from and is based upon sources that the Firm believes to be reliable, we do not guarantee its accuracy and it may be incomplete and condensed. Note, however, that the Firm has taken all reasonable steps to determine the accuracy and completeness of the disclosures made in the Important Disclosures section of the Product. The Firm's research department has received assistance from the subject company(ies) referred to in this Product including, but not limited to, discussions with management of the subject company(ies). Firm policy prohibits research analysts from sending draft research to subject companies. However, it should be presumed that the author of the Product has had discussions with the subject company to ensure factual accuracy prior to publication. All opinions, projections and estimates constitute the judgment of the author as of the date of the Product and these, plus any other information contained in the Product, are subject to change without notice. Prices and availability of financial instruments also are subject to change without notice. Notwithstanding other departments within the Firm advising the companies discussed in this Product, information obtained in such role is not used in the preparation of the Product. Although Citi Research does not set a predetermined frequency for publication, if the Product is a fundamental research report, it is the intention of Citi Research to provide research coverage of the/those issuer(s) mentioned therein, including in response to news affecting this issuer, subject to applicable quiet periods and capacity constraints. The Product is for informational purposes only and is not intended as an offer or solicitation for the purchase or sale of a security. Any decision to purchase securities mentioned in the Product must take into account existing public information on such security or any registered prospectus.</w:t>
          </w:r>
        </w:p>
        <w:p w:rsidR="006C5B01" w:rsidRDefault="006C5B01">
          <w:pPr>
            <w:pStyle w:val="SSBDisclaimer"/>
          </w:pPr>
          <w:bookmarkStart w:id="136" w:name="DISC_TYPE_B_4_OTHDISC"/>
          <w:bookmarkEnd w:id="135"/>
          <w:r>
            <w:t>Investing in non-U.S. securities, including ADRs, may entail certain risks. The securities of non-U.S. issuers may not be registered with, nor be subject to the reporting requirements of the U.S. Securities and Exchange Commission. There may be limited information available on foreign securities. Foreign companies are generally not subject to uniform audit and reporting standards, practices and requirements comparable to those in the U.S. Securities of some foreign companies may be less liquid and their prices more volatile than securities of comparable U.S. companies. In addition, exchange rate movements may have an adverse effect on the value of an investment in a foreign stock and its corresponding dividend payment for U.S. investors. Net dividends to ADR investors are estimated, using withholding tax rates conventions, deemed accurate, but investors are urged to consult their tax advisor for exact dividend computations. Investors who have received the Product from the Firm may be prohibited in certain states or other jurisdictions from purchasing securities mentioned in the Product from the Firm. Please ask your Financial Consultant for additional details. Citigroup Global Markets Inc. takes responsibility for the Product in the United States. Any orders by US investors resulting from the information contained in the Product may be placed only through Citigroup Global Markets Inc.</w:t>
          </w:r>
        </w:p>
        <w:p w:rsidR="006C5B01" w:rsidRDefault="006C5B01">
          <w:pPr>
            <w:pStyle w:val="SSBDisclaimer"/>
          </w:pPr>
          <w:bookmarkStart w:id="137" w:name="DISC_TYPE_B_5_OTHDISC"/>
          <w:bookmarkEnd w:id="136"/>
          <w:r>
            <w:rPr>
              <w:b/>
            </w:rPr>
            <w:t>Important Disclosures for Bell Potter Customers:</w:t>
          </w:r>
          <w:r>
            <w:t xml:space="preserve"> Bell Potter is making this Product available to its clients pursuant to an agreement with Citigroup Global Markets Australia Pty Limited.  Neither Citigroup Global Markets Australia Pty Limited nor any of its affiliates has made any determination as to the suitability of the information provided herein and clients should consult with their Bell Potter financial advisor before making any investment decision.</w:t>
          </w:r>
        </w:p>
        <w:p w:rsidR="006C5B01" w:rsidRDefault="006C5B01">
          <w:pPr>
            <w:pStyle w:val="SSBDisclaimer"/>
          </w:pPr>
          <w:bookmarkStart w:id="138" w:name="DISC_TYPE_B_6_OTHDISC"/>
          <w:bookmarkEnd w:id="137"/>
          <w:r>
            <w:rPr>
              <w:b/>
            </w:rPr>
            <w:t>The Citigroup legal entity that takes responsibility for the production of the Product is the legal entity which the first named author is employed by.</w:t>
          </w:r>
          <w:r>
            <w:t xml:space="preserve">  The Product is made available in </w:t>
          </w:r>
          <w:r>
            <w:rPr>
              <w:b/>
            </w:rPr>
            <w:t>Australia</w:t>
          </w:r>
          <w:r>
            <w:t xml:space="preserve"> through Citigroup Global Markets Australia Pty Limited. (ABN 64 003 114 832 and AFSL No. 240992), participant of the ASX Group and regulated by the Australian Securities &amp; Investments Commission.  Citigroup Centre, 2 Park Street, Sydney, NSW 2000.  The Product is made available in Australia to Private Banking wholesale clients through Citigroup Pty Limited (ABN 88 004 325 080 and AFSL 238098). Citigroup Pty Limited provides all financial product advice to Australian Private Banking wholesale clients through bankers and relationship managers.  If there is any doubt about the suitability of investments held in Citigroup Private Bank accounts, investors should contact the Citigroup Private Bank in Australia.  Citigroup companies may compensate affiliates and their representatives for providing products and services to clients.  The Product is made available in </w:t>
          </w:r>
          <w:r>
            <w:rPr>
              <w:b/>
            </w:rPr>
            <w:t>Brazil</w:t>
          </w:r>
          <w:r>
            <w:t xml:space="preserve"> by Citigroup Global Markets Brasil - CCTVM SA, which is regulated by CVM - Comissão de Valores Mobiliários, BACEN - Brazilian Central Bank, APIMEC - Associação dos Analistas e Profissionais de Investimento do Mercado de Capitais and ANBID - Associação Nacional dos Bancos de Investimento.  Av. Paulista, 1111 - 11º andar - CEP. 01311920 - São Paulo - SP.  If the Product is being made available in certain provinces of </w:t>
          </w:r>
          <w:r>
            <w:rPr>
              <w:b/>
            </w:rPr>
            <w:t>Canada</w:t>
          </w:r>
          <w:r>
            <w:t xml:space="preserve"> by Citigroup Global Markets (Canada) Inc. ("CGM Canada"), CGM Canada has approved the Product.  Citigroup Place, 123 Front Street West, Suite 1100, Toronto, Ontario M5J 2M3.  This product is available in </w:t>
          </w:r>
          <w:r>
            <w:rPr>
              <w:b/>
            </w:rPr>
            <w:t>Chile</w:t>
          </w:r>
          <w:r>
            <w:t xml:space="preserve"> through Banchile Corredores de Bolsa S.A., an indirect subsidiary of Citigroup Inc., which is regulated by the Superintendencia de Valores y Seguros. Agustinas 975, piso 2, Santiago, Chile.   The Product is distributed in </w:t>
          </w:r>
          <w:r>
            <w:rPr>
              <w:b/>
            </w:rPr>
            <w:t>Germany</w:t>
          </w:r>
          <w:r>
            <w:t xml:space="preserve"> by Citigroup Global Markets Deutschland AG ("CGMD"), which is regulated by Bundesanstalt fuer Finanzdienstleistungsaufsicht (BaFin). CGMD, Reuterweg 16, 60323 Frankfurt am Main. Research which relates to "securities" (as defined in the Securities and Futures Ordinance (Cap. 571 of the Laws of Hong Kong)) is issued in </w:t>
          </w:r>
          <w:r>
            <w:rPr>
              <w:b/>
            </w:rPr>
            <w:t>Hong Kong</w:t>
          </w:r>
          <w:r>
            <w:t xml:space="preserve"> by, or on behalf of, Citigroup Global Markets Asia Limited which takes full responsibility for its content. Citigroup Global Markets Asia Ltd. is regulated by Hong Kong Securities and Futures Commission. If the Research is made available through Citibank, N.A., Hong Kong Branch, for its clients in Citi Private Bank, it is made available by Citibank N.A., Citibank Tower, Citibank Plaza, 3 Garden Road, Hong Kong. Citibank N.A. is regulated by the Hong Kong Monetary Authority. Please contact your Private Banker in Citibank N.A., Hong Kong, Branch if you have any queries on or any matters arising from or in connection with this document.  The Product is made available in </w:t>
          </w:r>
          <w:r>
            <w:rPr>
              <w:b/>
            </w:rPr>
            <w:t>India</w:t>
          </w:r>
          <w:r>
            <w:t xml:space="preserve"> by Citigroup Global Markets India Private Limited, which is regulated by Securities and Exchange Board of India.  1202, 12th Floor, FIFC, G Block, Bandra Kurla Complex, Bandra East, Mumbai - 400051 Corporate Identity Number: U99999MH2000PTC126657 Tel:+9102261759999 Fax:+9102261759961.  The Product is made available in </w:t>
          </w:r>
          <w:r>
            <w:rPr>
              <w:b/>
            </w:rPr>
            <w:t>Indonesia</w:t>
          </w:r>
          <w:r>
            <w:t xml:space="preserve"> through PT Citigroup Securities Indonesia.  5/F, Citibank Tower, Bapindo Plaza, Jl. Jend. Sudirman Kav. 54-55, Jakarta 12190.  Neither this Product nor any copy hereof may be distributed in Indonesia or to any Indonesian citizens wherever they are domiciled or to Indonesian residents except in compliance with applicable capital market laws and regulations. This Product is not an offer of securities in Indonesia. The securities referred to in this Product have not been registered with the Capital Market and Financial Institutions Supervisory Agency (BAPEPAM-LK) pursuant to relevant capital market laws and regulations, and may not be offered or sold within the territory of the Republic of Indonesia or to Indonesian citizens through a public offering or in circumstances which constitute an offer within the meaning of the Indonesian capital market laws and regulations.  The Product is made available in </w:t>
          </w:r>
          <w:r>
            <w:rPr>
              <w:b/>
            </w:rPr>
            <w:t>Israel</w:t>
          </w:r>
          <w:r>
            <w:t xml:space="preserve"> through Citibank NA, regulated by the Bank of Israel and the Israeli Securities Authority. Citibank, N.A, Platinum Building, 21 Ha'arba'ah St, Tel Aviv, Israel.   The Product is made available in </w:t>
          </w:r>
          <w:r>
            <w:rPr>
              <w:b/>
            </w:rPr>
            <w:t>Italy</w:t>
          </w:r>
          <w:r>
            <w:t xml:space="preserve"> by Citigroup Global Markets Limited, which is authorised by the PRA and regulated by the FCA and the PRA.  Via dei Mercanti, 12, Milan, 20121, Italy.  The Product is made available in </w:t>
          </w:r>
          <w:r>
            <w:rPr>
              <w:b/>
            </w:rPr>
            <w:t>Japan</w:t>
          </w:r>
          <w:r>
            <w:t xml:space="preserve"> by Citigroup Global Markets Japan Inc. ("CGMJ"), which is regulated by Financial Services Agency, Securities and Exchange Surveillance Commission, Japan Securities Dealers Association, Tokyo Stock Exchange and Osaka Securities Exchange.  Shin-Marunouchi Building, 1-5-1 Marunouchi, Chiyoda-ku, Tokyo 100-6520 Japan. If the Product was distributed by SMBC Nikko Securities Inc. it is being so distributed under license.  In the event that an error is found in an CGMJ research report, a revised version will be posted on the Firm's Citi Velocity website.  If you have questions regarding Citi Velocity, please call (81 3) 6270-3019 for help.   The Product is made available in </w:t>
          </w:r>
          <w:r>
            <w:rPr>
              <w:b/>
            </w:rPr>
            <w:t>Korea</w:t>
          </w:r>
          <w:r>
            <w:t xml:space="preserve"> by Citigroup Global Markets Korea Securities Ltd., which is regulated by the Financial Services Commission, the Financial Supervisory Service and the Korea Financial Investment Association (KOFIA). Citibank Building, 39 Da-dong, Jung-gu, Seoul 100-180, Korea.   KOFIA makes available registration information of research analysts on its website.  Please visit the following website if you wish to find KOFIA registration information on research analysts of Citigroup Global Markets Korea Securities Ltd.  </w:t>
          </w:r>
          <w:hyperlink r:id="rId113" w:history="1">
            <w:r>
              <w:t>http://dis.kofia.or.kr/fs/dis2/fundMgr/DISFundMgrAnalystPop.jsp?companyCd2=A03030&amp;pageDiv=02</w:t>
            </w:r>
          </w:hyperlink>
          <w:r>
            <w:t xml:space="preserve">. The Product is made available in Korea by Citibank Korea Inc., which is regulated by the Financial Services Commission and the Financial Supervisory Service. Address is Citibank Building, 39 Da-dong, Jung-gu, Seoul 100-180, Korea.  The Product is made available in </w:t>
          </w:r>
          <w:r>
            <w:rPr>
              <w:b/>
            </w:rPr>
            <w:t>Malaysia</w:t>
          </w:r>
          <w:r>
            <w:t xml:space="preserve"> by Citigroup Global Markets Malaysia Sdn Bhd (Company No. 460819-D) (“CGMM”) to its clients and CGMM takes responsibility for its contents. CGMM is regulated by the Securities Commission of Malaysia. Please contact CGMM at Level 43 Menara Citibank, 165 Jalan Ampang, 50450 Kuala Lumpur, Malaysia in respect of any matters arising from, or in connection with, the Product.  The Product is made available in </w:t>
          </w:r>
          <w:r>
            <w:rPr>
              <w:b/>
            </w:rPr>
            <w:t>Mexico</w:t>
          </w:r>
          <w:r>
            <w:t xml:space="preserve"> by Acciones y Valores Banamex, S.A. De C. V., Casa de Bolsa, Integrante del Grupo Financiero Banamex ("Accival") which is a wholly owned subsidiary of Citigroup Inc. and is regulated by Comision Nacional Bancaria y de Valores. Reforma 398, Col. Juarez, 06600 Mexico, D.F.  In </w:t>
          </w:r>
          <w:r>
            <w:rPr>
              <w:b/>
            </w:rPr>
            <w:t>New Zealand</w:t>
          </w:r>
          <w:r>
            <w:t xml:space="preserve"> the Product is made available to ‘wholesale clients’ only as defined by s5C(1) of the Financial Advisers Act 2008 (‘FAA’) through Citigroup Global Markets Australia Pty Ltd (ABN 64 003 114 832 and AFSL No. 240992), an overseas financial adviser as defined by the FAA, participant of the ASX Group and regulated by the Australian Securities &amp; Investments Commission. Citigroup Centre, 2 Park Street, Sydney, NSW 2000.  The Product is made available in </w:t>
          </w:r>
          <w:r>
            <w:rPr>
              <w:b/>
            </w:rPr>
            <w:t>Pakistan</w:t>
          </w:r>
          <w:r>
            <w:t xml:space="preserve"> by Citibank N.A. Pakistan branch, which is regulated by the State Bank of Pakistan and Securities Exchange Commission, Pakistan. AWT Plaza, 1.1. Chundrigar Road, P.O. Box 4889, Karachi-74200.  The Product is made available in the </w:t>
          </w:r>
          <w:r>
            <w:rPr>
              <w:b/>
            </w:rPr>
            <w:t>Philippines</w:t>
          </w:r>
          <w:r>
            <w:t xml:space="preserve"> through Citicorp Financial Services and Insurance Brokerage Philippines, Inc., which is regulated by the Philippines Securities and Exchange Commission. 20th Floor Citibank Square Bldg. The Product is made available in the Philippines through Citibank NA Philippines branch, Citibank Tower, 8741 Paseo De Roxas, Makati City, Manila. Citibank NA Philippines NA is regulated by The Bangko Sentral ng Pilipinas. The Product is made available in </w:t>
          </w:r>
          <w:r>
            <w:rPr>
              <w:b/>
            </w:rPr>
            <w:t>Poland</w:t>
          </w:r>
          <w:r>
            <w:t xml:space="preserve"> by Dom Maklerski Banku Handlowego SA an indirect subsidiary of Citigroup Inc., which is regulated by Komisja Nadzoru Finansowego.  Dom Maklerski Banku Handlowego S.A. ul.Senatorska 16, 00-923 Warszawa.  The Product is made available in the </w:t>
          </w:r>
          <w:r>
            <w:rPr>
              <w:b/>
            </w:rPr>
            <w:t>Russian Federation</w:t>
          </w:r>
          <w:r>
            <w:t xml:space="preserve"> through ZAO Citibank, which is licensed to carry out banking activities in the Russian Federation in accordance with the general banking license issued by the Central Bank of the Russian Federation and brokerage activities in accordance with the license issued by the Federal Service for Financial Markets.  Neither the Product nor any information contained in the Product shall be considered as advertising the securities mentioned in this report within the territory of the Russian Federation or outside the Russian Federation.  The Product does not constitute an appraisal within the meaning of the Federal Law of the Russian Federation of 29 July 1998 No. 135-FZ (as amended) On Appraisal Activities in the Russian Federation.  8-10 Gasheka Street, 125047 Moscow.  The Product is made available in </w:t>
          </w:r>
          <w:r>
            <w:rPr>
              <w:b/>
            </w:rPr>
            <w:t>Singapore</w:t>
          </w:r>
          <w:r>
            <w:t xml:space="preserve"> through Citigroup Global Markets Singapore Pte. Ltd. (“CGMSPL”), a capital markets services license holder, and regulated by Monetary Authority of Singapore. Please contact CGMSPL at 8 Marina View, 21st Floor Asia Square Tower 1, Singapore 018960, in respect of any matters arising from, or in connection with, the analysis of this document. This report is intended for recipients who are accredited, expert and institutional investors as defined under the Securities and Futures Act (Cap. 289). The Product is made available by The Citigroup Private Bank in Singapore through Citibank, N.A., Singapore Branch, a licensed bank in Singapore that is regulated by Monetary Authority of Singapore. Please contact your Private Banker in Citibank N.A., Singapore Branch if you have any queries on or any matters arising from or in connection with this document. This report is intended for recipients who are accredited, expert and institutional investors as defined under the Securities and Futures Act (Cap. 289).  This report is distributed in Singapore by Citibank Singapore Ltd ("CSL") to selected Citigold/Citigold Private Clients. CSL provides no independent research or analysis of the substance or in preparation of this report. Please contact your Citigold//Citigold Private Client Relationship Manager in CSL if you have any queries on or any matters arising from or in connection with this report. This report is intended for recipients who are accredited investors as defined under the Securities and Futures Act (Cap. 289).   Citigroup Global Markets (Pty) Ltd. is incorporated in the </w:t>
          </w:r>
          <w:r>
            <w:rPr>
              <w:b/>
            </w:rPr>
            <w:t>Republic of South Africa</w:t>
          </w:r>
          <w:r>
            <w:t xml:space="preserve"> (company registration number 2000/025866/07) and its registered office is at 145 West Street, Sandton, 2196, Saxonwold. Citigroup Global Markets (Pty) Ltd. is regulated by JSE Securities Exchange South Africa, South African Reserve Bank and the Financial Services Board.  The investments and services contained herein are not available to private customers in South Africa.  The Product is made available in the </w:t>
          </w:r>
          <w:r>
            <w:rPr>
              <w:b/>
            </w:rPr>
            <w:t>Republic of China</w:t>
          </w:r>
          <w:r>
            <w:t xml:space="preserve"> through Citigroup Global Markets Taiwan Securities Company Ltd. ("CGMTS"), 14 and 15F, No. 1, Songzhi Road, Taipei 110, Taiwan and/or through Citibank Securities (Taiwan) Company Limited ("CSTL"), 14 and 15F, No. 1, Songzhi Road, Taipei 110, Taiwan, subject to the respective license scope of each entity and the applicable laws and regulations in the Republic of China. CGMTS and CSTL are both regulated by the Securities and Futures Bureau of the Financial Supervisory Commission of Taiwan, the Republic of China. No portion of the Product may be reproduced or quoted in the Republic of China by the press or any third parties [without the written authorization of CGMTS and CSTL]. If the Product covers securities which are not allowed to be offered or traded in the Republic of China, neither the Product nor any information contained in the Product shall be considered as advertising the securities or making recommendation of the securities in the Republic of China. The Product is for informational purposes only and is not intended as an offer or solicitation for the purchase or sale of a security or financial products. Any decision to purchase securities or financial products mentioned in the Product must take into account existing public information on such security or the financial products or any registered prospectus.  The Product is made available in </w:t>
          </w:r>
          <w:r>
            <w:rPr>
              <w:b/>
            </w:rPr>
            <w:t>Thailand</w:t>
          </w:r>
          <w:r>
            <w:t xml:space="preserve"> through Citicorp Securities (Thailand) Ltd., which is regulated by the Securities and Exchange Commission of Thailand.  399 Interchange 21 Building, 18th Floor, Sukhumvit Road, Klongtoey Nua, Wattana ,Bangkok 10110, Thailand.  The Product is made available in </w:t>
          </w:r>
          <w:r>
            <w:rPr>
              <w:b/>
            </w:rPr>
            <w:t>Turkey</w:t>
          </w:r>
          <w:r>
            <w:t xml:space="preserve"> through Citibank AS which is regulated by Capital Markets Board.  Tekfen Tower, Eski Buyukdere Caddesi # 209 Kat 2B, 23294 Levent, Istanbul, Turkey.  In the </w:t>
          </w:r>
          <w:r>
            <w:rPr>
              <w:b/>
            </w:rPr>
            <w:t>U.A.E</w:t>
          </w:r>
          <w:r>
            <w:t xml:space="preserve">, these materials (the "Materials") are communicated by Citigroup Global Markets Limited, DIFC branch ("CGML"), an entity registered in the Dubai International Financial Center ("DIFC") and licensed and regulated by the Dubai Financial Services Authority ("DFSA") to Professional Clients and Market Counterparties only and should not be relied upon or distributed to Retail Clients. A distribution of the different Citi Research ratings distribution, in percentage terms for Investments in each sector covered is made available on request.  Financial products and/or services to which the Materials relate will only be made available to Professional Clients and Market Counterparties.  The Product is made available in </w:t>
          </w:r>
          <w:r>
            <w:rPr>
              <w:b/>
            </w:rPr>
            <w:t>United Kingdom</w:t>
          </w:r>
          <w:r>
            <w:t xml:space="preserve"> by Citigroup Global Markets Limited, which is authorised by the Prudential Regulation Authority (“PRA”) and regulated by the Financial Conduct Authority (“FCA”) and the PRA.  This material may relate to investments or services of a person outside of the UK or to other matters which are not authorised by the PRA nor regulated by the FCA and the PRA and further details as to where this may be the case are available upon request in respect of this material. Citigroup Centre, Canada Square, Canary Wharf, London, E14 5LB.  The Product is made available in </w:t>
          </w:r>
          <w:r>
            <w:rPr>
              <w:b/>
            </w:rPr>
            <w:t>United States</w:t>
          </w:r>
          <w:r>
            <w:t xml:space="preserve"> by Citigroup Global Markets Inc, which is a member of FINRA and registered with the US Securities and Exchange Commission. 388 Greenwich Street, New York, NY 10013.   Unless specified to the contrary, within EU Member States, the Product is made available by Citigroup Global Markets Limited, which is authorised by the PRA and regulated by the FCA and the PRA. </w:t>
          </w:r>
          <w:r>
            <w:br/>
            <w:t xml:space="preserve">Pursuant to Comissão de Valores Mobiliários Rule 483, Citi is required to disclose whether a Citi related company or business has a commercial relationship with the subject company. Considering that Citi operates multiple businesses in more than 100 countries around the world, it is likely that Citi has a commercial relationship with the subject company. </w:t>
          </w:r>
          <w:r>
            <w:br/>
            <w:t>Many European regulators require that a firm must establish, implement and make available a policy for managing conflicts of interest arising as a result of publication or distribution of investment research. The policy applicable to Citi Research's Products can be found at  </w:t>
          </w:r>
          <w:hyperlink r:id="rId114" w:history="1">
            <w:r>
              <w:t>https://www.citivelocity.com/cvr/eppublic/citi_research_disclosures</w:t>
            </w:r>
          </w:hyperlink>
          <w:r>
            <w:t xml:space="preserve">.  </w:t>
          </w:r>
          <w:r>
            <w:br/>
            <w:t>Compensation of equity research analysts is determined by equity research management and Citigroup's senior management and is not linked to specific transactions or recommendations.  </w:t>
          </w:r>
          <w:r>
            <w:br/>
            <w:t xml:space="preserve">The Product is not to be construed as providing investment services in any jurisdiction where the provision of such services would not be permitted. </w:t>
          </w:r>
          <w:r>
            <w:br/>
            <w:t>Subject to the nature and contents of the Product, the investments described therein are subject to fluctuations in price and/or value and investors may get back less than originally invested. Certain high-volatility investments can be subject to sudden and large falls in value that could equal or exceed the amount invested. Certain investments contained in the Product may have tax implications for private customers whereby levels and basis of taxation may be subject to change. If in doubt, investors should seek advice from a tax adviser.  The Product does not purport to identify the nature of the specific market or other risks associated with a particular transaction.  Advice in the Product is general and should not be construed as personal advice given it has been prepared without taking account of the objectives, financial situation or needs of any particular investor. Accordingly, investors should, before acting on the advice, consider the appropriateness of the advice, having regard to their objectives, financial situation and needs. Prior to acquiring any financial product, it is the client's responsibility to obtain the relevant offer document for the product and consider it before making a decision as to whether to purchase the product.</w:t>
          </w:r>
          <w:r>
            <w:br/>
            <w:t>Citi Research generally disseminates its research to the Firm’s global institutional and retail clients via both proprietary (e.g., Citi Velocity and Citi Personal Wealth Management) and non-proprietary electronic distribution platforms. Certain research may be disseminated only via Citi’s proprietary distribution platforms; however such research will not contain changes to earnings forecasts, target price, investment or risk rating or investment thesis or be otherwise inconsistent with the author’s previously published research. Certain research is made available only to institutional investors to satisfy regulatory requirements. Individual Citi Research analysts may also opt to circulate published research to one or more clients by email; such email distribution is discretionary and is done only after the research has been disseminated.</w:t>
          </w:r>
          <w:r>
            <w:br/>
            <w:t>The level and types of services provided by Citi Research analysts to clients may vary depending on various factors such as the client’s individual preferences as to the frequency and manner of receiving communications from analysts, the client’s risk profile and investment focus and perspective (e.g. market-wide, sector specific, long term, short-term etc.), the size and scope of the overall client relationship with Citi and legal and regulatory constraints.</w:t>
          </w:r>
          <w:r>
            <w:br/>
            <w:t>Citi Research product may source data from dataCentral. dataCentral is a Citi Research proprietary database, which includes Citi estimates, data from company reports and feeds from Thomson Reuters. The printed and printable version of the research report may not include all the information (e.g., certain financial summary information and comparable company data) that is linked to the online version available on Citi's proprietary electronic distribution platforms.</w:t>
          </w:r>
        </w:p>
        <w:p w:rsidR="006C5B01" w:rsidRDefault="006C5B01">
          <w:pPr>
            <w:pStyle w:val="SSBDisclaimer"/>
          </w:pPr>
          <w:bookmarkStart w:id="139" w:name="DISC_TYPE_B_7_OTHDISC"/>
          <w:bookmarkEnd w:id="138"/>
          <w:r>
            <w:t>© 2014 Citigroup Global Markets Inc. Citi Research is a division of Citigroup Global Markets Inc. Citi and Citi with Arc Design are trademarks and service marks of Citigroup Inc. and its affiliates and are used and registered throughout the world. All rights reserved. Any unauthorized use, duplication, redistribution or disclosure of this report (the “Product”), including, but not limited to, redistribution of the Product by electronic mail, posting of the Product on a website or page, and/or providing to a third party a link to the Product, is prohibited by law and will result in prosecution. The information contained in the Product is intended solely for the recipient and may not be further distributed by the recipient to any third party. Where included in this report, MSCI sourced information is the exclusive property of Morgan Stanley Capital International Inc. (MSCI). Without prior written permission of MSCI, this information and any other MSCI intellectual property may not be reproduced, redisseminated or used to create any financial products, including any indices. This information is provided on an "as is" basis. The user assumes the entire risk of any use made of this information. MSCI, its affiliates and any third party involved in, or related to, computing or compiling the information hereby expressly disclaim all warranties of originality, accuracy, completeness, merchantability or fitness for a particular purpose with respect to any of this information. Without limiting any of the foregoing, in no event shall MSCI, any of its affiliates or any third party involved in, or related to, computing or compiling the information have any liability for any damages of any kind. MSCI, Morgan Stanley Capital International and the MSCI indexes are services marks of MSCI and its affiliates. The Firm accepts no liability whatsoever for the actions of third parties. The Product may provide the addresses of, or contain hyperlinks to, websites. Except to the extent to which the Product refers to website material of the Firm, the Firm has not reviewed the linked site. Equally, except to the extent to which the Product refers to website material of the Firm, the Firm takes no responsibility for, and makes no representations or warranties whatsoever as to, the data and information contained therein. Such address or hyperlink (including addresses or hyperlinks to website material of the Firm) is provided solely for your convenience and information and the content of the linked site does not in anyway form part of this document. Accessing such website or following such link through the Product or the website of the Firm shall be at your own risk and the Firm shall have no liability arising out of, or in connection with, any such referenced website.</w:t>
          </w:r>
        </w:p>
        <w:p w:rsidR="00A0169C" w:rsidRDefault="006C5B01" w:rsidP="006C5B01">
          <w:pPr>
            <w:pStyle w:val="SSBDisclaimer"/>
            <w:rPr>
              <w:rFonts w:cs="Arial"/>
              <w:szCs w:val="18"/>
            </w:rPr>
          </w:pPr>
          <w:bookmarkStart w:id="140" w:name="DISC_TYPE_B_8_OTHDISC"/>
          <w:bookmarkEnd w:id="139"/>
          <w:r>
            <w:t>ADDITIONAL INFORMATION IS AVAILABLE UPON REQUEST</w:t>
          </w:r>
        </w:p>
        <w:bookmarkEnd w:id="140" w:displacedByCustomXml="next"/>
        <w:bookmarkEnd w:id="132" w:displacedByCustomXml="next"/>
        <w:bookmarkEnd w:id="112" w:displacedByCustomXml="next"/>
      </w:sdtContent>
    </w:sdt>
    <w:bookmarkEnd w:id="105"/>
    <w:p w:rsidR="006C5B01" w:rsidRDefault="006C5B01" w:rsidP="006C5B01">
      <w:pPr>
        <w:framePr w:w="10368" w:hSpace="180" w:wrap="around" w:vAnchor="page" w:hAnchor="page" w:x="1008" w:y="15265" w:anchorLock="1"/>
        <w:shd w:val="clear" w:color="auto" w:fill="FFFFFF"/>
        <w:spacing w:line="240" w:lineRule="auto"/>
        <w:rPr>
          <w:rFonts w:eastAsia="MS PGothic" w:cs="Arial"/>
          <w:noProof/>
          <w:kern w:val="18"/>
          <w:szCs w:val="18"/>
        </w:rPr>
      </w:pPr>
      <w:r>
        <w:rPr>
          <w:rFonts w:eastAsia="MS PGothic" w:cs="Arial"/>
          <w:noProof/>
          <w:kern w:val="18"/>
          <w:szCs w:val="18"/>
        </w:rPr>
        <w:drawing>
          <wp:inline distT="0" distB="0" distL="0" distR="0" wp14:anchorId="34951195" wp14:editId="55D0587F">
            <wp:extent cx="6492240" cy="203835"/>
            <wp:effectExtent l="0" t="0" r="3810" b="5715"/>
            <wp:docPr id="5" name="Picture 5" descr="CVBannerImage">
              <a:hlinkClick xmlns:a="http://schemas.openxmlformats.org/drawingml/2006/main" r:id="rId115" tooltip="Go to CitiVelocity"/>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6"/>
                    <a:stretch>
                      <a:fillRect/>
                    </a:stretch>
                  </pic:blipFill>
                  <pic:spPr>
                    <a:xfrm>
                      <a:off x="0" y="0"/>
                      <a:ext cx="6492240" cy="203835"/>
                    </a:xfrm>
                    <a:prstGeom prst="rect">
                      <a:avLst/>
                    </a:prstGeom>
                  </pic:spPr>
                </pic:pic>
              </a:graphicData>
            </a:graphic>
          </wp:inline>
        </w:drawing>
      </w:r>
    </w:p>
    <w:p w:rsidR="006C5B01" w:rsidRDefault="006C5B01" w:rsidP="006C5B01">
      <w:pPr>
        <w:spacing w:line="14" w:lineRule="auto"/>
        <w:rPr>
          <w:rFonts w:eastAsia="MS PGothic" w:cs="Arial"/>
          <w:kern w:val="18"/>
          <w:szCs w:val="18"/>
        </w:rPr>
      </w:pPr>
    </w:p>
    <w:sectPr w:rsidR="006C5B01">
      <w:headerReference w:type="default" r:id="rId117"/>
      <w:type w:val="continuous"/>
      <w:pgSz w:w="12240" w:h="15840" w:code="1"/>
      <w:pgMar w:top="1728" w:right="1008" w:bottom="720" w:left="1008" w:header="288" w:footer="3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ED6" w:rsidRDefault="007F3ED6">
      <w:pPr>
        <w:spacing w:line="240" w:lineRule="auto"/>
      </w:pPr>
      <w:r>
        <w:separator/>
      </w:r>
    </w:p>
  </w:endnote>
  <w:endnote w:type="continuationSeparator" w:id="0">
    <w:p w:rsidR="007F3ED6" w:rsidRDefault="007F3E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IR Trade Gothic Cn">
    <w:altName w:val="Arial Narrow"/>
    <w:panose1 w:val="00000000000000000000"/>
    <w:charset w:val="00"/>
    <w:family w:val="modern"/>
    <w:notTrueType/>
    <w:pitch w:val="variable"/>
    <w:sig w:usb0="00000007" w:usb1="00000000" w:usb2="00000000" w:usb3="00000000" w:csb0="00000093" w:csb1="00000000"/>
  </w:font>
  <w:font w:name="MS Shell Dlg 2">
    <w:panose1 w:val="020B0604030504040204"/>
    <w:charset w:val="00"/>
    <w:family w:val="swiss"/>
    <w:pitch w:val="variable"/>
    <w:sig w:usb0="E1002EFF" w:usb1="C000605B" w:usb2="00000029" w:usb3="00000000" w:csb0="000101FF" w:csb1="00000000"/>
  </w:font>
  <w:font w:name="Trade Gothic LT Com Cn">
    <w:altName w:val="Arial Narrow"/>
    <w:charset w:val="00"/>
    <w:family w:val="auto"/>
    <w:pitch w:val="variable"/>
    <w:sig w:usb0="80000003" w:usb1="4000204A" w:usb2="00000000" w:usb3="00000000" w:csb0="00000001" w:csb1="00000000"/>
  </w:font>
  <w:font w:name="Gotham-Book">
    <w:altName w:val="MS Gothic"/>
    <w:panose1 w:val="00000000000000000000"/>
    <w:charset w:val="80"/>
    <w:family w:val="swiss"/>
    <w:notTrueType/>
    <w:pitch w:val="default"/>
    <w:sig w:usb0="00000003" w:usb1="08070000" w:usb2="00000010" w:usb3="00000000" w:csb0="0002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6" w:name="bkm_AnalystNote" w:displacedByCustomXml="next"/>
  <w:bookmarkEnd w:id="26" w:displacedByCustomXml="next"/>
  <w:sdt>
    <w:sdtPr>
      <w:tag w:val="analystNote"/>
      <w:id w:val="647249240"/>
      <w:placeholder>
        <w:docPart w:val="6090439FD6114813BC83F6798A2FAC49"/>
      </w:placeholder>
    </w:sdtPr>
    <w:sdtEndPr/>
    <w:sdtContent>
      <w:p w:rsidR="00A0169C" w:rsidRDefault="007F3ED6" w:rsidP="007F3ED6">
        <w:pPr>
          <w:pStyle w:val="CIRAnalystNote"/>
        </w:pPr>
        <w:r>
          <w:t>See Appendix A-1 for Analyst Certification, Important Disclosures and non-US research analyst disclosures.</w:t>
        </w:r>
      </w:p>
    </w:sdtContent>
  </w:sdt>
  <w:p w:rsidR="00A0169C" w:rsidRDefault="006C5B01">
    <w:pPr>
      <w:pStyle w:val="CIRFPDisclosure"/>
      <w:rPr>
        <w:rFonts w:cs="Times New Roman"/>
      </w:rPr>
    </w:pPr>
    <w:bookmarkStart w:id="27" w:name="DISC_TYPE_B_1_FPDISC"/>
    <w:bookmarkStart w:id="28" w:name="Glb_bkm_fp_disclosures"/>
    <w:r>
      <w:t>Citi Research is a division of Citigroup Global Markets Inc. (the "Firm"), which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 Certain products (not inconsistent with the author's published research) are available only on Citi's portals.</w:t>
    </w:r>
    <w:bookmarkEnd w:id="27"/>
    <w:bookmarkEnd w:id="28"/>
    <w:r>
      <w:rPr>
        <w:rFonts w:cs="Times New Roman"/>
      </w:rPr>
      <w:t xml:space="preserve"> </w:t>
    </w:r>
  </w:p>
  <w:bookmarkStart w:id="29" w:name="bkm_Disclosure8687" w:displacedByCustomXml="next"/>
  <w:bookmarkEnd w:id="29" w:displacedByCustomXml="next"/>
  <w:sdt>
    <w:sdtPr>
      <w:tag w:val="disclosure"/>
      <w:id w:val="542098351"/>
      <w:placeholder>
        <w:docPart w:val="9211B221FA0A4BE7A58554F77072402A"/>
      </w:placeholder>
      <w:showingPlcHdr/>
    </w:sdtPr>
    <w:sdtEndPr/>
    <w:sdtContent>
      <w:p w:rsidR="00A0169C" w:rsidRDefault="007F3ED6" w:rsidP="007F3ED6">
        <w:pPr>
          <w:pStyle w:val="CIRFPDisclosure"/>
        </w:pPr>
        <w:r w:rsidRPr="00E54D03">
          <w:rPr>
            <w:rStyle w:val="PlaceholderText"/>
          </w:rPr>
          <w:t xml:space="preserve"> </w:t>
        </w:r>
      </w:p>
    </w:sdtContent>
  </w:sdt>
  <w:p w:rsidR="00A0169C" w:rsidRDefault="006C5B01">
    <w:pPr>
      <w:pStyle w:val="CIRFooterFirstPage"/>
    </w:pPr>
    <w:r>
      <w:drawing>
        <wp:anchor distT="0" distB="0" distL="114300" distR="114300" simplePos="0" relativeHeight="251666432" behindDoc="0" locked="1" layoutInCell="1" allowOverlap="1" wp14:anchorId="6309903F" wp14:editId="00EFAC30">
          <wp:simplePos x="0" y="0"/>
          <wp:positionH relativeFrom="page">
            <wp:posOffset>6361043</wp:posOffset>
          </wp:positionH>
          <wp:positionV relativeFrom="page">
            <wp:posOffset>9740348</wp:posOffset>
          </wp:positionV>
          <wp:extent cx="762000" cy="132522"/>
          <wp:effectExtent l="0" t="0" r="0" b="1270"/>
          <wp:wrapSquare wrapText="bothSides"/>
          <wp:docPr id="10" name="shpCVURL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132522"/>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9C" w:rsidRDefault="00250139">
    <w:pPr>
      <w:framePr w:wrap="auto" w:vAnchor="text" w:hAnchor="page" w:x="4508" w:y="1"/>
      <w:rPr>
        <w:rStyle w:val="PageNumber"/>
        <w:rFonts w:hint="default"/>
      </w:rPr>
    </w:pPr>
    <w:r>
      <w:rPr>
        <w:rStyle w:val="PageNumber"/>
        <w:rFonts w:hint="default"/>
      </w:rPr>
      <w:fldChar w:fldCharType="begin"/>
    </w:r>
    <w:r>
      <w:rPr>
        <w:rStyle w:val="PageNumber"/>
        <w:rFonts w:hint="default"/>
      </w:rPr>
      <w:instrText xml:space="preserve">PAGE  </w:instrText>
    </w:r>
    <w:r>
      <w:rPr>
        <w:rStyle w:val="PageNumber"/>
        <w:rFonts w:hint="default"/>
      </w:rPr>
      <w:fldChar w:fldCharType="separate"/>
    </w:r>
    <w:r w:rsidR="006460EA">
      <w:rPr>
        <w:rStyle w:val="PageNumber"/>
        <w:rFonts w:hint="default"/>
        <w:noProof/>
      </w:rPr>
      <w:t>2</w:t>
    </w:r>
    <w:r>
      <w:rPr>
        <w:rStyle w:val="PageNumber"/>
        <w:rFonts w:hint="default"/>
      </w:rPr>
      <w:fldChar w:fldCharType="end"/>
    </w:r>
  </w:p>
  <w:p w:rsidR="00A0169C" w:rsidRDefault="006C5B01">
    <w:pPr>
      <w:pStyle w:val="CIRFooter"/>
    </w:pPr>
    <w:r>
      <w:drawing>
        <wp:anchor distT="0" distB="0" distL="114300" distR="114300" simplePos="0" relativeHeight="251667456" behindDoc="0" locked="1" layoutInCell="1" allowOverlap="1">
          <wp:simplePos x="0" y="0"/>
          <wp:positionH relativeFrom="page">
            <wp:posOffset>6361043</wp:posOffset>
          </wp:positionH>
          <wp:positionV relativeFrom="page">
            <wp:posOffset>9740348</wp:posOffset>
          </wp:positionV>
          <wp:extent cx="762000" cy="132522"/>
          <wp:effectExtent l="0" t="0" r="0" b="1270"/>
          <wp:wrapSquare wrapText="bothSides"/>
          <wp:docPr id="12" name="shpCVURL_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132522"/>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6" w:rsidRDefault="007F3ED6">
    <w:pPr>
      <w:framePr w:wrap="auto" w:vAnchor="text" w:hAnchor="page" w:x="4508" w:y="1"/>
      <w:rPr>
        <w:rStyle w:val="PageNumber"/>
        <w:rFonts w:hint="default"/>
      </w:rPr>
    </w:pPr>
    <w:r>
      <w:rPr>
        <w:rStyle w:val="PageNumber"/>
        <w:rFonts w:hint="default"/>
      </w:rPr>
      <w:fldChar w:fldCharType="begin"/>
    </w:r>
    <w:r>
      <w:rPr>
        <w:rStyle w:val="PageNumber"/>
        <w:rFonts w:hint="default"/>
      </w:rPr>
      <w:instrText xml:space="preserve">PAGE  </w:instrText>
    </w:r>
    <w:r>
      <w:rPr>
        <w:rStyle w:val="PageNumber"/>
        <w:rFonts w:hint="default"/>
      </w:rPr>
      <w:fldChar w:fldCharType="separate"/>
    </w:r>
    <w:r w:rsidR="006460EA">
      <w:rPr>
        <w:rStyle w:val="PageNumber"/>
        <w:rFonts w:hint="default"/>
        <w:noProof/>
      </w:rPr>
      <w:t>3</w:t>
    </w:r>
    <w:r>
      <w:rPr>
        <w:rStyle w:val="PageNumber"/>
        <w:rFonts w:hint="default"/>
      </w:rPr>
      <w:fldChar w:fldCharType="end"/>
    </w:r>
  </w:p>
  <w:p w:rsidR="007F3ED6" w:rsidRDefault="006C5B01">
    <w:pPr>
      <w:pStyle w:val="CIRFooter"/>
    </w:pPr>
    <w:r>
      <w:drawing>
        <wp:anchor distT="0" distB="0" distL="114300" distR="114300" simplePos="0" relativeHeight="251668480" behindDoc="0" locked="1" layoutInCell="1" allowOverlap="1">
          <wp:simplePos x="0" y="0"/>
          <wp:positionH relativeFrom="page">
            <wp:posOffset>6361043</wp:posOffset>
          </wp:positionH>
          <wp:positionV relativeFrom="page">
            <wp:posOffset>9740348</wp:posOffset>
          </wp:positionV>
          <wp:extent cx="762000" cy="132522"/>
          <wp:effectExtent l="0" t="0" r="0" b="1270"/>
          <wp:wrapSquare wrapText="bothSides"/>
          <wp:docPr id="17" name="shpCVURL_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132522"/>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6" w:rsidRDefault="007F3ED6">
    <w:pPr>
      <w:framePr w:wrap="auto" w:vAnchor="text" w:hAnchor="page" w:x="4508" w:y="1"/>
      <w:rPr>
        <w:rStyle w:val="PageNumber"/>
        <w:rFonts w:hint="default"/>
      </w:rPr>
    </w:pPr>
    <w:r>
      <w:rPr>
        <w:rStyle w:val="PageNumber"/>
        <w:rFonts w:hint="default"/>
      </w:rPr>
      <w:fldChar w:fldCharType="begin"/>
    </w:r>
    <w:r>
      <w:rPr>
        <w:rStyle w:val="PageNumber"/>
        <w:rFonts w:hint="default"/>
      </w:rPr>
      <w:instrText xml:space="preserve">PAGE  </w:instrText>
    </w:r>
    <w:r>
      <w:rPr>
        <w:rStyle w:val="PageNumber"/>
        <w:rFonts w:hint="default"/>
      </w:rPr>
      <w:fldChar w:fldCharType="separate"/>
    </w:r>
    <w:r w:rsidR="006460EA">
      <w:rPr>
        <w:rStyle w:val="PageNumber"/>
        <w:rFonts w:hint="default"/>
        <w:noProof/>
      </w:rPr>
      <w:t>7</w:t>
    </w:r>
    <w:r>
      <w:rPr>
        <w:rStyle w:val="PageNumber"/>
        <w:rFonts w:hint="default"/>
      </w:rPr>
      <w:fldChar w:fldCharType="end"/>
    </w:r>
  </w:p>
  <w:p w:rsidR="007F3ED6" w:rsidRDefault="006C5B01">
    <w:pPr>
      <w:pStyle w:val="CIRFooter"/>
    </w:pPr>
    <w:r>
      <w:drawing>
        <wp:anchor distT="0" distB="0" distL="114300" distR="114300" simplePos="0" relativeHeight="251669504" behindDoc="0" locked="1" layoutInCell="1" allowOverlap="1">
          <wp:simplePos x="0" y="0"/>
          <wp:positionH relativeFrom="page">
            <wp:posOffset>6361043</wp:posOffset>
          </wp:positionH>
          <wp:positionV relativeFrom="page">
            <wp:posOffset>9740348</wp:posOffset>
          </wp:positionV>
          <wp:extent cx="762000" cy="132522"/>
          <wp:effectExtent l="0" t="0" r="0" b="1270"/>
          <wp:wrapSquare wrapText="bothSides"/>
          <wp:docPr id="18" name="shpCVURL_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132522"/>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6" w:rsidRDefault="006C5B01">
    <w:pPr>
      <w:pStyle w:val="CIRFooter"/>
    </w:pPr>
    <w:r>
      <w:rPr>
        <w:rFonts w:ascii="Trade Gothic LT Com Cn" w:hAnsi="Trade Gothic LT Com Cn"/>
        <w:sz w:val="17"/>
      </w:rPr>
      <w:drawing>
        <wp:anchor distT="0" distB="0" distL="114300" distR="114300" simplePos="0" relativeHeight="251670528" behindDoc="0" locked="1" layoutInCell="1" allowOverlap="1">
          <wp:simplePos x="0" y="0"/>
          <wp:positionH relativeFrom="page">
            <wp:posOffset>-82826</wp:posOffset>
          </wp:positionH>
          <wp:positionV relativeFrom="page">
            <wp:posOffset>6682409</wp:posOffset>
          </wp:positionV>
          <wp:extent cx="762000" cy="132522"/>
          <wp:effectExtent l="10160" t="0" r="0" b="0"/>
          <wp:wrapSquare wrapText="bothSides"/>
          <wp:docPr id="21" name="shpCVURL_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rot="5400000">
                    <a:off x="0" y="0"/>
                    <a:ext cx="762000" cy="132522"/>
                  </a:xfrm>
                  <a:prstGeom prst="rect">
                    <a:avLst/>
                  </a:prstGeom>
                </pic:spPr>
              </pic:pic>
            </a:graphicData>
          </a:graphic>
        </wp:anchor>
      </w:drawing>
    </w:r>
    <w:r w:rsidR="007F3ED6">
      <w:rPr>
        <w:rFonts w:ascii="Trade Gothic LT Com Cn" w:hAnsi="Trade Gothic LT Com Cn"/>
        <w:sz w:val="17"/>
      </w:rPr>
      <mc:AlternateContent>
        <mc:Choice Requires="wps">
          <w:drawing>
            <wp:anchor distT="0" distB="0" distL="114300" distR="114300" simplePos="0" relativeHeight="251665408" behindDoc="0" locked="0" layoutInCell="1" allowOverlap="1" wp14:anchorId="19E2A182" wp14:editId="265AAD6D">
              <wp:simplePos x="0" y="0"/>
              <wp:positionH relativeFrom="page">
                <wp:posOffset>91440</wp:posOffset>
              </wp:positionH>
              <wp:positionV relativeFrom="page">
                <wp:posOffset>2889250</wp:posOffset>
              </wp:positionV>
              <wp:extent cx="314325" cy="64135"/>
              <wp:effectExtent l="0" t="3175" r="381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6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3ED6" w:rsidRDefault="007F3ED6">
                          <w:pPr>
                            <w:rPr>
                              <w:rFonts w:ascii="Trade Gothic LT Com Cn" w:hAnsi="Trade Gothic LT Com Cn" w:cs="Trade Gothic LT Com Cn"/>
                            </w:rPr>
                          </w:pPr>
                          <w:r>
                            <w:rPr>
                              <w:rStyle w:val="PageNumber"/>
                              <w:rFonts w:hint="default"/>
                            </w:rPr>
                            <w:fldChar w:fldCharType="begin"/>
                          </w:r>
                          <w:r>
                            <w:rPr>
                              <w:rStyle w:val="PageNumber"/>
                              <w:rFonts w:hint="default"/>
                            </w:rPr>
                            <w:instrText xml:space="preserve">PAGE  </w:instrText>
                          </w:r>
                          <w:r>
                            <w:rPr>
                              <w:rStyle w:val="PageNumber"/>
                              <w:rFonts w:hint="default"/>
                            </w:rPr>
                            <w:fldChar w:fldCharType="separate"/>
                          </w:r>
                          <w:r w:rsidR="006460EA">
                            <w:rPr>
                              <w:rStyle w:val="PageNumber"/>
                              <w:rFonts w:hint="default"/>
                              <w:noProof/>
                            </w:rPr>
                            <w:t>45</w:t>
                          </w:r>
                          <w:r>
                            <w:rPr>
                              <w:rStyle w:val="PageNumber"/>
                              <w:rFonts w:hint="default"/>
                            </w:rPr>
                            <w:fldChar w:fldCharType="end"/>
                          </w:r>
                        </w:p>
                      </w:txbxContent>
                    </wps:txbx>
                    <wps:bodyPr rot="0" vert="vert"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left:0;text-align:left;margin-left:7.2pt;margin-top:227.5pt;width:24.75pt;height:5.0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" filled="f" stroked="f">
              <v:textbox style="layout-flow:vertical;mso-fit-shape-to-text:t" inset="0,0,0,0">
                <w:txbxContent>
                  <w:p w:rsidR="007F3ED6" w:rsidRDefault="007F3ED6">
                    <w:pPr>
                      <w:rPr>
                        <w:rFonts w:ascii="Trade Gothic LT Com Cn" w:hAnsi="Trade Gothic LT Com Cn" w:cs="Trade Gothic LT Com Cn"/>
                      </w:rPr>
                    </w:pPr>
                    <w:r>
                      <w:rPr>
                        <w:rStyle w:val="PageNumber"/>
                        <w:rFonts w:hint="default"/>
                      </w:rPr>
                      <w:fldChar w:fldCharType="begin"/>
                    </w:r>
                    <w:r>
                      <w:rPr>
                        <w:rStyle w:val="PageNumber"/>
                        <w:rFonts w:hint="default"/>
                      </w:rPr>
                      <w:instrText xml:space="preserve">PAGE  </w:instrText>
                    </w:r>
                    <w:r>
                      <w:rPr>
                        <w:rStyle w:val="PageNumber"/>
                        <w:rFonts w:hint="default"/>
                      </w:rPr>
                      <w:fldChar w:fldCharType="separate"/>
                    </w:r>
                    <w:r w:rsidR="006460EA">
                      <w:rPr>
                        <w:rStyle w:val="PageNumber"/>
                        <w:rFonts w:hint="default"/>
                        <w:noProof/>
                      </w:rPr>
                      <w:t>45</w:t>
                    </w:r>
                    <w:r>
                      <w:rPr>
                        <w:rStyle w:val="PageNumber"/>
                        <w:rFonts w:hint="default"/>
                      </w:rPr>
                      <w:fldChar w:fldCharType="end"/>
                    </w:r>
                  </w:p>
                </w:txbxContent>
              </v:textbox>
              <w10:wrap type="square"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ED6" w:rsidRDefault="007F3ED6">
      <w:pPr>
        <w:spacing w:line="240" w:lineRule="auto"/>
      </w:pPr>
      <w:r>
        <w:separator/>
      </w:r>
    </w:p>
  </w:footnote>
  <w:footnote w:type="continuationSeparator" w:id="0">
    <w:p w:rsidR="007F3ED6" w:rsidRDefault="007F3E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9C" w:rsidRDefault="00250139">
    <w:pPr>
      <w:pStyle w:val="Header"/>
    </w:pPr>
    <w:r>
      <w:rPr>
        <w:noProof/>
      </w:rPr>
      <mc:AlternateContent>
        <mc:Choice Requires="wps">
          <w:drawing>
            <wp:anchor distT="0" distB="0" distL="114300" distR="114300" simplePos="0" relativeHeight="251662336" behindDoc="1" locked="0" layoutInCell="1" allowOverlap="1" wp14:anchorId="44B2931A" wp14:editId="11C238CB">
              <wp:simplePos x="0" y="0"/>
              <wp:positionH relativeFrom="page">
                <wp:align>center</wp:align>
              </wp:positionH>
              <wp:positionV relativeFrom="page">
                <wp:posOffset>91440</wp:posOffset>
              </wp:positionV>
              <wp:extent cx="0" cy="0"/>
              <wp:effectExtent l="0" t="0" r="0" b="0"/>
              <wp:wrapNone/>
              <wp:docPr id="307" name="shpKe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noFill/>
                      <a:ln w="9525">
                        <a:noFill/>
                        <a:miter lim="800000"/>
                        <a:headEnd/>
                        <a:tailEnd/>
                      </a:ln>
                    </wps:spPr>
                    <wps:txbx>
                      <w:txbxContent>
                        <w:p w:rsidR="00A0169C" w:rsidRDefault="00250139">
                          <w:pPr>
                            <w:spacing w:line="14" w:lineRule="auto"/>
                            <w:rPr>
                              <w:rFonts w:ascii="MS Shell Dlg 2" w:eastAsia="Times New Roman" w:hAnsi="MS Shell Dlg 2" w:cs="Times New Roman"/>
                              <w:vanish/>
                              <w:color w:val="000000"/>
                              <w:szCs w:val="18"/>
                            </w:rPr>
                          </w:pPr>
                          <w:r>
                            <w:rPr>
                              <w:rFonts w:ascii="MS Shell Dlg 2" w:eastAsia="Times New Roman" w:hAnsi="MS Shell Dlg 2" w:cs="Times New Roman"/>
                              <w:vanish/>
                              <w:color w:val="000000"/>
                              <w:szCs w:val="18"/>
                            </w:rPr>
                            <w:t>E6XYB6412478</w:t>
                          </w:r>
                        </w:p>
                        <w:p w:rsidR="00A0169C" w:rsidRDefault="00A0169C">
                          <w:pPr>
                            <w:spacing w:line="240" w:lineRule="auto"/>
                            <w:rPr>
                              <w:vanish/>
                              <w:sz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hpKey" o:spid="_x0000_s1026" type="#_x0000_t202" style="position:absolute;margin-left:0;margin-top:7.2pt;width:0;height:0;z-index:-25165414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" filled="f" stroked="f">
              <v:textbox>
                <w:txbxContent>
                  <w:p w:rsidR="00A0169C" w:rsidRDefault="00250139">
                    <w:pPr>
                      <w:spacing w:line="14" w:lineRule="auto"/>
                      <w:rPr>
                        <w:rFonts w:ascii="MS Shell Dlg 2" w:eastAsia="Times New Roman" w:hAnsi="MS Shell Dlg 2" w:cs="Times New Roman"/>
                        <w:vanish/>
                        <w:color w:val="000000"/>
                        <w:szCs w:val="18"/>
                      </w:rPr>
                    </w:pPr>
                    <w:r>
                      <w:rPr>
                        <w:rFonts w:ascii="MS Shell Dlg 2" w:eastAsia="Times New Roman" w:hAnsi="MS Shell Dlg 2" w:cs="Times New Roman"/>
                        <w:vanish/>
                        <w:color w:val="000000"/>
                        <w:szCs w:val="18"/>
                      </w:rPr>
                      <w:t>E6XYB6412478</w:t>
                    </w:r>
                  </w:p>
                  <w:p w:rsidR="00A0169C" w:rsidRDefault="00A0169C">
                    <w:pPr>
                      <w:spacing w:line="240" w:lineRule="auto"/>
                      <w:rPr>
                        <w:vanish/>
                        <w:sz w:val="2"/>
                      </w:rPr>
                    </w:pPr>
                  </w:p>
                </w:txbxContent>
              </v:textbox>
              <w10:wrap anchorx="page" anchory="page"/>
            </v:shape>
          </w:pict>
        </mc:Fallback>
      </mc:AlternateContent>
    </w:r>
    <w:bookmarkStart w:id="25" w:name="bkm_Logo"/>
    <w:r w:rsidR="006460E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pLogo" o:spid="_x0000_s2049" type="#_x0000_t75" alt="Attempt 2" style="position:absolute;margin-left:50.4pt;margin-top:23.05pt;width:62.65pt;height:35.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v:imagedata r:id="rId1" o:title="Attempt 2"/>
          <w10:wrap anchorx="page" anchory="page"/>
        </v:shape>
      </w:pict>
    </w:r>
    <w:bookmarkEnd w:id="25"/>
    <w:r w:rsidR="006460EA">
      <w:rPr>
        <w:noProof/>
      </w:rPr>
      <w:pict>
        <v:shape id="shpBlueWave" o:spid="_x0000_s2050" type="#_x0000_t75" alt="Blue_Wave" style="position:absolute;margin-left:0;margin-top:0;width:614.15pt;height:1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v:imagedata r:id="rId2" o:title="Blue_Wave"/>
          <o:lock v:ext="edit" aspectratio="f"/>
          <w10:wrap anchorx="page" anchory="pag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8" w:type="dxa"/>
      <w:tblBorders>
        <w:bottom w:val="single" w:sz="12" w:space="0" w:color="003366"/>
      </w:tblBorders>
      <w:tblLayout w:type="fixed"/>
      <w:tblCellMar>
        <w:left w:w="0" w:type="dxa"/>
        <w:bottom w:w="40" w:type="dxa"/>
        <w:right w:w="0" w:type="dxa"/>
      </w:tblCellMar>
      <w:tblLook w:val="01E0" w:firstRow="1" w:lastRow="1" w:firstColumn="1" w:lastColumn="1" w:noHBand="0" w:noVBand="0"/>
    </w:tblPr>
    <w:tblGrid>
      <w:gridCol w:w="3168"/>
      <w:gridCol w:w="7110"/>
    </w:tblGrid>
    <w:tr w:rsidR="00A0169C">
      <w:trPr>
        <w:cantSplit/>
        <w:trHeight w:val="500"/>
      </w:trPr>
      <w:tc>
        <w:tcPr>
          <w:tcW w:w="3168" w:type="dxa"/>
          <w:tcBorders>
            <w:bottom w:val="nil"/>
          </w:tcBorders>
          <w:shd w:val="clear" w:color="auto" w:fill="auto"/>
          <w:vAlign w:val="bottom"/>
        </w:tcPr>
        <w:p w:rsidR="00A0169C" w:rsidRDefault="00250139">
          <w:pPr>
            <w:pStyle w:val="CIRHeader"/>
            <w:rPr>
              <w:rFonts w:cs="Times New Roman"/>
              <w:b/>
              <w:bCs/>
            </w:rPr>
          </w:pPr>
          <w:r>
            <w:rPr>
              <w:b/>
              <w:bCs/>
            </w:rPr>
            <w:fldChar w:fldCharType="begin"/>
          </w:r>
          <w:r>
            <w:rPr>
              <w:b/>
              <w:bCs/>
            </w:rPr>
            <w:instrText xml:space="preserve"> DOCPROPERTY  ReportTitle </w:instrText>
          </w:r>
          <w:r>
            <w:rPr>
              <w:b/>
              <w:bCs/>
            </w:rPr>
            <w:fldChar w:fldCharType="separate"/>
          </w:r>
          <w:r w:rsidR="007F3ED6">
            <w:rPr>
              <w:b/>
              <w:bCs/>
            </w:rPr>
            <w:t>Bruker Corp (BRKR)</w:t>
          </w:r>
          <w:r>
            <w:rPr>
              <w:b/>
              <w:bCs/>
            </w:rPr>
            <w:fldChar w:fldCharType="end"/>
          </w:r>
        </w:p>
        <w:p w:rsidR="00A0169C" w:rsidRDefault="00250139">
          <w:pPr>
            <w:pStyle w:val="CIRHeader"/>
            <w:spacing w:line="200" w:lineRule="exact"/>
            <w:rPr>
              <w:rFonts w:cs="Times New Roman"/>
              <w:b/>
              <w:bCs/>
            </w:rPr>
          </w:pPr>
          <w:fldSimple w:instr=" DOCPROPERTY  ReportDate ">
            <w:r w:rsidR="007F3ED6">
              <w:t>16 December 2014</w:t>
            </w:r>
          </w:fldSimple>
        </w:p>
      </w:tc>
      <w:tc>
        <w:tcPr>
          <w:tcW w:w="7110" w:type="dxa"/>
          <w:tcBorders>
            <w:bottom w:val="nil"/>
          </w:tcBorders>
          <w:vAlign w:val="bottom"/>
        </w:tcPr>
        <w:p w:rsidR="00A0169C" w:rsidRDefault="00250139">
          <w:pPr>
            <w:pStyle w:val="CIRHeader"/>
            <w:jc w:val="right"/>
            <w:rPr>
              <w:b/>
              <w:bCs/>
              <w:sz w:val="22"/>
              <w:szCs w:val="22"/>
            </w:rPr>
          </w:pPr>
          <w:r>
            <w:rPr>
              <w:b/>
              <w:bCs/>
              <w:sz w:val="22"/>
              <w:szCs w:val="22"/>
            </w:rPr>
            <w:t>Citi Research</w:t>
          </w:r>
        </w:p>
      </w:tc>
    </w:tr>
  </w:tbl>
  <w:p w:rsidR="00A0169C" w:rsidRDefault="00A016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8" w:type="dxa"/>
      <w:tblInd w:w="-3528" w:type="dxa"/>
      <w:tblBorders>
        <w:bottom w:val="single" w:sz="12" w:space="0" w:color="003366"/>
      </w:tblBorders>
      <w:tblLayout w:type="fixed"/>
      <w:tblCellMar>
        <w:left w:w="0" w:type="dxa"/>
        <w:bottom w:w="40" w:type="dxa"/>
        <w:right w:w="0" w:type="dxa"/>
      </w:tblCellMar>
      <w:tblLook w:val="01E0" w:firstRow="1" w:lastRow="1" w:firstColumn="1" w:lastColumn="1" w:noHBand="0" w:noVBand="0"/>
    </w:tblPr>
    <w:tblGrid>
      <w:gridCol w:w="3168"/>
      <w:gridCol w:w="7110"/>
    </w:tblGrid>
    <w:tr w:rsidR="007F3ED6">
      <w:trPr>
        <w:cantSplit/>
        <w:trHeight w:val="500"/>
      </w:trPr>
      <w:tc>
        <w:tcPr>
          <w:tcW w:w="3168" w:type="dxa"/>
          <w:tcBorders>
            <w:bottom w:val="nil"/>
          </w:tcBorders>
          <w:shd w:val="clear" w:color="auto" w:fill="auto"/>
          <w:vAlign w:val="bottom"/>
        </w:tcPr>
        <w:p w:rsidR="007F3ED6" w:rsidRDefault="007F3ED6">
          <w:pPr>
            <w:pStyle w:val="CIRHeader"/>
            <w:rPr>
              <w:rFonts w:cs="Times New Roman"/>
              <w:b/>
              <w:bCs/>
            </w:rPr>
          </w:pPr>
          <w:r>
            <w:rPr>
              <w:b/>
              <w:bCs/>
            </w:rPr>
            <w:fldChar w:fldCharType="begin"/>
          </w:r>
          <w:r>
            <w:rPr>
              <w:b/>
              <w:bCs/>
            </w:rPr>
            <w:instrText xml:space="preserve"> DOCPROPERTY  ReportTitle </w:instrText>
          </w:r>
          <w:r>
            <w:rPr>
              <w:b/>
              <w:bCs/>
            </w:rPr>
            <w:fldChar w:fldCharType="separate"/>
          </w:r>
          <w:r>
            <w:rPr>
              <w:b/>
              <w:bCs/>
            </w:rPr>
            <w:t>GN Store Nord (GN.CO)</w:t>
          </w:r>
          <w:r>
            <w:rPr>
              <w:b/>
              <w:bCs/>
            </w:rPr>
            <w:fldChar w:fldCharType="end"/>
          </w:r>
        </w:p>
        <w:p w:rsidR="007F3ED6" w:rsidRDefault="007F3ED6">
          <w:pPr>
            <w:pStyle w:val="CIRHeader"/>
            <w:spacing w:line="200" w:lineRule="exact"/>
            <w:rPr>
              <w:rFonts w:cs="Times New Roman"/>
              <w:b/>
              <w:bCs/>
            </w:rPr>
          </w:pPr>
          <w:fldSimple w:instr=" DOCPROPERTY  ReportDate ">
            <w:r>
              <w:t>16 December 2014</w:t>
            </w:r>
          </w:fldSimple>
        </w:p>
      </w:tc>
      <w:tc>
        <w:tcPr>
          <w:tcW w:w="7110" w:type="dxa"/>
          <w:tcBorders>
            <w:bottom w:val="nil"/>
          </w:tcBorders>
          <w:vAlign w:val="bottom"/>
        </w:tcPr>
        <w:p w:rsidR="007F3ED6" w:rsidRDefault="007F3ED6">
          <w:pPr>
            <w:pStyle w:val="CIRHeader"/>
            <w:jc w:val="right"/>
            <w:rPr>
              <w:b/>
              <w:bCs/>
              <w:sz w:val="22"/>
              <w:szCs w:val="22"/>
            </w:rPr>
          </w:pPr>
          <w:r>
            <w:rPr>
              <w:b/>
              <w:bCs/>
              <w:sz w:val="22"/>
              <w:szCs w:val="22"/>
            </w:rPr>
            <w:t>Citi Research</w:t>
          </w:r>
        </w:p>
      </w:tc>
    </w:tr>
  </w:tbl>
  <w:p w:rsidR="007F3ED6" w:rsidRDefault="007F3ED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8" w:type="dxa"/>
      <w:tblInd w:w="-3528" w:type="dxa"/>
      <w:tblBorders>
        <w:bottom w:val="single" w:sz="12" w:space="0" w:color="003366"/>
      </w:tblBorders>
      <w:tblLayout w:type="fixed"/>
      <w:tblCellMar>
        <w:left w:w="0" w:type="dxa"/>
        <w:bottom w:w="40" w:type="dxa"/>
        <w:right w:w="0" w:type="dxa"/>
      </w:tblCellMar>
      <w:tblLook w:val="01E0" w:firstRow="1" w:lastRow="1" w:firstColumn="1" w:lastColumn="1" w:noHBand="0" w:noVBand="0"/>
    </w:tblPr>
    <w:tblGrid>
      <w:gridCol w:w="3168"/>
      <w:gridCol w:w="7110"/>
    </w:tblGrid>
    <w:tr w:rsidR="007F3ED6">
      <w:trPr>
        <w:cantSplit/>
        <w:trHeight w:val="500"/>
      </w:trPr>
      <w:tc>
        <w:tcPr>
          <w:tcW w:w="3168" w:type="dxa"/>
          <w:tcBorders>
            <w:bottom w:val="nil"/>
          </w:tcBorders>
          <w:shd w:val="clear" w:color="auto" w:fill="auto"/>
          <w:vAlign w:val="bottom"/>
        </w:tcPr>
        <w:p w:rsidR="007F3ED6" w:rsidRDefault="007F3ED6">
          <w:pPr>
            <w:pStyle w:val="CIRHeader"/>
            <w:rPr>
              <w:rFonts w:cs="Times New Roman"/>
              <w:b/>
              <w:bCs/>
            </w:rPr>
          </w:pPr>
          <w:r>
            <w:rPr>
              <w:b/>
              <w:bCs/>
            </w:rPr>
            <w:fldChar w:fldCharType="begin"/>
          </w:r>
          <w:r>
            <w:rPr>
              <w:b/>
              <w:bCs/>
            </w:rPr>
            <w:instrText xml:space="preserve"> DOCPROPERTY  ReportTitle </w:instrText>
          </w:r>
          <w:r>
            <w:rPr>
              <w:b/>
              <w:bCs/>
            </w:rPr>
            <w:fldChar w:fldCharType="separate"/>
          </w:r>
          <w:r>
            <w:rPr>
              <w:b/>
              <w:bCs/>
            </w:rPr>
            <w:t>GN Store Nord (GN.CO)</w:t>
          </w:r>
          <w:r>
            <w:rPr>
              <w:b/>
              <w:bCs/>
            </w:rPr>
            <w:fldChar w:fldCharType="end"/>
          </w:r>
        </w:p>
        <w:p w:rsidR="007F3ED6" w:rsidRDefault="007F3ED6">
          <w:pPr>
            <w:pStyle w:val="CIRHeader"/>
            <w:spacing w:line="200" w:lineRule="exact"/>
            <w:rPr>
              <w:rFonts w:cs="Times New Roman"/>
              <w:b/>
              <w:bCs/>
            </w:rPr>
          </w:pPr>
          <w:fldSimple w:instr=" DOCPROPERTY  ReportDate ">
            <w:r>
              <w:t>16 December 2014</w:t>
            </w:r>
          </w:fldSimple>
        </w:p>
      </w:tc>
      <w:tc>
        <w:tcPr>
          <w:tcW w:w="7110" w:type="dxa"/>
          <w:tcBorders>
            <w:bottom w:val="nil"/>
          </w:tcBorders>
          <w:vAlign w:val="bottom"/>
        </w:tcPr>
        <w:p w:rsidR="007F3ED6" w:rsidRDefault="007F3ED6">
          <w:pPr>
            <w:pStyle w:val="CIRHeader"/>
            <w:jc w:val="right"/>
            <w:rPr>
              <w:b/>
              <w:bCs/>
              <w:sz w:val="22"/>
              <w:szCs w:val="22"/>
            </w:rPr>
          </w:pPr>
          <w:r>
            <w:rPr>
              <w:b/>
              <w:bCs/>
              <w:sz w:val="22"/>
              <w:szCs w:val="22"/>
            </w:rPr>
            <w:t>Citi Research</w:t>
          </w:r>
        </w:p>
      </w:tc>
    </w:tr>
  </w:tbl>
  <w:p w:rsidR="007F3ED6" w:rsidRDefault="007F3ED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D6" w:rsidRDefault="007F3ED6">
    <w:pPr>
      <w:pStyle w:val="Header"/>
    </w:pPr>
    <w:r>
      <w:rPr>
        <w:noProof/>
      </w:rPr>
      <mc:AlternateContent>
        <mc:Choice Requires="wps">
          <w:drawing>
            <wp:anchor distT="0" distB="0" distL="114300" distR="114300" simplePos="0" relativeHeight="251664384" behindDoc="0" locked="0" layoutInCell="1" allowOverlap="1" wp14:anchorId="3B44606A" wp14:editId="49339095">
              <wp:simplePos x="0" y="0"/>
              <wp:positionH relativeFrom="page">
                <wp:posOffset>9555480</wp:posOffset>
              </wp:positionH>
              <wp:positionV relativeFrom="page">
                <wp:posOffset>640080</wp:posOffset>
              </wp:positionV>
              <wp:extent cx="320040" cy="6529070"/>
              <wp:effectExtent l="1905" t="1905" r="1905"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652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500"/>
                          </w:tblGrid>
                          <w:tr w:rsidR="007F3ED6">
                            <w:trPr>
                              <w:cantSplit/>
                              <w:trHeight w:hRule="exact" w:val="3168"/>
                            </w:trPr>
                            <w:tc>
                              <w:tcPr>
                                <w:tcW w:w="13176" w:type="dxa"/>
                                <w:textDirection w:val="tbRl"/>
                                <w:vAlign w:val="bottom"/>
                              </w:tcPr>
                              <w:p w:rsidR="007F3ED6" w:rsidRDefault="007F3ED6">
                                <w:pPr>
                                  <w:pStyle w:val="CIRHeader"/>
                                  <w:suppressOverlap/>
                                  <w:rPr>
                                    <w:rFonts w:cs="Times New Roman"/>
                                    <w:b/>
                                    <w:bCs/>
                                  </w:rPr>
                                </w:pPr>
                                <w:r>
                                  <w:rPr>
                                    <w:b/>
                                    <w:bCs/>
                                  </w:rPr>
                                  <w:fldChar w:fldCharType="begin"/>
                                </w:r>
                                <w:r>
                                  <w:rPr>
                                    <w:b/>
                                    <w:bCs/>
                                  </w:rPr>
                                  <w:instrText xml:space="preserve"> DOCPROPERTY  ReportTitle </w:instrText>
                                </w:r>
                                <w:r>
                                  <w:rPr>
                                    <w:b/>
                                    <w:bCs/>
                                  </w:rPr>
                                  <w:fldChar w:fldCharType="separate"/>
                                </w:r>
                                <w:r w:rsidR="006C5B01">
                                  <w:rPr>
                                    <w:b/>
                                    <w:bCs/>
                                  </w:rPr>
                                  <w:t>Bruker Corp (BRKR)</w:t>
                                </w:r>
                                <w:r>
                                  <w:rPr>
                                    <w:b/>
                                    <w:bCs/>
                                  </w:rPr>
                                  <w:fldChar w:fldCharType="end"/>
                                </w:r>
                              </w:p>
                              <w:p w:rsidR="007F3ED6" w:rsidRDefault="007F3ED6">
                                <w:pPr>
                                  <w:pStyle w:val="CIRHeader"/>
                                  <w:suppressOverlap/>
                                </w:pPr>
                                <w:fldSimple w:instr=" DOCPROPERTY  ReportDate ">
                                  <w:r w:rsidR="006C5B01">
                                    <w:t>16 December 2014</w:t>
                                  </w:r>
                                </w:fldSimple>
                              </w:p>
                            </w:tc>
                          </w:tr>
                          <w:tr w:rsidR="007F3ED6">
                            <w:trPr>
                              <w:cantSplit/>
                              <w:trHeight w:hRule="exact" w:val="7114"/>
                            </w:trPr>
                            <w:tc>
                              <w:tcPr>
                                <w:tcW w:w="13176" w:type="dxa"/>
                                <w:textDirection w:val="tbRl"/>
                                <w:vAlign w:val="bottom"/>
                              </w:tcPr>
                              <w:p w:rsidR="007F3ED6" w:rsidRDefault="007F3ED6">
                                <w:pPr>
                                  <w:pStyle w:val="CIRHeader"/>
                                  <w:suppressOverlap/>
                                  <w:jc w:val="right"/>
                                  <w:rPr>
                                    <w:b/>
                                    <w:sz w:val="22"/>
                                    <w:szCs w:val="22"/>
                                  </w:rPr>
                                </w:pPr>
                                <w:r>
                                  <w:rPr>
                                    <w:b/>
                                    <w:sz w:val="22"/>
                                    <w:szCs w:val="22"/>
                                  </w:rPr>
                                  <w:t>Citi Research</w:t>
                                </w:r>
                              </w:p>
                            </w:tc>
                          </w:tr>
                        </w:tbl>
                        <w:p w:rsidR="007F3ED6" w:rsidRDefault="007F3ED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752.4pt;margin-top:50.4pt;width:25.2pt;height:514.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" filled="f" stroked="f">
              <v:textbox inset="0,0,0,0">
                <w:txbxContent>
                  <w:tbl>
                    <w:tblPr>
                      <w:tblStyle w:val="TableGrid"/>
                      <w:tblOverlap w:val="never"/>
                      <w:tblW w:w="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500"/>
                    </w:tblGrid>
                    <w:tr w:rsidR="007F3ED6">
                      <w:trPr>
                        <w:cantSplit/>
                        <w:trHeight w:hRule="exact" w:val="3168"/>
                      </w:trPr>
                      <w:tc>
                        <w:tcPr>
                          <w:tcW w:w="13176" w:type="dxa"/>
                          <w:textDirection w:val="tbRl"/>
                          <w:vAlign w:val="bottom"/>
                        </w:tcPr>
                        <w:p w:rsidR="007F3ED6" w:rsidRDefault="007F3ED6">
                          <w:pPr>
                            <w:pStyle w:val="CIRHeader"/>
                            <w:suppressOverlap/>
                            <w:rPr>
                              <w:rFonts w:cs="Times New Roman"/>
                              <w:b/>
                              <w:bCs/>
                            </w:rPr>
                          </w:pPr>
                          <w:r>
                            <w:rPr>
                              <w:b/>
                              <w:bCs/>
                            </w:rPr>
                            <w:fldChar w:fldCharType="begin"/>
                          </w:r>
                          <w:r>
                            <w:rPr>
                              <w:b/>
                              <w:bCs/>
                            </w:rPr>
                            <w:instrText xml:space="preserve"> DOCPROPERTY  ReportTitle </w:instrText>
                          </w:r>
                          <w:r>
                            <w:rPr>
                              <w:b/>
                              <w:bCs/>
                            </w:rPr>
                            <w:fldChar w:fldCharType="separate"/>
                          </w:r>
                          <w:r w:rsidR="006C5B01">
                            <w:rPr>
                              <w:b/>
                              <w:bCs/>
                            </w:rPr>
                            <w:t>Bruker Corp (BRKR)</w:t>
                          </w:r>
                          <w:r>
                            <w:rPr>
                              <w:b/>
                              <w:bCs/>
                            </w:rPr>
                            <w:fldChar w:fldCharType="end"/>
                          </w:r>
                        </w:p>
                        <w:p w:rsidR="007F3ED6" w:rsidRDefault="007F3ED6">
                          <w:pPr>
                            <w:pStyle w:val="CIRHeader"/>
                            <w:suppressOverlap/>
                          </w:pPr>
                          <w:fldSimple w:instr=" DOCPROPERTY  ReportDate ">
                            <w:r w:rsidR="006C5B01">
                              <w:t>16 December 2014</w:t>
                            </w:r>
                          </w:fldSimple>
                        </w:p>
                      </w:tc>
                    </w:tr>
                    <w:tr w:rsidR="007F3ED6">
                      <w:trPr>
                        <w:cantSplit/>
                        <w:trHeight w:hRule="exact" w:val="7114"/>
                      </w:trPr>
                      <w:tc>
                        <w:tcPr>
                          <w:tcW w:w="13176" w:type="dxa"/>
                          <w:textDirection w:val="tbRl"/>
                          <w:vAlign w:val="bottom"/>
                        </w:tcPr>
                        <w:p w:rsidR="007F3ED6" w:rsidRDefault="007F3ED6">
                          <w:pPr>
                            <w:pStyle w:val="CIRHeader"/>
                            <w:suppressOverlap/>
                            <w:jc w:val="right"/>
                            <w:rPr>
                              <w:b/>
                              <w:sz w:val="22"/>
                              <w:szCs w:val="22"/>
                            </w:rPr>
                          </w:pPr>
                          <w:r>
                            <w:rPr>
                              <w:b/>
                              <w:sz w:val="22"/>
                              <w:szCs w:val="22"/>
                            </w:rPr>
                            <w:t>Citi Research</w:t>
                          </w:r>
                        </w:p>
                      </w:tc>
                    </w:tr>
                  </w:tbl>
                  <w:p w:rsidR="007F3ED6" w:rsidRDefault="007F3ED6"/>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8" w:type="dxa"/>
      <w:tblInd w:w="-3528" w:type="dxa"/>
      <w:tblBorders>
        <w:bottom w:val="single" w:sz="12" w:space="0" w:color="003366"/>
      </w:tblBorders>
      <w:tblLayout w:type="fixed"/>
      <w:tblCellMar>
        <w:left w:w="0" w:type="dxa"/>
        <w:bottom w:w="40" w:type="dxa"/>
        <w:right w:w="0" w:type="dxa"/>
      </w:tblCellMar>
      <w:tblLook w:val="01E0" w:firstRow="1" w:lastRow="1" w:firstColumn="1" w:lastColumn="1" w:noHBand="0" w:noVBand="0"/>
    </w:tblPr>
    <w:tblGrid>
      <w:gridCol w:w="3168"/>
      <w:gridCol w:w="7110"/>
    </w:tblGrid>
    <w:tr w:rsidR="00A0169C">
      <w:trPr>
        <w:cantSplit/>
        <w:trHeight w:val="500"/>
      </w:trPr>
      <w:tc>
        <w:tcPr>
          <w:tcW w:w="3168" w:type="dxa"/>
          <w:tcBorders>
            <w:bottom w:val="nil"/>
          </w:tcBorders>
          <w:shd w:val="clear" w:color="auto" w:fill="auto"/>
          <w:vAlign w:val="bottom"/>
        </w:tcPr>
        <w:p w:rsidR="00A0169C" w:rsidRDefault="00250139">
          <w:pPr>
            <w:pStyle w:val="CIRHeader"/>
            <w:rPr>
              <w:rFonts w:cs="Times New Roman"/>
              <w:b/>
              <w:bCs/>
            </w:rPr>
          </w:pPr>
          <w:r>
            <w:rPr>
              <w:b/>
              <w:bCs/>
            </w:rPr>
            <w:fldChar w:fldCharType="begin"/>
          </w:r>
          <w:r>
            <w:rPr>
              <w:b/>
              <w:bCs/>
            </w:rPr>
            <w:instrText xml:space="preserve"> DOCPROPERTY  ReportTitle </w:instrText>
          </w:r>
          <w:r>
            <w:rPr>
              <w:b/>
              <w:bCs/>
            </w:rPr>
            <w:fldChar w:fldCharType="separate"/>
          </w:r>
          <w:r w:rsidR="007F3ED6">
            <w:rPr>
              <w:b/>
              <w:bCs/>
            </w:rPr>
            <w:t>Bruker Corp (BRKR)</w:t>
          </w:r>
          <w:r>
            <w:rPr>
              <w:b/>
              <w:bCs/>
            </w:rPr>
            <w:fldChar w:fldCharType="end"/>
          </w:r>
        </w:p>
        <w:p w:rsidR="00A0169C" w:rsidRDefault="00250139">
          <w:pPr>
            <w:pStyle w:val="CIRHeader"/>
            <w:spacing w:line="200" w:lineRule="exact"/>
            <w:rPr>
              <w:rFonts w:cs="Times New Roman"/>
              <w:b/>
              <w:bCs/>
            </w:rPr>
          </w:pPr>
          <w:fldSimple w:instr=" DOCPROPERTY  ReportDate ">
            <w:r w:rsidR="007F3ED6">
              <w:t>16 December 2014</w:t>
            </w:r>
          </w:fldSimple>
        </w:p>
      </w:tc>
      <w:tc>
        <w:tcPr>
          <w:tcW w:w="7110" w:type="dxa"/>
          <w:tcBorders>
            <w:bottom w:val="nil"/>
          </w:tcBorders>
          <w:vAlign w:val="bottom"/>
        </w:tcPr>
        <w:p w:rsidR="00A0169C" w:rsidRDefault="00250139">
          <w:pPr>
            <w:pStyle w:val="CIRHeader"/>
            <w:jc w:val="right"/>
            <w:rPr>
              <w:b/>
              <w:bCs/>
              <w:sz w:val="22"/>
              <w:szCs w:val="22"/>
            </w:rPr>
          </w:pPr>
          <w:r>
            <w:rPr>
              <w:b/>
              <w:bCs/>
              <w:sz w:val="22"/>
              <w:szCs w:val="22"/>
            </w:rPr>
            <w:t>Citi Research</w:t>
          </w:r>
        </w:p>
      </w:tc>
    </w:tr>
  </w:tbl>
  <w:p w:rsidR="00A0169C" w:rsidRDefault="00A0169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8" w:type="dxa"/>
      <w:tblBorders>
        <w:bottom w:val="single" w:sz="12" w:space="0" w:color="003366"/>
      </w:tblBorders>
      <w:tblLayout w:type="fixed"/>
      <w:tblCellMar>
        <w:left w:w="0" w:type="dxa"/>
        <w:bottom w:w="40" w:type="dxa"/>
        <w:right w:w="0" w:type="dxa"/>
      </w:tblCellMar>
      <w:tblLook w:val="01E0" w:firstRow="1" w:lastRow="1" w:firstColumn="1" w:lastColumn="1" w:noHBand="0" w:noVBand="0"/>
    </w:tblPr>
    <w:tblGrid>
      <w:gridCol w:w="3168"/>
      <w:gridCol w:w="7110"/>
    </w:tblGrid>
    <w:tr w:rsidR="00A0169C">
      <w:trPr>
        <w:cantSplit/>
        <w:trHeight w:val="500"/>
      </w:trPr>
      <w:tc>
        <w:tcPr>
          <w:tcW w:w="3168" w:type="dxa"/>
          <w:tcBorders>
            <w:bottom w:val="nil"/>
          </w:tcBorders>
          <w:shd w:val="clear" w:color="auto" w:fill="auto"/>
          <w:vAlign w:val="bottom"/>
        </w:tcPr>
        <w:p w:rsidR="00A0169C" w:rsidRDefault="00250139">
          <w:pPr>
            <w:pStyle w:val="CIRHeader"/>
            <w:rPr>
              <w:rFonts w:cs="Times New Roman"/>
              <w:b/>
              <w:bCs/>
            </w:rPr>
          </w:pPr>
          <w:r>
            <w:rPr>
              <w:b/>
              <w:bCs/>
            </w:rPr>
            <w:fldChar w:fldCharType="begin"/>
          </w:r>
          <w:r>
            <w:rPr>
              <w:b/>
              <w:bCs/>
            </w:rPr>
            <w:instrText xml:space="preserve"> DOCPROPERTY  ReportTitle </w:instrText>
          </w:r>
          <w:r>
            <w:rPr>
              <w:b/>
              <w:bCs/>
            </w:rPr>
            <w:fldChar w:fldCharType="separate"/>
          </w:r>
          <w:r w:rsidR="007F3ED6">
            <w:rPr>
              <w:b/>
              <w:bCs/>
            </w:rPr>
            <w:t>Bruker Corp (BRKR)</w:t>
          </w:r>
          <w:r>
            <w:rPr>
              <w:b/>
              <w:bCs/>
            </w:rPr>
            <w:fldChar w:fldCharType="end"/>
          </w:r>
        </w:p>
        <w:p w:rsidR="00A0169C" w:rsidRDefault="00250139">
          <w:pPr>
            <w:pStyle w:val="CIRHeader"/>
            <w:spacing w:line="200" w:lineRule="exact"/>
            <w:rPr>
              <w:rFonts w:cs="Times New Roman"/>
              <w:b/>
              <w:bCs/>
            </w:rPr>
          </w:pPr>
          <w:fldSimple w:instr=" DOCPROPERTY  ReportDate ">
            <w:r w:rsidR="007F3ED6">
              <w:t>16 December 2014</w:t>
            </w:r>
          </w:fldSimple>
        </w:p>
      </w:tc>
      <w:tc>
        <w:tcPr>
          <w:tcW w:w="7110" w:type="dxa"/>
          <w:tcBorders>
            <w:bottom w:val="nil"/>
          </w:tcBorders>
          <w:vAlign w:val="bottom"/>
        </w:tcPr>
        <w:p w:rsidR="00A0169C" w:rsidRDefault="00250139">
          <w:pPr>
            <w:pStyle w:val="CIRHeader"/>
            <w:jc w:val="right"/>
            <w:rPr>
              <w:b/>
              <w:bCs/>
              <w:sz w:val="22"/>
              <w:szCs w:val="22"/>
            </w:rPr>
          </w:pPr>
          <w:r>
            <w:rPr>
              <w:b/>
              <w:bCs/>
              <w:sz w:val="22"/>
              <w:szCs w:val="22"/>
            </w:rPr>
            <w:t>Citi Research</w:t>
          </w:r>
        </w:p>
      </w:tc>
    </w:tr>
  </w:tbl>
  <w:p w:rsidR="00A0169C" w:rsidRDefault="00A016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6E0D5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5F6250"/>
    <w:multiLevelType w:val="hybridMultilevel"/>
    <w:tmpl w:val="575E4494"/>
    <w:lvl w:ilvl="0" w:tplc="7E8887B8">
      <w:start w:val="1"/>
      <w:numFmt w:val="bullet"/>
      <w:pStyle w:val="CIRQualifierActive"/>
      <w:lvlText w:val="n"/>
      <w:lvlJc w:val="left"/>
      <w:pPr>
        <w:tabs>
          <w:tab w:val="num" w:pos="216"/>
        </w:tabs>
        <w:ind w:left="216" w:hanging="216"/>
      </w:pPr>
      <w:rPr>
        <w:rFonts w:ascii="Wingdings" w:hAnsi="Wingdings" w:hint="default"/>
        <w:color w:val="002D72"/>
        <w:sz w:val="16"/>
      </w:rPr>
    </w:lvl>
    <w:lvl w:ilvl="1" w:tplc="641888B6" w:tentative="1">
      <w:start w:val="1"/>
      <w:numFmt w:val="bullet"/>
      <w:lvlText w:val="o"/>
      <w:lvlJc w:val="left"/>
      <w:pPr>
        <w:tabs>
          <w:tab w:val="num" w:pos="1440"/>
        </w:tabs>
        <w:ind w:left="1440" w:hanging="360"/>
      </w:pPr>
      <w:rPr>
        <w:rFonts w:ascii="Courier New" w:hAnsi="Courier New" w:cs="Courier New" w:hint="default"/>
        <w:color w:val="002D72"/>
      </w:rPr>
    </w:lvl>
    <w:lvl w:ilvl="2" w:tplc="56A6947E" w:tentative="1">
      <w:start w:val="1"/>
      <w:numFmt w:val="bullet"/>
      <w:lvlText w:val=""/>
      <w:lvlJc w:val="left"/>
      <w:pPr>
        <w:tabs>
          <w:tab w:val="num" w:pos="2160"/>
        </w:tabs>
        <w:ind w:left="2160" w:hanging="360"/>
      </w:pPr>
      <w:rPr>
        <w:rFonts w:ascii="Wingdings" w:hAnsi="Wingdings" w:hint="default"/>
        <w:color w:val="002D7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374ED6"/>
    <w:multiLevelType w:val="multilevel"/>
    <w:tmpl w:val="99ACCEC2"/>
    <w:styleLink w:val="CIRBullets"/>
    <w:lvl w:ilvl="0">
      <w:start w:val="1"/>
      <w:numFmt w:val="bullet"/>
      <w:lvlRestart w:val="0"/>
      <w:pStyle w:val="CIRTextBullet"/>
      <w:lvlText w:val="n"/>
      <w:lvlJc w:val="left"/>
      <w:pPr>
        <w:tabs>
          <w:tab w:val="num" w:pos="216"/>
        </w:tabs>
        <w:ind w:left="216" w:hanging="216"/>
      </w:pPr>
      <w:rPr>
        <w:rFonts w:ascii="Wingdings" w:hAnsi="Wingdings" w:cs="Arial"/>
        <w:b w:val="0"/>
        <w:bCs w:val="0"/>
        <w:i w:val="0"/>
        <w:iCs w:val="0"/>
        <w:caps w:val="0"/>
        <w:smallCaps w:val="0"/>
        <w:strike w:val="0"/>
        <w:dstrike w:val="0"/>
        <w:vanish w:val="0"/>
        <w:color w:val="002D72"/>
        <w:kern w:val="18"/>
        <w:sz w:val="17"/>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CIRTextBulletLevel2"/>
      <w:lvlText w:val="–"/>
      <w:lvlJc w:val="left"/>
      <w:pPr>
        <w:tabs>
          <w:tab w:val="num" w:pos="432"/>
        </w:tabs>
        <w:ind w:left="432" w:hanging="216"/>
      </w:pPr>
      <w:rPr>
        <w:rFonts w:ascii="Arial" w:hAnsi="Arial" w:hint="default"/>
        <w:color w:val="002D72"/>
      </w:rPr>
    </w:lvl>
    <w:lvl w:ilvl="2">
      <w:start w:val="1"/>
      <w:numFmt w:val="bullet"/>
      <w:lvlText w:val="•"/>
      <w:lvlJc w:val="left"/>
      <w:pPr>
        <w:tabs>
          <w:tab w:val="num" w:pos="648"/>
        </w:tabs>
        <w:ind w:left="648" w:hanging="216"/>
      </w:pPr>
      <w:rPr>
        <w:rFonts w:ascii="Arial" w:hAnsi="Arial" w:hint="default"/>
        <w:color w:val="002D72"/>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245F17F8"/>
    <w:multiLevelType w:val="multilevel"/>
    <w:tmpl w:val="31481D32"/>
    <w:styleLink w:val="CIRFPBullets"/>
    <w:lvl w:ilvl="0">
      <w:start w:val="1"/>
      <w:numFmt w:val="bullet"/>
      <w:lvlRestart w:val="0"/>
      <w:pStyle w:val="CIRFPBullet"/>
      <w:lvlText w:val="n"/>
      <w:lvlJc w:val="left"/>
      <w:pPr>
        <w:tabs>
          <w:tab w:val="num" w:pos="0"/>
        </w:tabs>
        <w:ind w:left="0" w:hanging="216"/>
      </w:pPr>
      <w:rPr>
        <w:rFonts w:ascii="Wingdings" w:hAnsi="Wingdings" w:cs="Arial" w:hint="default"/>
        <w:b w:val="0"/>
        <w:bCs w:val="0"/>
        <w:i w:val="0"/>
        <w:iCs w:val="0"/>
        <w:caps w:val="0"/>
        <w:strike w:val="0"/>
        <w:dstrike w:val="0"/>
        <w:vanish w:val="0"/>
        <w:color w:val="002D72"/>
        <w:kern w:val="18"/>
        <w:sz w:val="17"/>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CIRFPBulletLevel2"/>
      <w:lvlText w:val="–"/>
      <w:lvlJc w:val="left"/>
      <w:pPr>
        <w:tabs>
          <w:tab w:val="num" w:pos="216"/>
        </w:tabs>
        <w:ind w:left="216" w:hanging="216"/>
      </w:pPr>
      <w:rPr>
        <w:rFonts w:ascii="Arial" w:hAnsi="Arial" w:hint="default"/>
        <w:color w:val="002D72"/>
      </w:rPr>
    </w:lvl>
    <w:lvl w:ilvl="2">
      <w:start w:val="1"/>
      <w:numFmt w:val="bullet"/>
      <w:lvlText w:val="•"/>
      <w:lvlJc w:val="left"/>
      <w:pPr>
        <w:tabs>
          <w:tab w:val="num" w:pos="648"/>
        </w:tabs>
        <w:ind w:left="648" w:hanging="216"/>
      </w:pPr>
      <w:rPr>
        <w:rFonts w:ascii="Arial" w:hAnsi="Arial" w:hint="default"/>
        <w:color w:val="002D72"/>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26733EB6"/>
    <w:multiLevelType w:val="hybridMultilevel"/>
    <w:tmpl w:val="1F042DA2"/>
    <w:lvl w:ilvl="0" w:tplc="45E86154">
      <w:start w:val="1"/>
      <w:numFmt w:val="decimal"/>
      <w:lvlText w:val="%1."/>
      <w:lvlJc w:val="left"/>
      <w:pPr>
        <w:tabs>
          <w:tab w:val="num" w:pos="360"/>
        </w:tabs>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9D40B85"/>
    <w:multiLevelType w:val="hybridMultilevel"/>
    <w:tmpl w:val="3578BA26"/>
    <w:lvl w:ilvl="0" w:tplc="ABD6A6DC">
      <w:start w:val="1"/>
      <w:numFmt w:val="bullet"/>
      <w:pStyle w:val="CIRT-Bullet"/>
      <w:lvlText w:val="n"/>
      <w:lvlJc w:val="left"/>
      <w:pPr>
        <w:tabs>
          <w:tab w:val="num" w:pos="216"/>
        </w:tabs>
        <w:ind w:left="216" w:hanging="216"/>
      </w:pPr>
      <w:rPr>
        <w:rFonts w:ascii="Wingdings" w:hAnsi="Wingdings" w:cs="Arial" w:hint="default"/>
        <w:b w:val="0"/>
        <w:bCs w:val="0"/>
        <w:i w:val="0"/>
        <w:iCs w:val="0"/>
        <w:caps w:val="0"/>
        <w:strike w:val="0"/>
        <w:dstrike w:val="0"/>
        <w:vanish w:val="0"/>
        <w:color w:val="002D72"/>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244714" w:tentative="1">
      <w:start w:val="1"/>
      <w:numFmt w:val="bullet"/>
      <w:lvlText w:val="o"/>
      <w:lvlJc w:val="left"/>
      <w:pPr>
        <w:tabs>
          <w:tab w:val="num" w:pos="1440"/>
        </w:tabs>
        <w:ind w:left="1440" w:hanging="360"/>
      </w:pPr>
      <w:rPr>
        <w:rFonts w:ascii="Courier New" w:hAnsi="Courier New" w:cs="Courier New" w:hint="default"/>
        <w:color w:val="002D72"/>
      </w:rPr>
    </w:lvl>
    <w:lvl w:ilvl="2" w:tplc="C01ED174" w:tentative="1">
      <w:start w:val="1"/>
      <w:numFmt w:val="bullet"/>
      <w:lvlText w:val=""/>
      <w:lvlJc w:val="left"/>
      <w:pPr>
        <w:tabs>
          <w:tab w:val="num" w:pos="2160"/>
        </w:tabs>
        <w:ind w:left="2160" w:hanging="360"/>
      </w:pPr>
      <w:rPr>
        <w:rFonts w:ascii="Wingdings" w:hAnsi="Wingdings" w:hint="default"/>
        <w:color w:val="002D7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33E28CE"/>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DA93012"/>
    <w:multiLevelType w:val="hybridMultilevel"/>
    <w:tmpl w:val="D5BE55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104815"/>
    <w:multiLevelType w:val="hybridMultilevel"/>
    <w:tmpl w:val="110EC6EA"/>
    <w:lvl w:ilvl="0" w:tplc="DE6C8EE2">
      <w:start w:val="1"/>
      <w:numFmt w:val="decimal"/>
      <w:pStyle w:val="CIRNumberedLis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3"/>
  </w:num>
  <w:num w:numId="4">
    <w:abstractNumId w:val="3"/>
  </w:num>
  <w:num w:numId="5">
    <w:abstractNumId w:val="8"/>
  </w:num>
  <w:num w:numId="6">
    <w:abstractNumId w:val="1"/>
  </w:num>
  <w:num w:numId="7">
    <w:abstractNumId w:val="5"/>
  </w:num>
  <w:num w:numId="8">
    <w:abstractNumId w:val="2"/>
  </w:num>
  <w:num w:numId="9">
    <w:abstractNumId w:val="2"/>
  </w:num>
  <w:num w:numId="10">
    <w:abstractNumId w:val="2"/>
  </w:num>
  <w:num w:numId="11">
    <w:abstractNumId w:val="3"/>
  </w:num>
  <w:num w:numId="12">
    <w:abstractNumId w:val="3"/>
  </w:num>
  <w:num w:numId="13">
    <w:abstractNumId w:val="3"/>
  </w:num>
  <w:num w:numId="14">
    <w:abstractNumId w:val="8"/>
  </w:num>
  <w:num w:numId="15">
    <w:abstractNumId w:val="1"/>
  </w:num>
  <w:num w:numId="16">
    <w:abstractNumId w:val="5"/>
  </w:num>
  <w:num w:numId="17">
    <w:abstractNumId w:val="2"/>
  </w:num>
  <w:num w:numId="18">
    <w:abstractNumId w:val="2"/>
  </w:num>
  <w:num w:numId="19">
    <w:abstractNumId w:val="6"/>
  </w:num>
  <w:num w:numId="20">
    <w:abstractNumId w:val="0"/>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attachedTemplate r:id="rId1"/>
  <w:documentProtection w:edit="readOnly" w:enforcement="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DIT_CUSTOM_PART_ID" w:val="{E06CF7E2-E06F-41BD-A039-0EE82BDF86D8}"/>
    <w:docVar w:name="AuditTrail" w:val="&lt;auditTrail&gt;&lt;action dateTime=&quot;16-Dec-2014 16:15:35@GMT-05:00&quot; type=&quot;NewDoc&quot; by=&quot;rshqa007&quot; /&gt;&lt;action dateTime=&quot;16-Dec-2014 16:31:35@GMT-05:00&quot; type=&quot;OpenDoc&quot; by=&quot;av73265&quot; /&gt;&lt;/auditTrail&gt;"/>
    <w:docVar w:name="BulletsAllHTM" w:val="&lt;UL&gt;&lt;LI&gt;Initiate with a Buy and a DKr158 TP (+23.8% ETR) — We believe that GN can deliver a FY14-17E sales CAGR of 9.8% and an EPS CAGR of 19.7%, supported by a DKr1bn (&amp;gt;4%) annual share buyback. GN’s wireless connectivity advantage in hearing aids (Made for iPhone, etc) should last until 2016-17E, while the increasing uptake of Unified Communications (UC) technology should accelerate growth and margin for its headset business, Netcom, in our view. &lt;/LI&gt;&lt;LI&gt;Our 2017E Netcom (headset) EBITA is 14% ahead of consensus — We expect GN to gain further share in the UC headset market in 2015-16 due to a recent large contract win, driving a &amp;gt;25% UC sales CAGR and accelerating Netcom’s organic growth from 10% in 2014E to 14% in 2016E vs 12% consensus. Given we estimate that UC is accretive to Netcom’s margin and our expectation of a turnaround in the music-product margin following a portfolio optimization in 1H14, we forecast a turnaround in Netcom’s EBITA margin from 17.8% in 2014E to 20.3% in 2017E (150bp ahead of cons. at 18.8%). &lt;/LI&gt;&lt;LI&gt;Cautious on 1H15 margin — While we are positive on the mid-term outlook for GN, we would caution that the company could continue to face margin headwinds from US$ strength in 1H15 (due to having hedged 1-yr fwd), before this reverses from 2H15. Further to this, there could be an ongoing headwind from a narrowing gap between R&amp;amp;D capitalisation and amortization, but we feel this is now better understood than with Sonova, given it was flagged by the CFO on the 3Q call.&lt;/LI&gt;&lt;LI&gt;PEG of 0.8x; recent de-rating largely factors in near-term risks — GN is trading on 16.2x our 2016E adj. EPS, which is &amp;lt;1% above consensus, for an estimated 2014E-17E adj. EPS CAGR of 19.7% (PEG 0.8x) vs 13% for the sector (PEG 1.4x). This is a 9% P/E discount to the sector despite GN’s superior earnings growth, on our forecasts, and we therefore believe GN’s recent de-rating largely factors in near-term risks to margin and GN’s Costco Kirkland Signature contract. &lt;/LI&gt;&lt;/UL&gt;"/>
    <w:docVar w:name="CC_CUSTOM_PART_ID" w:val="{304EF0B3-4565-40DC-A17B-4605387E2666}"/>
    <w:docVar w:name="ClearUndo" w:val="true"/>
    <w:docVar w:name="CM_Key" w:val=" &lt;Properties&gt;&lt;Property key=&quot;Owner&quot; value=&quot;E6XYB6412478&quot; /&gt;&lt;/Properties&gt;"/>
    <w:docVar w:name="DOCUMENT_LOG_CUSTOM_PART_ID" w:val="{DA16389A-C96C-4E4B-BE96-87272D39082F}"/>
    <w:docVar w:name="HTMLRendition" w:val="&lt;compTable id=&quot;CompTable_Profile 001&quot; type=&quot;Predefined&quot; isHTML=&quot;True&quot; templateName=&quot;CompTable_Global_Landscape.xls&quot; templateCode=&quot;CompTable_Landscape&quot; layoutName=&quot;HTMLTable&quot; profileCode=&quot;308&quot; profileName=&quot;Profile 001&quot; includeAllCompaniesToTag=&quot;false&quot; isAggregate=&quot;false&quot; bookmarkname=&quot;bkm_Profile 001&quot; lastModifiedDate=&quot;16 Dec 2014&quot;&gt;&lt;company code=&quot;A.US&quot; usePending=&quot;False&quot; subId=&quot;3333266&quot;&gt;&lt;/company&gt;&lt;company code=&quot;BRKR.US&quot; usePending=&quot;False&quot; subId=&quot;3352166&quot;&gt;&lt;/company&gt;&lt;company code=&quot;CPHD.US&quot; usePending=&quot;False&quot; subId=&quot;3344242&quot;&gt;&lt;/company&gt;&lt;company code=&quot;ILMN.US&quot; usePending=&quot;False&quot; subId=&quot;3341778&quot;&gt;&lt;/company&gt;&lt;company code=&quot;LMNX.US&quot; usePending=&quot;False&quot; subId=&quot;3353632&quot;&gt;&lt;/company&gt;&lt;company code=&quot;MTD.CH&quot; usePending=&quot;False&quot; subId=&quot;3339837&quot;&gt;&lt;/company&gt;&lt;company code=&quot;PKI.US&quot; usePending=&quot;False&quot; subId=&quot;3339973&quot;&gt;&lt;/company&gt;&lt;company code=&quot;SIAL.US&quot; usePending=&quot;False&quot; subId=&quot;3351058&quot;&gt;&lt;/company&gt;&lt;company code=&quot;TMO.US&quot; usePending=&quot;False&quot; subId=&quot;3340176&quot;&gt;&lt;/company&gt;&lt;company code=&quot;WAT.US&quot; usePending=&quot;False&quot; subId=&quot;3308177&quot;&gt;&lt;/company&gt;&lt;/compTable&gt;"/>
    <w:docVar w:name="LegalEntity" w:val="Citigroup Global Markets"/>
    <w:docVar w:name="ProductStream" w:val="Fundamental"/>
    <w:docVar w:name="RA2K3_COMPONENT_CODE_TYPE_DATA" w:val="&lt;componentData&gt;&lt;componentConfigurations /&gt;&lt;componentInstantiations&gt;&lt;componentInstantiation id=&quot;D09CE4A8-0799-4A4B-AA70-C59C6FCF7A03&quot; componentCode=&quot;abstract&quot; componentType=&quot;&quot; /&gt;&lt;componentInstantiation id=&quot;6D632D5B-A89A-425F-845E-B0531F6F0B77&quot; componentCode=&quot;documentDate&quot; componentType=&quot;documentDate&quot; /&gt;&lt;componentInstantiation id=&quot;78DCD971-25AC-475D-B52D-18817484A0B5&quot; componentCode=&quot;analystNote&quot; componentType=&quot;analystNote&quot; /&gt;&lt;componentInstantiation id=&quot;F1E9BCFF-04EE-4556-8D72-5D767E7F2491&quot; componentCode=&quot;documentTitle&quot; componentType=&quot;documentTitle&quot; /&gt;&lt;componentInstantiation id=&quot;0B2914F3-C462-4BD5-8CC7-CDC5AC7C4C19&quot; componentCode=&quot;priceChart&quot; componentType=&quot;priceChart&quot; /&gt;&lt;componentInstantiation id=&quot;E416C1AF-AACF-4F13-9508-9B94773AC159&quot; componentCode=&quot;issuer&quot; componentType=&quot;issuer&quot; /&gt;&lt;componentInstantiation id=&quot;EB57C1EA-BF6E-417C-BC64-8B7EF97E7D58&quot; componentCode=&quot;region&quot; componentType=&quot;region&quot; /&gt;&lt;componentInstantiation id=&quot;61044C0A-048B-4483-9708-C52C16997093&quot; componentCode=&quot;country&quot; componentType=&quot;country&quot; /&gt;&lt;componentInstantiation id=&quot;811ECCBA-43A3-461D-ACDD-07D8B033583A&quot; componentCode=&quot;productBrand&quot; componentType=&quot;productBrand&quot; /&gt;&lt;componentInstantiation id=&quot;986B992F-9014-45AE-AFB3-26875B9B6B00&quot; componentCode=&quot;corporateLogo&quot; componentType=&quot;corporateLogo&quot; /&gt;&lt;componentInstantiation id=&quot;6FB4341B-E16E-4BCE-9195-C59B02661D05&quot; componentCode=&quot;Analysts&quot; componentType=&quot;DataTable&quot; /&gt;&lt;componentInstantiation id=&quot;4070D5CA-6588-4ADF-8F85-6833AD42E28D&quot; componentCode=&quot;subIndustry&quot; componentType=&quot;subIndustry&quot; /&gt;&lt;componentInstantiation id=&quot;23A8709A-8495-44F5-813A-FC79268841F9&quot; componentCode=&quot;RatingBlock&quot; componentType=&quot;DataTable&quot; /&gt;&lt;componentInstantiation id=&quot;53163FF2-9645-4774-BA05-AD87707BF944&quot; componentCode=&quot;narratives&quot; componentType=&quot;narratives&quot; /&gt;&lt;componentInstantiation id=&quot;AD6271F9-5A75-4638-B3B7-A800EEFB6E74&quot; componentCode=&quot;qualifier&quot; componentType=&quot;qualifier&quot; /&gt;&lt;componentInstantiation id=&quot;DC214F6A-1E6A-4EE7-BC75-4391D91224B4&quot; componentCode=&quot;disclosure8687&quot; componentType=&quot;disclosure8687&quot; /&gt;&lt;componentInstantiation id=&quot;8E3443C4-1942-43B3-8B13-9160CB845F23&quot; componentCode=&quot;priceChartHeader&quot; componentType=&quot;priceChartHeader&quot; /&gt;&lt;componentInstantiation id=&quot;F1E9BCFF-04EE-4556-8D72-5D767E7F24911&quot; componentCode=&quot;&quot; componentType=&quot;&quot; /&gt;&lt;componentInstantiation id=&quot;BAB771FA-14FB-4985-96C2-F5352A0F7C65&quot; componentCode=&quot;subBrandingLabel&quot; componentType=&quot;subBrandingLabel&quot; /&gt;&lt;/componentInstantiations&gt;&lt;/componentData&gt;"/>
    <w:docVar w:name="RA2K3_COMPONENT_DATA" w:val="&lt;componentData&gt;&lt;componentConfigurations /&gt;&lt;componentInstantiations&gt;&lt;componentInstantiation id=&quot;6FB4341B-E16E-4BCE-9195-C59B02661D05&quot; activeState=&quot;USER&quot;&gt;&lt;state type=&quot;DEFAULT&quot;&gt;&lt;Response&gt;&lt;State&gt;&lt;table rangeFormatID=&quot;FrontPageDataTableTopBorder&quot; code=&quot;Analysts&quot; xmlns=&quot;http://schemas.capco.com/raml/2003&quot; xmlns:rs=&quot;urn:schemas-microsoft-com:rowset&quot; xmlns:z=&quot;#RowsetSchema&quot; xmlns:tfo=&quot;TableFormatter&quot;&gt;&lt;structure&gt;&lt;metricRow region=&quot;body&quot;&gt;&lt;metricCell rangeFormatID=&quot;AnalystNamePrimary&quot;&gt;&lt;metric type=&quot;analystDisplayName&quot; appliesTo=&quot;DA07665&quot; metricCode=&quot;analystDisplayName&quot;&gt;&lt;metricValue dbValue=&quot;Daniel Arias&quot;&gt;Daniel Arias&lt;/metricValue&gt;&lt;/metric&gt;&lt;/metricCell&gt;&lt;/metricRow&gt;&lt;metricRow region=&quot;body&quot;&gt;&lt;metricCell rangeFormatID=&quot;AnalystData&quot;&gt;&lt;metric type=&quot;analystPhone&quot; appliesTo=&quot;DA07665&quot; metricCode=&quot;analystPhone&quot;&gt;&lt;metricValue dbValue=&quot;+1-212-816-4069&quot;&gt;+1-212-816-4069&lt;/metricValue&gt;&lt;/metric&gt;&lt;/metricCell&gt;&lt;/metricRow&gt;&lt;metricRow region=&quot;body&quot;&gt;&lt;metricCell rangeFormatID=&quot;AnalystData&quot;&gt;&lt;metric type=&quot;analystEmail&quot; appliesTo=&quot;DA07665&quot; metricCode=&quot;analystEmail&quot;&gt;&lt;metricValue dbValue=&quot;publicitisystemtesters@imcnam.ssmb.com&quot;&gt;publicitisystemtesters@imcnam.ssmb.com&lt;/metricValue&gt;&lt;/metric&gt;&lt;/metricCell&gt;&lt;/metricRow&gt;&lt;metricRow region=&quot;dummyRow&quot;&gt;&lt;metricCell rangeFormatID=&quot;AnalystData&quot;&gt;&lt;label type=&quot;label&quot;&gt; &lt;/label&gt;&lt;/metricCell&gt;&lt;/metricRow&gt;&lt;/structure&gt;&lt;/table&gt;&lt;/State&gt;&lt;Response xmlns:rs=&quot;urn:schemas-microsoft-com:rowset&quot; xmlns:z=&quot;#RowsetSchema&quot;&gt;&lt;rs xmlns=&quot;data&quot;&gt;&lt;z:row AnalystID=&quot;DA07665&quot; FirstName=&quot;Daniel&quot; LastName=&quot;Arias&quot; DisplayName=&quot;Daniel Arias&quot; Email=&quot;publicitisystemtesters@imcnam.ssmb.com&quot; Phone=&quot;+1-212-816-4069&quot; ContactId=&quot;72735&quot; apAnalystNumber=&quot;11010&quot; locationCountry=&quot;United States&quot; DisplayEmail=&quot;true&quot; DisplayPhone=&quot;true&quot; CoverageType=&quot;PRI&quot; /&gt;&lt;/rs&gt;&lt;/Response&gt;&lt;Properties&gt;&lt;Property key=&quot;RefreshType&quot; value=&quot;RefreshAll&quot; /&gt;&lt;/Properties&gt;&lt;/Response&gt;&lt;/state&gt;&lt;state type=&quot;USER&quot;&gt;&lt;Response&gt;&lt;State&gt;&lt;table rangeFormatID=&quot;FrontPageDataTableTopBorder&quot; code=&quot;Analysts&quot; xmlns=&quot;http://schemas.capco.com/raml/2003&quot; xmlns:rs=&quot;urn:schemas-microsoft-com:rowset&quot; xmlns:z=&quot;#RowsetSchema&quot; xmlns:tfo=&quot;TableFormatter&quot;&gt;&lt;structure&gt;&lt;metricRow region=&quot;body&quot;&gt;&lt;metricCell rangeFormatID=&quot;AnalystNamePrimary&quot;&gt;&lt;metric type=&quot;analystDisplayName&quot; appliesTo=&quot;DA07665&quot; metricCode=&quot;analystDisplayName&quot;&gt;&lt;metricValue dbValue=&quot;Daniel Arias&quot;&gt;Daniel Arias&lt;/metricValue&gt;&lt;/metric&gt;&lt;/metricCell&gt;&lt;/metricRow&gt;&lt;metricRow region=&quot;body&quot;&gt;&lt;metricCell rangeFormatID=&quot;AnalystData&quot;&gt;&lt;metric type=&quot;analystPhone&quot; appliesTo=&quot;DA07665&quot; metricCode=&quot;analystPhone&quot;&gt;&lt;metricValue dbValue=&quot;+1-212-816-4069&quot;&gt;+1-212-816-4069&lt;/metricValue&gt;&lt;/metric&gt;&lt;/metricCell&gt;&lt;/metricRow&gt;&lt;metricRow region=&quot;body&quot;&gt;&lt;metricCell rangeFormatID=&quot;AnalystData&quot;&gt;&lt;metric type=&quot;analystEmail&quot; appliesTo=&quot;DA07665&quot; metricCode=&quot;analystEmail&quot;&gt;&lt;metricValue dbValue=&quot;publicitisystemtesters@imcnam.ssmb.com&quot;&gt;publicitisystemtesters@imcnam.ssmb.com&lt;/metricValue&gt;&lt;/metric&gt;&lt;/metricCell&gt;&lt;/metricRow&gt;&lt;metricRow region=&quot;dummyRow&quot;&gt;&lt;metricCell rangeFormatID=&quot;AnalystData&quot;&gt;&lt;label type=&quot;label&quot;&gt; &lt;/label&gt;&lt;/metricCell&gt;&lt;/metricRow&gt;&lt;/structure&gt;&lt;/table&gt;&lt;LastUpdated&gt;4:15 PM 12/16/2014&lt;/LastUpdated&gt;&lt;/State&gt;&lt;Response xmlns:rs=&quot;urn:schemas-microsoft-com:rowset&quot; xmlns:z=&quot;#RowsetSchema&quot;&gt;&lt;rs xmlns=&quot;data&quot;&gt;&lt;z:row AnalystID=&quot;DA07665&quot; FirstName=&quot;Daniel&quot; LastName=&quot;Arias&quot; DisplayName=&quot;Daniel Arias&quot; Email=&quot;publicitisystemtesters@imcnam.ssmb.com&quot; Phone=&quot;+1-212-816-4069&quot; ContactId=&quot;72735&quot; apAnalystNumber=&quot;11010&quot; locationCountry=&quot;United States&quot; DisplayEmail=&quot;true&quot; DisplayPhone=&quot;true&quot; CoverageType=&quot;PRI&quot; LegalEntity=&quot;&quot; /&gt;&lt;/rs&gt;&lt;/Response&gt;&lt;Properties&gt;&lt;Property key=&quot;RefreshType&quot; value=&quot;RefreshAll&quot; /&gt;&lt;/Properties&gt;&lt;/Response&gt;&lt;/state&gt;&lt;/componentInstantiation&gt;&lt;componentInstantiation id=&quot;23A8709A-8495-44F5-813A-FC79268841F9&quot; activeState=&quot;USER&quot;&gt;&lt;state type=&quot;DEFAULT&quot;&gt;&lt;Response&gt;&lt;State&gt;&lt;table rangeFormatID=&quot;FrontPageDataTable&quot; code=&quot;RatingBlock&quot; xmlns=&quot;http://schemas.capco.com/raml/2003&quot; xmlns:rs=&quot;urn:schemas-microsoft-com:rowset&quot; xmlns:z=&quot;#RowsetSchema&quot; xmlns:tfo=&quot;TableFormatter&quot;&gt;&lt;structure&gt;&lt;metricRow region=&quot;body&quot;&gt;&lt;metricCell rangeFormatID=&quot;RatingBlockLeft&quot;&gt;&lt;metric type=&quot;instrument&quot; appliesTo=&quot;BRKR.US&quot; metricCode=&quot;RatingDescription&quot; unitPrefix=&quot;&quot; unitPostfix=&quot;&quot; unitPrefixEN=&quot;&quot; priorCurrent=&quot;false&quot; identifier=&quot;&quot; emphasisType=&quot;bold&quot;&gt;&lt;metricValue dbValue=&quot;Buy&quot; formattedDBValue=&quot;Buy&quot; scale=&quot;&quot; decimalPrecision=&quot;&quot; emphasisType=&quot;bold&quot;&gt;Buy&lt;/metricValue&gt;&lt;/metric&gt;&lt;label type=&quot;ratingRiskSeparator&quot; identifier=&quot;ratingRiskSeparator&quot; emphasisType=&quot;bold&quot; /&gt;&lt;metric type=&quot;instrument&quot; appliesTo=&quot;BRKR.US&quot; metricCode=&quot;RiskDescription&quot; unitPrefix=&quot;&quot; unitPostfix=&quot;&quot; unitPrefixEN=&quot;&quot; priorCurrent=&quot;false&quot; identifier=&quot;&quot; emphasisType=&quot;bold&quot;&gt;&lt;metricValue dbValue=&quot;&quot; formattedDBValue=&quot;&quot; scale=&quot;&quot; decimalPrecision=&quot;&quot; emphasisType=&quot;bold&quot; /&gt;&lt;/metric&gt;&lt;/metricCell&gt;&lt;metricCell rangeFormatID=&quot;RatingBlockRight&quot;&gt;&lt;metric type=&quot;instrument&quot; appliesTo=&quot;BRKR.US&quot; metricCode=&quot;Rating&quot; unitPrefix=&quot;&quot; unitPostfix=&quot;&quot; unitPrefixEN=&quot;&quot; priorCurrent=&quot;false&quot; identifier=&quot;&quot; emphasisType=&quot;bold&quot;&gt;&lt;metricValue dbValue=&quot;1&quot; formattedDBValue=&quot;1&quot; scale=&quot;&quot; decimalPrecision=&quot;&quot; emphasisType=&quot;bold&quot;&gt;1&lt;/metricValue&gt;&lt;/metric&gt;&lt;label type=&quot;label&quot; identifier=&quot;label&quot; emphasisType=&quot;bold&quot; /&gt;&lt;metric type=&quot;instrument&quot; appliesTo=&quot;BRKR.US&quot; metricCode=&quot;Risk&quot; unitPrefix=&quot;&quot; unitPostfix=&quot;&quot; unitPrefixEN=&quot;&quot; priorCurrent=&quot;false&quot; identifier=&quot;&quot; emphasisType=&quot;bold&quot;&gt;&lt;metricValue dbValue=&quot;&quot; formattedDBValue=&quot;&quot; scale=&quot;&quot; decimalPrecision=&quot;&quot; emphasisType=&quot;bold&quot; /&gt;&lt;/metric&gt;&lt;/metricCell&gt;&lt;/metricRow&gt;&lt;metricRow region=&quot;body&quot;&gt;&lt;metricCell rangeFormatID=&quot;RatingBlockLeft&quot;&gt;&lt;metricLabel type=&quot;instrument&quot; appliesTo=&quot;BRKR.US&quot; metricCode=&quot;Price&quot; emphasisType=&quot;&quot;&gt;&lt;label type=&quot;label&quot; emphasisType=&quot;&quot;&gt;Price&lt;/label&gt;&lt;/metricLabel&gt;&lt;label type=&quot;label&quot; emphasisType=&quot;&quot;&gt; (&lt;/label&gt;&lt;metric metricCode=&quot;ClosingPriceDate&quot; appliesTo=&quot;BRKR.US&quot; type=&quot;instrument&quot; emphasisType=&quot;&quot;&gt;&lt;metricValue dbValue=&quot;16 Dec 2014 13:04:00&quot; formattedDBValue=&quot;16 Dec 14&quot; emphasisType=&quot;&quot;&gt;16 Dec 14&lt;/metricValue&gt;&lt;/metric&gt;&lt;label type=&quot;label&quot; emphasisType=&quot;&quot;&gt;)&lt;/label&gt;&lt;/metricCell&gt;&lt;metricCell rangeFormatID=&quot;RatingBlockRight&quot;&gt;&lt;metric type=&quot;instrument&quot; appliesTo=&quot;BRKR.US&quot; metricCode=&quot;Price&quot; unitPrefix=&quot;US$&quot; unitPostfix=&quot;&quot; unitPrefixEN=&quot;US$&quot; priorCurrent=&quot;false&quot; identifier=&quot;&quot; emphasisType=&quot;&quot;&gt;&lt;label type=&quot;currency&quot; identifier=&quot;US$&quot; emphasisType=&quot;&quot;&gt;US$&lt;/label&gt;&lt;metricValue dbValue=&quot;18.31&quot; formattedDBValue=&quot;18.31&quot; scale=&quot;1&quot; decimalPrecision=&quot;2&quot; emphasisType=&quot;&quot;&gt;18.31&lt;/metricValue&gt;&lt;label type=&quot;scale&quot; identifier=&quot;1&quot; emphasisType=&quot;&quot; /&gt;&lt;/metric&gt;&lt;/metricCell&gt;&lt;/metricRow&gt;&lt;metricRow region=&quot;body&quot;&gt;&lt;metricCell rangeFormatID=&quot;RatingBlockLeft&quot;&gt;&lt;metricLabel type=&quot;instrument&quot; appliesTo=&quot;BRKR.US&quot; metricCode=&quot;TargetPrice&quot; emphasisType=&quot;&quot;&gt;&lt;label type=&quot;label&quot; emphasisType=&quot;&quot;&gt;Target price&lt;/label&gt;&lt;/metricLabel&gt;&lt;/metricCell&gt;&lt;metricCell rangeFormatID=&quot;RatingBlockRight&quot;&gt;&lt;metric type=&quot;instrument&quot; appliesTo=&quot;BRKR.US&quot; metricCode=&quot;TargetPrice&quot; unitPrefix=&quot;US$&quot; unitPostfix=&quot;&quot; unitPrefixEN=&quot;&quot; priorCurrent=&quot;false&quot; identifier=&quot;&quot; emphasisType=&quot;&quot;&gt;&lt;label type=&quot;currency&quot; identifier=&quot;US$&quot; emphasisType=&quot;&quot;&gt;US$&lt;/label&gt;&lt;metricValue dbValue=&quot;27.0&quot; formattedDBValue=&quot;27.0&quot; scale=&quot;1&quot; decimalPrecision=&quot;2&quot; emphasisType=&quot;&quot;&gt;27.00&lt;/metricValue&gt;&lt;label type=&quot;scale&quot; identifier=&quot;1&quot; emphasisType=&quot;&quot; /&gt;&lt;/metric&gt;&lt;/metricCell&gt;&lt;/metricRow&gt;&lt;metricRow region=&quot;body&quot;&gt;&lt;metricCell rangeFormatID=&quot;RatingBlockLeft&quot;&gt;&lt;metricLabel type=&quot;instrument&quot; appliesTo=&quot;BRKR.US&quot; metricCode=&quot;ExpectedPriceReturn&quot; emphasisType=&quot;&quot;&gt;&lt;label type=&quot;label&quot; emphasisType=&quot;&quot;&gt;Expected share price return&lt;/label&gt;&lt;/metricLabel&gt;&lt;/metricCell&gt;&lt;metricCell rangeFormatID=&quot;RatingBlockRight&quot;&gt;&lt;metric type=&quot;instrument&quot; appliesTo=&quot;BRKR.US&quot; metricCode=&quot;ExpectedPriceReturn&quot; unitPrefix=&quot;&quot; unitPostfix=&quot;%&quot; unitPrefixEN=&quot;&quot; priorCurrent=&quot;false&quot; identifier=&quot;&quot; emphasisType=&quot;&quot;&gt;&lt;label type=&quot;currency&quot; emphasisType=&quot;&quot; /&gt;&lt;metricValue dbValue=&quot;0.4747132714363736&quot; formattedDBValue=&quot;0.4747132714363736&quot; scale=&quot;100&quot; decimalPrecision=&quot;1&quot; emphasisType=&quot;&quot;&gt;47.5&lt;/metricValue&gt;&lt;label type=&quot;scale&quot; identifier=&quot;100&quot; emphasisType=&quot;&quot;&gt;%&lt;/label&gt;&lt;/metric&gt;&lt;/metricCell&gt;&lt;/metricRow&gt;&lt;metricRow region=&quot;body&quot;&gt;&lt;metricCell rangeFormatID=&quot;RatingBlockLeft&quot;&gt;&lt;metricLabel type=&quot;instrument&quot; appliesTo=&quot;BRKR.US&quot; metricCode=&quot;ExpectedDividendYield&quot; emphasisType=&quot;&quot;&gt;&lt;label type=&quot;label&quot; emphasisType=&quot;&quot;&gt;Expected dividend yield&lt;/label&gt;&lt;/metricLabel&gt;&lt;/metricCell&gt;&lt;metricCell rangeFormatID=&quot;RatingBlockRight&quot;&gt;&lt;metric type=&quot;instrument&quot; appliesTo=&quot;BRKR.US&quot; metricCode=&quot;ExpectedDividendYield&quot; unitPrefix=&quot;&quot; unitPostfix=&quot;%&quot; unitPrefixEN=&quot;&quot; priorCurrent=&quot;false&quot; identifier=&quot;&quot; emphasisType=&quot;&quot;&gt;&lt;label type=&quot;currency&quot; emphasisType=&quot;&quot; /&gt;&lt;metricValue dbValue=&quot;0.0&quot; formattedDBValue=&quot;0.0&quot; scale=&quot;100&quot; decimalPrecision=&quot;1&quot; emphasisType=&quot;&quot;&gt;0.0&lt;/metricValue&gt;&lt;label type=&quot;scale&quot; identifier=&quot;100&quot; emphasisType=&quot;&quot;&gt;%&lt;/label&gt;&lt;/metric&gt;&lt;/metricCell&gt;&lt;/metricRow&gt;&lt;metricRow region=&quot;body&quot;&gt;&lt;metricCell rangeFormatID=&quot;RatingBlockLeftSpaceAfter&quot;&gt;&lt;metricLabel type=&quot;instrument&quot; appliesTo=&quot;BRKR.US&quot; metricCode=&quot;ExpectedTotalReturn&quot; emphasisType=&quot;bold&quot;&gt;&lt;label type=&quot;label&quot; emphasisType=&quot;bold&quot;&gt;Expected total return&lt;/label&gt;&lt;/metricLabel&gt;&lt;/metricCell&gt;&lt;metricCell rangeFormatID=&quot;RatingBlockRightTopBorder&quot;&gt;&lt;metric type=&quot;instrument&quot; appliesTo=&quot;BRKR.US&quot; metricCode=&quot;ExpectedTotalReturn&quot; unitPrefix=&quot;&quot; unitPostfix=&quot;%&quot; unitPrefixEN=&quot;&quot; priorCurrent=&quot;false&quot; identifier=&quot;&quot; emphasisType=&quot;bold&quot;&gt;&lt;label type=&quot;currency&quot; emphasisType=&quot;bold&quot; /&gt;&lt;metricValue dbValue=&quot;0.4747132714363736&quot; formattedDBValue=&quot;0.4747132714363736&quot; scale=&quot;100&quot; decimalPrecision=&quot;1&quot; emphasisType=&quot;bold&quot;&gt;47.5&lt;/metricValue&gt;&lt;label type=&quot;scale&quot; identifier=&quot;100&quot; emphasisType=&quot;bold&quot;&gt;%&lt;/label&gt;&lt;/metric&gt;&lt;/metricCell&gt;&lt;/metricRow&gt;&lt;metricRow region=&quot;body&quot;&gt;&lt;metricCell rangeFormatID=&quot;RatingBlockLeftNarrow&quot;&gt;&lt;metricLabel type=&quot;instrument&quot; appliesTo=&quot;BRKR.US&quot; metricCode=&quot;MarketCap&quot; emphasisType=&quot;&quot;&gt;&lt;label type=&quot;label&quot; emphasisType=&quot;&quot;&gt;Market Cap&lt;/label&gt;&lt;/metricLabel&gt;&lt;/metricCell&gt;&lt;metricCell rangeFormatID=&quot;RatingBlockLastRowRight&quot;&gt;&lt;metric type=&quot;instrument&quot; appliesTo=&quot;BRKR.US&quot; metricCode=&quot;MarketCap&quot; unitPrefix=&quot;US$&quot; unitPostfix=&quot;M&quot; unitPrefixEN=&quot;&quot; priorCurrent=&quot;false&quot; identifier=&quot;&quot; emphasisType=&quot;&quot;&gt;&lt;label type=&quot;currency&quot; identifier=&quot;US$&quot; emphasisType=&quot;&quot;&gt;US$&lt;/label&gt;&lt;metricValue dbValue=&quot;3077.0&quot; formattedDBValue=&quot;3077.0&quot; scale=&quot;1&quot; decimalPrecision=&quot;0&quot; emphasisType=&quot;&quot;&gt;3,077&lt;/metricValue&gt;&lt;label type=&quot;scale&quot; identifier=&quot;1000&quot; emphasisType=&quot;&quot;&gt;M&lt;/label&gt;&lt;/metric&gt;&lt;/metricCell&gt;&lt;/metricRow&gt;&lt;/structure&gt;&lt;/table&gt;&lt;/State&gt;&lt;Response xmlns:rs=&quot;urn:schemas-microsoft-com:rowset&quot; xmlns:z=&quot;#RowsetSchema&quot;&gt;&lt;rs xmlns=&quot;data&quot;&gt;&lt;z:row ID=&quot;Rating&quot; IssuerCode=&quot;BRKR.US&quot; Label=&quot;Rating&quot; IsPrevious=&quot;false&quot; Value=&quot;1&quot; /&gt;&lt;z:row ID=&quot;Risk&quot; IssuerCode=&quot;BRKR.US&quot; Label=&quot;Risk&quot; IsPrevious=&quot;false&quot; Value=&quot;&quot; /&gt;&lt;z:row ID=&quot;PreviousRating&quot; IssuerCode=&quot;BRKR.US&quot; Label=&quot;Previous Rating&quot; IsPrevious=&quot;true&quot; Value=&quot;1&quot; /&gt;&lt;z:row ID=&quot;Price&quot; IssuerCode=&quot;BRKR.US&quot; Label=&quot;Price&quot; CurrencyCode=&quot;US$&quot; CurrencySymbol=&quot;&quot; CurrencyPrefixEN=&quot;US$&quot; CurrencyLeftAlign=&quot;true&quot; CurrencyPadding=&quot;false&quot; CurrencyScalePadding=&quot;false&quot; CurrencyUnitUsage=&quot;CurrencyNoUnit&quot; ScaleID=&quot;1&quot; Scale=&quot;1&quot; ScaleAbbreviation=&quot;&quot; IsPrevious=&quot;false&quot; DecimalPrecision=&quot;2&quot; Value=&quot;18.31&quot; /&gt;&lt;z:row ID=&quot;TargetPrice&quot; IssuerCode=&quot;BRKR.US&quot; Label=&quot;Target price&quot; CurrencyCode=&quot;US$&quot; CurrencySymbol=&quot;&quot; CurrencyLeftAlign=&quot;true&quot; CurrencyPadding=&quot;false&quot; CurrencyScalePadding=&quot;false&quot; CurrencyUnitUsage=&quot;CurrencyNoUnit&quot; ScaleID=&quot;1&quot; Scale=&quot;1&quot; ScaleAbbreviation=&quot;&quot; IsPrevious=&quot;false&quot; DecimalPrecision=&quot;2&quot; Value=&quot;27.0&quot; /&gt;&lt;z:row ID=&quot;PreviousTargetPrice&quot; IssuerCode=&quot;BRKR.US&quot; Label=&quot;&quot; CurrencyCode=&quot;US$&quot; CurrencySymbol=&quot;&quot; CurrencyLeftAlign=&quot;true&quot; CurrencyPadding=&quot;false&quot; CurrencyScalePadding=&quot;false&quot; CurrencyUnitUsage=&quot;CurrencyNoUnit&quot; ScaleID=&quot;1&quot; Scale=&quot;1&quot; ScaleAbbreviation=&quot;&quot; IsPrevious=&quot;true&quot; DecimalPrecision=&quot;2&quot; Value=&quot;27.0&quot; /&gt;&lt;z:row ID=&quot;ExpectedPriceReturn&quot; IssuerCode=&quot;BRKR.US&quot; Label=&quot;Expected share price return&quot; ScaleID=&quot;100&quot; Scale=&quot;100&quot; ScaleAbbreviation=&quot;%&quot; ScaleLabel=&quot;PERCENT&quot; IsPrevious=&quot;false&quot; DecimalPrecision=&quot;1&quot; Value=&quot;0.4747132714363736&quot; /&gt;&lt;z:row ID=&quot;ExpectedDividendYield&quot; IssuerCode=&quot;BRKR.US&quot; Label=&quot;Expected dividend yield&quot; ScaleID=&quot;100&quot; Scale=&quot;100&quot; ScaleAbbreviation=&quot;%&quot; ScaleLabel=&quot;PERCENT&quot; IsPrevious=&quot;false&quot; DecimalPrecision=&quot;1&quot; Value=&quot;0.0&quot; /&gt;&lt;z:row ID=&quot;ExpectedTotalReturn&quot; IssuerCode=&quot;BRKR.US&quot; Label=&quot;Expected total return&quot; ScaleID=&quot;100&quot; Scale=&quot;100&quot; ScaleAbbreviation=&quot;%&quot; ScaleLabel=&quot;PERCENT&quot; IsPrevious=&quot;false&quot; DecimalPrecision=&quot;1&quot; Value=&quot;0.4747132714363736&quot; /&gt;&lt;z:row ID=&quot;MarketCap&quot; IssuerCode=&quot;BRKR.US&quot; Label=&quot;Market Cap&quot; CurrencyCode=&quot;US$&quot; CurrencySymbol=&quot;&quot; CurrencyLeftAlign=&quot;true&quot; CurrencyPadding=&quot;false&quot; CurrencyScalePadding=&quot;false&quot; CurrencyUnitUsage=&quot;CurrencyNoUnit&quot; ScaleID=&quot;1000&quot; Scale=&quot;1&quot; ScaleAbbreviation=&quot;M&quot; ScaleLabel=&quot;dummy&quot; IsPrevious=&quot;false&quot; DecimalPrecision=&quot;0&quot; Value=&quot;3077.0&quot; /&gt;&lt;z:row ID=&quot;MarketCapAlt&quot; IssuerCode=&quot;BRKR.US&quot; Label=&quot;Market Cap Alt&quot; CurrencyCode=&quot;US$&quot; CurrencyLeftAlign=&quot;true&quot; CurrencyPadding=&quot;false&quot; CurrencyScalePadding=&quot;false&quot; CurrencyUnitUsage=&quot;CurrencyNoUnit&quot; ScaleID=&quot;1000&quot; Scale=&quot;1&quot; ScaleAbbreviation=&quot;M&quot; ScaleLabel=&quot;dummy&quot; IsPrevious=&quot;false&quot; DecimalPrecision=&quot;0&quot; Value=&quot;3077.0&quot; /&gt;&lt;z:row ID=&quot;RiskDescription&quot; IssuerCode=&quot;BRKR.US&quot; Label=&quot;Risk Description&quot; IsPrevious=&quot;false&quot; Value=&quot;&quot; /&gt;&lt;z:row ID=&quot;PreviousRiskDescription&quot; IssuerCode=&quot;BRKR.US&quot; Label=&quot;Previous Risk Description&quot; IsPrevious=&quot;true&quot; Value=&quot;&quot; /&gt;&lt;z:row ID=&quot;RatingDescription&quot; IssuerCode=&quot;BRKR.US&quot; Label=&quot;Rating Description&quot; IsPrevious=&quot;false&quot; Value=&quot;Buy&quot; /&gt;&lt;z:row ID=&quot;PreviousRatingDescription&quot; IssuerCode=&quot;BRKR.US&quot; Label=&quot;Previous Rating Description&quot; IsPrevious=&quot;true&quot; Value=&quot;Buy&quot; /&gt;&lt;z:row ID=&quot;ClosingPriceDate&quot; IssuerCode=&quot;BRKR.US&quot; Label=&quot;Closing Price Date&quot; Value=&quot;16 Dec 2014 13:04:00&quot; /&gt;&lt;z:row ID=&quot;R4U_CHG_RATING&quot; IssuerCode=&quot;BRKR.US&quot; RatingChangeLabel=&quot;Rating change&quot; ChangeCode=&quot;R4U_CHG_RATING&quot; Value=&quot;false&quot; /&gt;&lt;z:row ID=&quot;R4U_CHG_TARGETPRICE&quot; IssuerCode=&quot;BRKR.US&quot; TargetPriceChangeLabel=&quot;Target price change&quot; ChangeCode=&quot;R4U_CHG_TARGETPRICE&quot; Value=&quot;false&quot; /&gt;&lt;z:row ID=&quot;R4U_CHG_ESTIMATE&quot; IssuerCode=&quot;BRKR.US&quot; EPSChangeLabel=&quot;Estimate change&quot; ChangeCode=&quot;R4U_CHG_ESTIMATE&quot; Value=&quot;false&quot; /&gt;&lt;z:row ID=&quot;R4U_CHG_OPINION&quot; IssuerCode=&quot;BRKR.US&quot; OpinionChangeLabel=&quot;Opinion change&quot; ChangeCode=&quot;R4U_CHG_OPINION&quot; Value=&quot;false&quot; /&gt;&lt;z:row ID=&quot;R4U_INIT_COVRG&quot; IssuerCode=&quot;BRKR.US&quot; InitCoverageLabel=&quot;Initiation of coverage&quot; ChangeCode=&quot;R4U_INIT_COVRG&quot; Value=&quot;false&quot; /&gt;&lt;z:row ID=&quot;R4U_CHG_RATING_ANY&quot; IssuerCode=&quot;BRKR.US&quot; RatingChangeLabel=&quot;Rating change&quot; ChangeCode=&quot;R4U_CHG_RATING&quot; Value=&quot;false&quot; /&gt;&lt;z:row ID=&quot;R4U_CHG_TARGETPRICE_ANY&quot; IssuerCode=&quot;BRKR.US&quot; TargetPriceChangeLabel=&quot;Target price change&quot; ChangeCode=&quot;R4U_CHG_TARGETPRICE&quot; Value=&quot;false&quot; /&gt;&lt;z:row ID=&quot;R4U_CHG_ESTIMATE_ANY&quot; IssuerCode=&quot;BRKR.US&quot; EPSChangeLabel=&quot;Estimate change&quot; ChangeCode=&quot;R4U_CHG_ESTIMATE&quot; Value=&quot;false&quot; /&gt;&lt;z:row ID=&quot;R4U_CHG_OPINION_ANY&quot; IssuerCode=&quot;BRKR.US&quot; OpinionChangeLabel=&quot;Opinion change&quot; ChangeCode=&quot;R4U_CHG_OPINION&quot; Value=&quot;false&quot; /&gt;&lt;z:row ID=&quot;R4U_INIT_COVRG_ANY&quot; IssuerCode=&quot;BRKR.US&quot; InitCoverageLabel=&quot;Initiation of coverage&quot; ChangeCode=&quot;R4U_INIT_COVRG&quot; Value=&quot;false&quot; /&gt;&lt;z:row ID=&quot;PreviousRisk&quot; IssuerCode=&quot;BRKR.US&quot; Label=&quot;Previous Risk&quot; IsPrevious=&quot;true&quot; Value=&quot;&quot; /&gt;&lt;z:row ID=&quot;R4U_CHG_RATING_UR&quot; IssuerCode=&quot;BRKR.US&quot; URRatingChangeLabel=&quot;Rating under review&quot; ChangeCode=&quot;R4U_CHG_RATING_UR&quot; Value=&quot;false&quot; /&gt;&lt;z:row ID=&quot;R4U_CHG_RATING_UR_ANY&quot; IssuerCode=&quot;BRKR.US&quot; URRatingChangeLabel=&quot;Rating under review&quot; ChangeCode=&quot;R4U_CHG_RATING_UR&quot; Value=&quot;false&quot; /&gt;&lt;z:row ID=&quot;FPData&quot; IssuerCode=&quot;BRKR.US&quot; Ticker=&quot;BRKR&quot; CurrentYearEstimatesNew=&quot;0.89&quot; CurrentYearEstimatesOld=&quot;0.89&quot; NextYearEstimatesNew=&quot;1.05&quot; NextYearEstimatesOld=&quot;1.05&quot; R4U_CHG_RATING=&quot;false&quot; R4U_CHG_ESTIMATE=&quot;false&quot; R4U_CHG_OPINION=&quot;false&quot; R4U_INIT_COVRG=&quot;false&quot; R4U_CHG_TARGETPRICE=&quot;false&quot; TargetPrice=&quot;27.0&quot; PreviousTargetPrice=&quot;27.0&quot; Rating=&quot;1&quot; PreviousRating=&quot;1&quot; Risk=&quot;&quot; PreviousRisk=&quot;&quot; EPS_CurrencyCode=&quot;US$&quot; EPS_ScaleAbbreviation=&quot;&quot; EPS_DecimalPrecision=&quot;2&quot; TargetPrice_CurrencyCode=&quot;US$&quot; TargetPrice_ScaleAbbreviation=&quot;&quot; TargetPrice_DecimalPrecision=&quot;2&quot; MultiRatedInstrument=&quot;1&quot; R4U_CHG_RATING_UR=&quot;false&quot; Value=&quot;&quot; /&gt;&lt;/rs&gt;&lt;/Response&gt;&lt;Properties&gt;&lt;Property key=&quot;RefreshType&quot; value=&quot;RefreshAll&quot; /&gt;&lt;/Properties&gt;&lt;/Response&gt;&lt;/state&gt;&lt;state type=&quot;USER&quot;&gt;&lt;Response&gt;&lt;State&gt;&lt;table rangeFormatID=&quot;FrontPageDataTable&quot; code=&quot;RatingBlock&quot; xmlns=&quot;http://schemas.capco.com/raml/2003&quot; xmlns:rs=&quot;urn:schemas-microsoft-com:rowset&quot; xmlns:z=&quot;#RowsetSchema&quot; xmlns:tfo=&quot;TableFormatter&quot;&gt;&lt;structure&gt;&lt;metricRow region=&quot;body&quot;&gt;&lt;metricCell rangeFormatID=&quot;RatingBlockLeft&quot;&gt;&lt;metric type=&quot;instrument&quot; appliesTo=&quot;BRKR.US&quot; metricCode=&quot;RatingDescription&quot; unitPrefix=&quot;&quot; unitPostfix=&quot;&quot; unitPrefixEN=&quot;&quot; priorCurrent=&quot;false&quot; identifier=&quot;&quot; emphasisType=&quot;bold&quot;&gt;&lt;metricValue dbValue=&quot;Buy&quot; formattedDBValue=&quot;Buy&quot; scale=&quot;&quot; decimalPrecision=&quot;&quot; emphasisType=&quot;bold&quot;&gt;Buy&lt;/metricValue&gt;&lt;/metric&gt;&lt;label type=&quot;ratingRiskSeparator&quot; identifier=&quot;ratingRiskSeparator&quot; emphasisType=&quot;bold&quot; /&gt;&lt;metric type=&quot;instrument&quot; appliesTo=&quot;BRKR.US&quot; metricCode=&quot;RiskDescription&quot; unitPrefix=&quot;&quot; unitPostfix=&quot;&quot; unitPrefixEN=&quot;&quot; priorCurrent=&quot;false&quot; identifier=&quot;&quot; emphasisType=&quot;bold&quot;&gt;&lt;metricValue dbValue=&quot;&quot; formattedDBValue=&quot;&quot; scale=&quot;&quot; decimalPrecision=&quot;&quot; emphasisType=&quot;bold&quot; /&gt;&lt;/metric&gt;&lt;/metricCell&gt;&lt;metricCell rangeFormatID=&quot;RatingBlockRight&quot;&gt;&lt;metric type=&quot;instrument&quot; appliesTo=&quot;BRKR.US&quot; metricCode=&quot;Rating&quot; unitPrefix=&quot;&quot; unitPostfix=&quot;&quot; unitPrefixEN=&quot;&quot; priorCurrent=&quot;false&quot; identifier=&quot;&quot; emphasisType=&quot;bold&quot;&gt;&lt;metricValue dbValue=&quot;1&quot; formattedDBValue=&quot;1&quot; scale=&quot;&quot; decimalPrecision=&quot;&quot; emphasisType=&quot;bold&quot;&gt;1&lt;/metricValue&gt;&lt;/metric&gt;&lt;label type=&quot;label&quot; identifier=&quot;label&quot; emphasisType=&quot;bold&quot; /&gt;&lt;metric type=&quot;instrument&quot; appliesTo=&quot;BRKR.US&quot; metricCode=&quot;Risk&quot; unitPrefix=&quot;&quot; unitPostfix=&quot;&quot; unitPrefixEN=&quot;&quot; priorCurrent=&quot;false&quot; identifier=&quot;&quot; emphasisType=&quot;bold&quot;&gt;&lt;metricValue dbValue=&quot;&quot; formattedDBValue=&quot;&quot; scale=&quot;&quot; decimalPrecision=&quot;&quot; emphasisType=&quot;bold&quot; /&gt;&lt;/metric&gt;&lt;/metricCell&gt;&lt;/metricRow&gt;&lt;metricRow region=&quot;body&quot;&gt;&lt;metricCell rangeFormatID=&quot;RatingBlockLeft&quot;&gt;&lt;metricLabel type=&quot;instrument&quot; appliesTo=&quot;BRKR.US&quot; metricCode=&quot;Price&quot; emphasisType=&quot;&quot;&gt;&lt;label type=&quot;label&quot; emphasisType=&quot;&quot;&gt;Price&lt;/label&gt;&lt;/metricLabel&gt;&lt;label type=&quot;label&quot; emphasisType=&quot;&quot;&gt; (&lt;/label&gt;&lt;metric metricCode=&quot;ClosingPriceDate&quot; appliesTo=&quot;BRKR.US&quot; type=&quot;instrument&quot; emphasisType=&quot;&quot;&gt;&lt;metricValue dbValue=&quot;16 Dec 2014 13:04:00&quot; formattedDBValue=&quot;16 Dec 14&quot; emphasisType=&quot;&quot;&gt;16 Dec 14&lt;/metricValue&gt;&lt;/metric&gt;&lt;label type=&quot;label&quot; emphasisType=&quot;&quot;&gt;)&lt;/label&gt;&lt;/metricCell&gt;&lt;metricCell rangeFormatID=&quot;RatingBlockRight&quot;&gt;&lt;metric type=&quot;instrument&quot; appliesTo=&quot;BRKR.US&quot; metricCode=&quot;Price&quot; unitPrefix=&quot;US$&quot; unitPostfix=&quot;&quot; unitPrefixEN=&quot;US$&quot; priorCurrent=&quot;false&quot; identifier=&quot;&quot; emphasisType=&quot;&quot;&gt;&lt;label type=&quot;currency&quot; identifier=&quot;US$&quot; emphasisType=&quot;&quot;&gt;US$&lt;/label&gt;&lt;metricValue dbValue=&quot;18.31&quot; formattedDBValue=&quot;18.31&quot; scale=&quot;1&quot; decimalPrecision=&quot;2&quot; emphasisType=&quot;&quot;&gt;18.31&lt;/metricValue&gt;&lt;label type=&quot;scale&quot; identifier=&quot;1&quot; emphasisType=&quot;&quot; /&gt;&lt;/metric&gt;&lt;/metricCell&gt;&lt;/metricRow&gt;&lt;metricRow region=&quot;body&quot;&gt;&lt;metricCell rangeFormatID=&quot;RatingBlockLeft&quot;&gt;&lt;metricLabel type=&quot;instrument&quot; appliesTo=&quot;BRKR.US&quot; metricCode=&quot;TargetPrice&quot; emphasisType=&quot;&quot;&gt;&lt;label type=&quot;label&quot; emphasisType=&quot;&quot;&gt;Target price&lt;/label&gt;&lt;/metricLabel&gt;&lt;/metricCell&gt;&lt;metricCell rangeFormatID=&quot;RatingBlockRight&quot;&gt;&lt;metric type=&quot;instrument&quot; appliesTo=&quot;BRKR.US&quot; metricCode=&quot;TargetPrice&quot; unitPrefix=&quot;US$&quot; unitPostfix=&quot;&quot; unitPrefixEN=&quot;&quot; priorCurrent=&quot;false&quot; identifier=&quot;&quot; emphasisType=&quot;&quot;&gt;&lt;label type=&quot;currency&quot; identifier=&quot;US$&quot; emphasisType=&quot;&quot;&gt;US$&lt;/label&gt;&lt;metricValue dbValue=&quot;27.0&quot; formattedDBValue=&quot;27.0&quot; scale=&quot;1&quot; decimalPrecision=&quot;2&quot; emphasisType=&quot;&quot;&gt;27.00&lt;/metricValue&gt;&lt;label type=&quot;scale&quot; identifier=&quot;1&quot; emphasisType=&quot;&quot; /&gt;&lt;/metric&gt;&lt;/metricCell&gt;&lt;/metricRow&gt;&lt;metricRow region=&quot;body&quot;&gt;&lt;metricCell rangeFormatID=&quot;RatingBlockLeft&quot;&gt;&lt;metricLabel type=&quot;instrument&quot; appliesTo=&quot;BRKR.US&quot; metricCode=&quot;ExpectedPriceReturn&quot; emphasisType=&quot;&quot;&gt;&lt;label type=&quot;label&quot; emphasisType=&quot;&quot;&gt;Expected share price return&lt;/label&gt;&lt;/metricLabel&gt;&lt;/metricCell&gt;&lt;metricCell rangeFormatID=&quot;RatingBlockRight&quot;&gt;&lt;metric type=&quot;instrument&quot; appliesTo=&quot;BRKR.US&quot; metricCode=&quot;ExpectedPriceReturn&quot; unitPrefix=&quot;&quot; unitPostfix=&quot;%&quot; unitPrefixEN=&quot;&quot; priorCurrent=&quot;false&quot; identifier=&quot;&quot; emphasisType=&quot;&quot;&gt;&lt;label type=&quot;currency&quot; emphasisType=&quot;&quot; /&gt;&lt;metricValue dbValue=&quot;0.4747132714363736&quot; formattedDBValue=&quot;0.4747132714363736&quot; scale=&quot;100&quot; decimalPrecision=&quot;1&quot; emphasisType=&quot;&quot;&gt;47.5&lt;/metricValue&gt;&lt;label type=&quot;scale&quot; identifier=&quot;100&quot; emphasisType=&quot;&quot;&gt;%&lt;/label&gt;&lt;/metric&gt;&lt;/metricCell&gt;&lt;/metricRow&gt;&lt;metricRow region=&quot;body&quot;&gt;&lt;metricCell rangeFormatID=&quot;RatingBlockLeft&quot;&gt;&lt;metricLabel type=&quot;instrument&quot; appliesTo=&quot;BRKR.US&quot; metricCode=&quot;ExpectedDividendYield&quot; emphasisType=&quot;&quot;&gt;&lt;label type=&quot;label&quot; emphasisType=&quot;&quot;&gt;Expected dividend yield&lt;/label&gt;&lt;/metricLabel&gt;&lt;/metricCell&gt;&lt;metricCell rangeFormatID=&quot;RatingBlockRight&quot;&gt;&lt;metric type=&quot;instrument&quot; appliesTo=&quot;BRKR.US&quot; metricCode=&quot;ExpectedDividendYield&quot; unitPrefix=&quot;&quot; unitPostfix=&quot;%&quot; unitPrefixEN=&quot;&quot; priorCurrent=&quot;false&quot; identifier=&quot;&quot; emphasisType=&quot;&quot;&gt;&lt;label type=&quot;currency&quot; emphasisType=&quot;&quot; /&gt;&lt;metricValue dbValue=&quot;0.0&quot; formattedDBValue=&quot;0.0&quot; scale=&quot;100&quot; decimalPrecision=&quot;1&quot; emphasisType=&quot;&quot;&gt;0.0&lt;/metricValue&gt;&lt;label type=&quot;scale&quot; identifier=&quot;100&quot; emphasisType=&quot;&quot;&gt;%&lt;/label&gt;&lt;/metric&gt;&lt;/metricCell&gt;&lt;/metricRow&gt;&lt;metricRow region=&quot;body&quot;&gt;&lt;metricCell rangeFormatID=&quot;RatingBlockLeftSpaceAfter&quot;&gt;&lt;metricLabel type=&quot;instrument&quot; appliesTo=&quot;BRKR.US&quot; metricCode=&quot;ExpectedTotalReturn&quot; emphasisType=&quot;bold&quot;&gt;&lt;label type=&quot;label&quot; emphasisType=&quot;bold&quot;&gt;Expected total return&lt;/label&gt;&lt;/metricLabel&gt;&lt;/metricCell&gt;&lt;metricCell rangeFormatID=&quot;RatingBlockRightTopBorder&quot;&gt;&lt;metric type=&quot;instrument&quot; appliesTo=&quot;BRKR.US&quot; metricCode=&quot;ExpectedTotalReturn&quot; unitPrefix=&quot;&quot; unitPostfix=&quot;%&quot; unitPrefixEN=&quot;&quot; priorCurrent=&quot;false&quot; identifier=&quot;&quot; emphasisType=&quot;bold&quot;&gt;&lt;label type=&quot;currency&quot; emphasisType=&quot;bold&quot; /&gt;&lt;metricValue dbValue=&quot;0.4747132714363736&quot; formattedDBValue=&quot;0.4747132714363736&quot; scale=&quot;100&quot; decimalPrecision=&quot;1&quot; emphasisType=&quot;bold&quot;&gt;47.5&lt;/metricValue&gt;&lt;label type=&quot;scale&quot; identifier=&quot;100&quot; emphasisType=&quot;bold&quot;&gt;%&lt;/label&gt;&lt;/metric&gt;&lt;/metricCell&gt;&lt;/metricRow&gt;&lt;metricRow region=&quot;body&quot;&gt;&lt;metricCell rangeFormatID=&quot;RatingBlockLeftNarrow&quot;&gt;&lt;metricLabel type=&quot;instrument&quot; appliesTo=&quot;BRKR.US&quot; metricCode=&quot;MarketCap&quot; emphasisType=&quot;&quot;&gt;&lt;label type=&quot;label&quot; emphasisType=&quot;&quot;&gt;Market Cap&lt;/label&gt;&lt;/metricLabel&gt;&lt;/metricCell&gt;&lt;metricCell rangeFormatID=&quot;RatingBlockLastRowRight&quot;&gt;&lt;metric type=&quot;instrument&quot; appliesTo=&quot;BRKR.US&quot; metricCode=&quot;MarketCap&quot; unitPrefix=&quot;US$&quot; unitPostfix=&quot;M&quot; unitPrefixEN=&quot;&quot; priorCurrent=&quot;false&quot; identifier=&quot;&quot; emphasisType=&quot;&quot;&gt;&lt;label type=&quot;currency&quot; identifier=&quot;US$&quot; emphasisType=&quot;&quot;&gt;US$&lt;/label&gt;&lt;metricValue dbValue=&quot;3077.0&quot; formattedDBValue=&quot;3077.0&quot; scale=&quot;1&quot; decimalPrecision=&quot;0&quot; emphasisType=&quot;&quot;&gt;3,077&lt;/metricValue&gt;&lt;label type=&quot;scale&quot; identifier=&quot;1000&quot; emphasisType=&quot;&quot;&gt;M&lt;/label&gt;&lt;/metric&gt;&lt;/metricCell&gt;&lt;/metricRow&gt;&lt;/structure&gt;&lt;/table&gt;&lt;LastUpdated&gt;4:15 PM 12/16/2014&lt;/LastUpdated&gt;&lt;/State&gt;&lt;Response xmlns:rs=&quot;urn:schemas-microsoft-com:rowset&quot; xmlns:z=&quot;#RowsetSchema&quot;&gt;&lt;rs xmlns=&quot;data&quot;&gt;&lt;z:row ID=&quot;Rating&quot; IssuerCode=&quot;BRKR.US&quot; Label=&quot;Rating&quot; IsPrevious=&quot;false&quot; Value=&quot;1&quot; /&gt;&lt;z:row ID=&quot;Risk&quot; IssuerCode=&quot;BRKR.US&quot; Label=&quot;Risk&quot; IsPrevious=&quot;false&quot; Value=&quot;&quot; /&gt;&lt;z:row ID=&quot;PreviousRating&quot; IssuerCode=&quot;BRKR.US&quot; Label=&quot;Previous Rating&quot; IsPrevious=&quot;true&quot; Value=&quot;1&quot; /&gt;&lt;z:row ID=&quot;Price&quot; IssuerCode=&quot;BRKR.US&quot; Label=&quot;Price&quot; CurrencyCode=&quot;US$&quot; CurrencySymbol=&quot;&quot; CurrencyPrefixEN=&quot;US$&quot; CurrencyLeftAlign=&quot;true&quot; CurrencyPadding=&quot;false&quot; CurrencyScalePadding=&quot;false&quot; CurrencyUnitUsage=&quot;CurrencyNoUnit&quot; ScaleID=&quot;1&quot; Scale=&quot;1&quot; ScaleAbbreviation=&quot;&quot; IsPrevious=&quot;false&quot; DecimalPrecision=&quot;2&quot; Value=&quot;18.31&quot; /&gt;&lt;z:row ID=&quot;TargetPrice&quot; IssuerCode=&quot;BRKR.US&quot; Label=&quot;Target price&quot; CurrencyCode=&quot;US$&quot; CurrencySymbol=&quot;&quot; CurrencyLeftAlign=&quot;true&quot; CurrencyPadding=&quot;false&quot; CurrencyScalePadding=&quot;false&quot; CurrencyUnitUsage=&quot;CurrencyNoUnit&quot; ScaleID=&quot;1&quot; Scale=&quot;1&quot; ScaleAbbreviation=&quot;&quot; IsPrevious=&quot;false&quot; DecimalPrecision=&quot;2&quot; Value=&quot;27.0&quot; /&gt;&lt;z:row ID=&quot;PreviousTargetPrice&quot; IssuerCode=&quot;BRKR.US&quot; Label=&quot;&quot; CurrencyCode=&quot;US$&quot; CurrencySymbol=&quot;&quot; CurrencyLeftAlign=&quot;true&quot; CurrencyPadding=&quot;false&quot; CurrencyScalePadding=&quot;false&quot; CurrencyUnitUsage=&quot;CurrencyNoUnit&quot; ScaleID=&quot;1&quot; Scale=&quot;1&quot; ScaleAbbreviation=&quot;&quot; IsPrevious=&quot;true&quot; DecimalPrecision=&quot;2&quot; Value=&quot;27.0&quot; /&gt;&lt;z:row ID=&quot;ExpectedPriceReturn&quot; IssuerCode=&quot;BRKR.US&quot; Label=&quot;Expected share price return&quot; ScaleID=&quot;100&quot; Scale=&quot;100&quot; ScaleAbbreviation=&quot;%&quot; ScaleLabel=&quot;PERCENT&quot; IsPrevious=&quot;false&quot; DecimalPrecision=&quot;1&quot; Value=&quot;0.4747132714363736&quot; /&gt;&lt;z:row ID=&quot;ExpectedDividendYield&quot; IssuerCode=&quot;BRKR.US&quot; Label=&quot;Expected dividend yield&quot; ScaleID=&quot;100&quot; Scale=&quot;100&quot; ScaleAbbreviation=&quot;%&quot; ScaleLabel=&quot;PERCENT&quot; IsPrevious=&quot;false&quot; DecimalPrecision=&quot;1&quot; Value=&quot;0.0&quot; /&gt;&lt;z:row ID=&quot;ExpectedTotalReturn&quot; IssuerCode=&quot;BRKR.US&quot; Label=&quot;Expected total return&quot; ScaleID=&quot;100&quot; Scale=&quot;100&quot; ScaleAbbreviation=&quot;%&quot; ScaleLabel=&quot;PERCENT&quot; IsPrevious=&quot;false&quot; DecimalPrecision=&quot;1&quot; Value=&quot;0.4747132714363736&quot; /&gt;&lt;z:row ID=&quot;MarketCap&quot; IssuerCode=&quot;BRKR.US&quot; Label=&quot;Market Cap&quot; CurrencyCode=&quot;US$&quot; CurrencySymbol=&quot;&quot; CurrencyLeftAlign=&quot;true&quot; CurrencyPadding=&quot;false&quot; CurrencyScalePadding=&quot;false&quot; CurrencyUnitUsage=&quot;CurrencyNoUnit&quot; ScaleID=&quot;1000&quot; Scale=&quot;1&quot; ScaleAbbreviation=&quot;M&quot; ScaleLabel=&quot;dummy&quot; IsPrevious=&quot;false&quot; DecimalPrecision=&quot;0&quot; Value=&quot;3077.0&quot; /&gt;&lt;z:row ID=&quot;MarketCapAlt&quot; IssuerCode=&quot;BRKR.US&quot; Label=&quot;Market Cap Alt&quot; CurrencyCode=&quot;US$&quot; CurrencyLeftAlign=&quot;true&quot; CurrencyPadding=&quot;false&quot; CurrencyScalePadding=&quot;false&quot; CurrencyUnitUsage=&quot;CurrencyNoUnit&quot; ScaleID=&quot;1000&quot; Scale=&quot;1&quot; ScaleAbbreviation=&quot;M&quot; ScaleLabel=&quot;dummy&quot; IsPrevious=&quot;false&quot; DecimalPrecision=&quot;0&quot; Value=&quot;3077.0&quot; /&gt;&lt;z:row ID=&quot;RiskDescription&quot; IssuerCode=&quot;BRKR.US&quot; Label=&quot;Risk Description&quot; IsPrevious=&quot;false&quot; Value=&quot;&quot; /&gt;&lt;z:row ID=&quot;PreviousRiskDescription&quot; IssuerCode=&quot;BRKR.US&quot; Label=&quot;Previous Risk Description&quot; IsPrevious=&quot;true&quot; Value=&quot;&quot; /&gt;&lt;z:row ID=&quot;RatingDescription&quot; IssuerCode=&quot;BRKR.US&quot; Label=&quot;Rating Description&quot; IsPrevious=&quot;false&quot; Value=&quot;Buy&quot; /&gt;&lt;z:row ID=&quot;PreviousRatingDescription&quot; IssuerCode=&quot;BRKR.US&quot; Label=&quot;Previous Rating Description&quot; IsPrevious=&quot;true&quot; Value=&quot;Buy&quot; /&gt;&lt;z:row ID=&quot;ClosingPriceDate&quot; IssuerCode=&quot;BRKR.US&quot; Label=&quot;Closing Price Date&quot; Value=&quot;16 Dec 2014 13:04:00&quot; /&gt;&lt;z:row ID=&quot;R4U_CHG_RATING&quot; IssuerCode=&quot;BRKR.US&quot; RatingChangeLabel=&quot;Rating change&quot; ChangeCode=&quot;R4U_CHG_RATING&quot; Value=&quot;false&quot; /&gt;&lt;z:row ID=&quot;R4U_CHG_TARGETPRICE&quot; IssuerCode=&quot;BRKR.US&quot; TargetPriceChangeLabel=&quot;Target price change&quot; ChangeCode=&quot;R4U_CHG_TARGETPRICE&quot; Value=&quot;false&quot; /&gt;&lt;z:row ID=&quot;R4U_CHG_ESTIMATE&quot; IssuerCode=&quot;BRKR.US&quot; EPSChangeLabel=&quot;Estimate change&quot; ChangeCode=&quot;R4U_CHG_ESTIMATE&quot; Value=&quot;false&quot; /&gt;&lt;z:row ID=&quot;R4U_CHG_OPINION&quot; IssuerCode=&quot;BRKR.US&quot; OpinionChangeLabel=&quot;Opinion change&quot; ChangeCode=&quot;R4U_CHG_OPINION&quot; Value=&quot;false&quot; /&gt;&lt;z:row ID=&quot;R4U_INIT_COVRG&quot; IssuerCode=&quot;BRKR.US&quot; InitCoverageLabel=&quot;Initiation of coverage&quot; ChangeCode=&quot;R4U_INIT_COVRG&quot; Value=&quot;false&quot; /&gt;&lt;z:row ID=&quot;R4U_CHG_RATING_ANY&quot; IssuerCode=&quot;BRKR.US&quot; RatingChangeLabel=&quot;Rating change&quot; ChangeCode=&quot;R4U_CHG_RATING&quot; Value=&quot;false&quot; /&gt;&lt;z:row ID=&quot;R4U_CHG_TARGETPRICE_ANY&quot; IssuerCode=&quot;BRKR.US&quot; TargetPriceChangeLabel=&quot;Target price change&quot; ChangeCode=&quot;R4U_CHG_TARGETPRICE&quot; Value=&quot;false&quot; /&gt;&lt;z:row ID=&quot;R4U_CHG_ESTIMATE_ANY&quot; IssuerCode=&quot;BRKR.US&quot; EPSChangeLabel=&quot;Estimate change&quot; ChangeCode=&quot;R4U_CHG_ESTIMATE&quot; Value=&quot;false&quot; /&gt;&lt;z:row ID=&quot;R4U_CHG_OPINION_ANY&quot; IssuerCode=&quot;BRKR.US&quot; OpinionChangeLabel=&quot;Opinion change&quot; ChangeCode=&quot;R4U_CHG_OPINION&quot; Value=&quot;false&quot; /&gt;&lt;z:row ID=&quot;R4U_INIT_COVRG_ANY&quot; IssuerCode=&quot;BRKR.US&quot; InitCoverageLabel=&quot;Initiation of coverage&quot; ChangeCode=&quot;R4U_INIT_COVRG&quot; Value=&quot;false&quot; /&gt;&lt;z:row ID=&quot;PreviousRisk&quot; IssuerCode=&quot;BRKR.US&quot; Label=&quot;Previous Risk&quot; IsPrevious=&quot;true&quot; Value=&quot;&quot; /&gt;&lt;z:row ID=&quot;R4U_CHG_RATING_UR&quot; IssuerCode=&quot;BRKR.US&quot; URRatingChangeLabel=&quot;Rating under review&quot; ChangeCode=&quot;R4U_CHG_RATING_UR&quot; Value=&quot;false&quot; /&gt;&lt;z:row ID=&quot;R4U_CHG_RATING_UR_ANY&quot; IssuerCode=&quot;BRKR.US&quot; URRatingChangeLabel=&quot;Rating under review&quot; ChangeCode=&quot;R4U_CHG_RATING_UR&quot; Value=&quot;false&quot; /&gt;&lt;z:row ID=&quot;FPData&quot; IssuerCode=&quot;BRKR.US&quot; Ticker=&quot;BRKR&quot; CurrentYearEstimatesNew=&quot;0.89&quot; CurrentYearEstimatesOld=&quot;0.89&quot; NextYearEstimatesNew=&quot;1.05&quot; NextYearEstimatesOld=&quot;1.05&quot; R4U_CHG_RATING=&quot;false&quot; R4U_CHG_ESTIMATE=&quot;false&quot; R4U_CHG_OPINION=&quot;false&quot; R4U_INIT_COVRG=&quot;false&quot; R4U_CHG_TARGETPRICE=&quot;false&quot; TargetPrice=&quot;27.0&quot; PreviousTargetPrice=&quot;27.0&quot; Rating=&quot;1&quot; PreviousRating=&quot;1&quot; Risk=&quot;&quot; PreviousRisk=&quot;&quot; EPS_CurrencyCode=&quot;US$&quot; EPS_ScaleAbbreviation=&quot;&quot; EPS_DecimalPrecision=&quot;2&quot; TargetPrice_CurrencyCode=&quot;US$&quot; TargetPrice_ScaleAbbreviation=&quot;&quot; TargetPrice_DecimalPrecision=&quot;2&quot; MultiRatedInstrument=&quot;1&quot; R4U_CHG_RATING_UR=&quot;false&quot; Value=&quot;&quot; /&gt;&lt;/rs&gt;&lt;/Response&gt;&lt;Properties&gt;&lt;Property key=&quot;RefreshType&quot; value=&quot;RefreshAll&quot; /&gt;&lt;/Properties&gt;&lt;/Response&gt;&lt;/state&gt;&lt;/componentInstantiation&gt;&lt;/componentInstantiations&gt;&lt;/componentData&gt;"/>
    <w:docVar w:name="RA2K3_DOCUMENT_LANGUAGE" w:val="&lt;documentLCID lcid=&quot;1033&quot; /&gt;"/>
    <w:docVar w:name="RA2K3_DOCUMENT_SESSION_ID" w:val="D68F9E07-45C4-4AE7-93AA-1BA5A50EE3E8"/>
    <w:docVar w:name="RA2K3_INVISIBLE_DATA" w:val="&lt;raxml:researchContent xmlns:raxml=&quot;http://schemas.capco.com/raml/2003&quot; contentChecksum=&quot;zh+wCMbu+CPxfQ4Ei5LfN4ihRGA=&quot;&gt;&lt;raxml:researchComponent&gt;&lt;raxml:documentDate&gt;16 December 2014&lt;/raxml:documentDate&gt;&lt;/raxml:researchComponent&gt;&lt;raxml:researchComponent&gt;&lt;raxml:issuer raxml:code=&quot;BRKR.US&quot; raxml:name=&quot;Bruker Corp&quot; raxml:symbol=&quot;BRKR.US&quot; raxml:volatilityModel=&quot;&quot; raxml:adrExists=&quot;&quot; raxml:adrCode=&quot;&quot; raxml:quarterlyExists=&quot;&quot; raxml:countryID=&quot;ProductCountry_US&quot; raxml:countryName=&quot;United States&quot; raxml:regionID=&quot;NAM&quot; raxml:regionName=&quot;North America&quot; raxml:priceOverride=&quot;&quot; raxml:priceOverrideDateTime=&quot;&quot; raxml:priceOverrideType=&quot;&quot; raxml:industryID=&quot;GICS_35203010&quot; raxml:subIndustryID=&quot;SB_LifeScienceToolsDiagnostics&quot; raxml:industryName=&quot;Life Sciences Tools &amp;amp; Services&quot; raxml:subIndustryName=&quot;Life Science Tools &amp;amp; Diagnostics&quot; raxml:submissionID=&quot;3352166&quot; raxml:translationSubmissionID=&quot;&quot; raxml:ricCode=&quot;BRKR.O&quot; raxml:ssbMnemonic=&quot;LIFES.&quot; raxml:fcMnemonic=&quot;SCITEC&quot; raxml:primaryAnalystID=&quot;72735&quot; raxml:ticker=&quot;BRKR&quot; raxml:finsumtemplatefilename=&quot;Global_FinSumms_Industrial_v1.7-Font8.xlsm&quot; raxml:isRestricted=&quot;N&quot; raxml:esCompanyId=&quot;BRKR&quot; raxml:activeTier=&quot;T1&quot; raxml:companyStatus=&quot;&quot; raxml:nameAndCode=&quot;Bruker Corp (BRKR)&quot; raxml:multiRatedInstrument=&quot;false&quot;&gt;Bruker Corp&lt;/raxml:issuer&gt;&lt;/raxml:researchComponent&gt;&lt;raxml:researchComponent&gt;&lt;raxml:documentTitle&gt;&lt;raxml:titlePrefix /&gt;&lt;raxml:titleText&gt;Enter headline text here&lt;/raxml:titleText&gt;&lt;/raxml:documentTitle&gt;&lt;/raxml:researchComponent&gt;&lt;raxml:researchComponent&gt;&lt;raxml:documentState&gt;&lt;raxml:currentState raxml:code=&quot;INPROGRESS&quot; raxml:date=&quot;2014-12-16T16:15:35&quot; /&gt;&lt;raxml:history&gt;&lt;raxml:entry raxml:code=&quot;NEW&quot; raxml:date=&quot;2014-12-16T00:00:00&quot; /&gt;&lt;/raxml:history&gt;&lt;/raxml:documentState&gt;&lt;/raxml:researchComponent&gt;&lt;raxml:researchComponent xmlns:raxml=&quot;http://schemas.capco.com/raml/2003&quot;&gt;&lt;raxml:productBranding raxml:type=&quot;CompanyInDepth&quot; raxml:publishingGroup=&quot;CIR&quot; raxml:displayCode=&quot;EQUITY&quot;&gt;Equities&lt;/raxml:productBranding&gt;&lt;/raxml:researchComponent&gt;&lt;raxml:researchComponent xmlns:raxml=&quot;http://schemas.capco.com/raml/2003&quot;&gt;&lt;raxml:originalProductBranding raxml:type=&quot;CompanyInDepth&quot; raxml:publishingGroup=&quot;CIR&quot; raxml:displayCode=&quot;EQUITY&quot;&gt;Equities&lt;/raxml:originalProductBranding&gt;&lt;/raxml:researchComponent&gt;&lt;raxml:researchComponent xmlns:raxml=&quot;http://schemas.capco.com/raml/2003&quot;&gt;&lt;raxml:subBrandingLabel raxml:code=&quot;&quot; /&gt;&lt;/raxml:researchComponent&gt;&lt;raxml:researchComponent xmlns:raxml=&quot;http://schemas.capco.com/raml/2003&quot;&gt;&lt;raxml:assetType raxml:code=&quot;&quot; /&gt;&lt;/raxml:researchComponent&gt;&lt;raxml:researchComponent xmlns:raxml=&quot;http://schemas.capco.com/raml/2003&quot;&gt;&lt;raxml:finSum&gt;true&lt;/raxml:finSum&gt;&lt;/raxml:researchComponent&gt;&lt;raxml:researchComponent xmlns:raxml=&quot;http://schemas.capco.com/raml/2003&quot;&gt;&lt;raxml:productCorporateLogo raxml:type=&quot;1&quot;&gt;None&lt;/raxml:productCorporateLogo&gt;&lt;/raxml:researchComponent&gt;&lt;raxml:researchComponent xmlns:raxml=&quot;http://schemas.capco.com/raml/2003&quot;&gt;&lt;raxml:assetFilter raxml:code=&quot;ShowAllAssets&quot; /&gt;&lt;/raxml:researchComponent&gt;&lt;raxml:researchComponent xmlns:raxml=&quot;http://schemas.capco.com/raml/2003&quot;&gt;&lt;raxml:subjectFilter raxml:code=&quot;ShowSubjectsByAnalyst&quot; /&gt;&lt;/raxml:researchComponent&gt;&lt;raxml:researchComponent xmlns:raxml=&quot;http://schemas.capco.com/raml/2003&quot;&gt;&lt;raxml:onBehalfOfUser raxml:code=&quot;DA07665&quot; raxml:legalEntity=&quot;&quot; raxml:country=&quot;United States&quot; /&gt;&lt;/raxml:researchComponent&gt;&lt;researchComponent xmlns=&quot;http://schemas.capco.com/raml/2003&quot;&gt;&lt;additionalData xmlns=&quot;&quot;&gt;&lt;documentDetails documentID=&quot;10008965@20~4898@10&quot; languageVariantCode=&quot;&quot; versionNumber=&quot;&quot; submissionDate=&quot;&quot; documentPageCount=&quot;45&quot; pageCountWithoutDisclosure=&quot;39&quot; lastDisclosureRefreshDate=&quot;16-Dec-2014 16:31:46@GMT-05:00&quot; lastDisclosureRefreshByUser=&quot;rshqa007&quot; publicationDate=&quot;16-Dec-2014&quot; documentStatusCode=&quot;&quot; lastDataRefreshDate=&quot;16-Dec-2014 16:15:14@GMT-05:00&quot; language=&quot;&quot; languageVariant=&quot;False&quot; checkInAndApproveByAW=&quot;False&quot; releaseDateTimeUtcOffset=&quot;-300&quot; mustRead=&quot;&quot; FileId=&quot;13070677@20~632@1&quot; displayDate=&quot;&quot; footnoteHasHyperlink=&quot;False&quot; authoringDocVersion=&quot;2010&quot; isIMIncluded=&quot;False&quot; FPTableFullWidth=&quot;False&quot; FPTableRightMargin=&quot;False&quot; /&gt;&lt;routingRequest isDraft=&quot;False&quot; isPrivate=&quot;False&quot; isSubmitAsCheckout=&quot;False&quot; requiresEditorialSupport=&quot;False&quot; requestInRegionReview=&quot;False&quot; requiresTranslation=&quot;False&quot; translationCheckRequired=&quot;False&quot; corporateAction=&quot;&quot; stockAction=&quot;&quot; documentSubject=&quot;&quot; bloombergSubject=&quot;&quot; bloombergTitle=&quot;&quot; researchType=&quot;&quot; distributionSubject=&quot;&quot; /&gt;&lt;additionalDistributionParameters requestedReleaseDateTime=&quot;16-Dec-2014 00:00:00&quot; delayedRelease=&quot;False&quot; breakIn=&quot;False&quot; blastVoiceMail=&quot;False&quot; morningCall=&quot;False&quot; wip=&quot;False&quot; morningCallDate=&quot;&quot; outputFormatCode=&quot;EO&quot; numberofHardcopiesRequested=&quot;&quot; primaryAudienceCode=&quot;&quot; internalExternalCode=&quot;&quot; websiteReference=&quot;&quot; readonly=&quot;&quot; hardcopyPrint=&quot;false&quot; publicationDate=&quot;&quot; /&gt;&lt;associatedDocuments&gt;&lt;associatedDocument linkedDocumentID=&quot;&quot; type=&quot;&quot; submittedDate=&quot;&quot; title=&quot;&quot; headline=&quot;&quot; producttype=&quot;&quot; oboauthor=&quot;&quot; languageVariantCode=&quot;&quot; variant=&quot;&quot; industry=&quot;&quot; /&gt;&lt;/associatedDocuments&gt;&lt;childdoclinks&gt;&lt;link address=&quot;https://ir.citi.com/f00GW%2bvUDr0rkBEPUVrWOKbMaU5Xj1JESy9eJUXbikbUxo4LkYymrt6hPl7OKIdoyErKKC77YbUpF1sAI8l8yA%3d%3d&quot; /&gt;&lt;link address=&quot;https://ir.citi.com/4NSxJJ79UPwVu%2fFonuvgraW5bkcHI%2fwNZfjOOSkxQvV05j2%2fYBPgtYZC3rQn0dH6pwTj%2brudLbQ%3d&quot; /&gt;&lt;/childdoclinks&gt;&lt;relatedReports&gt;&lt;relatedReport documentID=&quot;&quot; includeTitle=&quot;&quot; includeHeadline=&quot;&quot; regionCountry=&quot;&quot; title=&quot;&quot; ticker=&quot;&quot; headline=&quot;&quot; transmittedDate=&quot;&quot; documentStatus=&quot;&quot; /&gt;&lt;/relatedReports&gt;&lt;loginDetails&gt;&lt;login id=&quot;rshqa007&quot; name=&quot;QA AW Ajay1&quot; onbehalfofID=&quot;DA07665&quot; onbehalfofName=&quot;Daniel Arias&quot; firstonbehalfofID=&quot;rshqa007&quot; firstonbehalfofName=&quot;Daniel Arias&quot; /&gt;&lt;/loginDetails&gt;&lt;productDetails&gt;&lt;focus code=&quot;&quot; name=&quot;&quot; /&gt;&lt;branding code=&quot;&quot; name=&quot;&quot; /&gt;&lt;originalBranding code=&quot;CompanyInDepth&quot; name=&quot;Equities&quot; displayCode=&quot;EQUITY&quot; /&gt;&lt;subbranding code=&quot;&quot; name=&quot;&quot; /&gt;&lt;product code=&quot;CompanyInDepth&quot; name=&quot;Equities&quot; displayCode=&quot;EQUITY&quot; /&gt;&lt;periodicity code=&quot;&quot; name=&quot;&quot; /&gt;&lt;assetType name=&quot;&quot; displayCode=&quot;&quot; /&gt;&lt;preview&gt;ID&lt;/preview&gt;&lt;language&gt;en&lt;/language&gt;&lt;narrativeVariant&gt;STD&lt;/narrativeVariant&gt;&lt;isRegionMandatory&gt;True&lt;/isRegionMandatory&gt;&lt;constituentType&gt;Company&lt;/constituentType&gt;&lt;publishingGroup&gt;CIR&lt;/publishingGroup&gt;&lt;defaultQualifier /&gt;&lt;userSubGroup /&gt;&lt;/productDetails&gt;&lt;documentHeaderDetails documentTitle=&quot;Bruker Corp (BRKR)&quot; documentHeadline=&quot;QA TEST Ajay&quot; /&gt;&lt;eventDetails&gt;&lt;event id=&quot;&quot; date=&quot;&quot; time=&quot;&quot; type=&quot;&quot; analystEventLabel=&quot;&quot; hasKeyIssue=&quot;&quot; submissionId=&quot;&quot; createDate=&quot;&quot; dataSubmissionId=&quot;&quot; lastUpdatedTime=&quot;&quot; refreshPhase=&quot;&quot; docEventDateTitle=&quot;&quot; /&gt;&lt;/eventDetails&gt;&lt;disciplines&gt;&lt;discipline code=&quot;&quot; name=&quot;&quot; referenceType=&quot;&quot; /&gt;&lt;/disciplines&gt;&lt;comments&gt;&lt;comment enteredBy=&quot;rshqa007&quot; entryDateTime=&quot;16-Dec-2014 16:29:28&quot; isRestricted=&quot;&quot; /&gt;&lt;/comments&gt;&lt;synopsis&gt;&amp;lt;UL&amp;gt;_x000d__x000a_&amp;lt;LI&amp;gt;Initiate with a Buy and a DKr158 TP (+23.8% ETR) — We believe that GN can deliver a FY14-17E sales CAGR of 9.8% and an EPS CAGR of 19.7%, supported by a DKr1bn (&amp;amp;gt;4%) annual share buyback. GN’s wireless connectivity advantage in hearing aids (Made for iPhone, etc) should last until 2016-17E, while the increasing uptake of Unified Communications (UC) technology should accelerate growth and margin for its headset business, Netcom, in our view. &amp;lt;/LI&amp;gt;_x000d__x000a_&amp;lt;LI&amp;gt;Our 2017E Netcom (headset) EBITA is 14% ahead of consensus — We expect GN to gain further share in the UC headset market in 2015-16 due to a recent large contract win, driving a &amp;amp;gt;25% UC sales CAGR and accelerating Netcom’s in Netcom’s EBITA margin from 17.8% in 2014E to 20.3% in 2017E (150bp ahead of cons. at 18.8%). &amp;lt;/LI&amp;gt;_x000d__x000a_&amp;lt;LI&amp;gt;de-rating largely factors in near-term risks to margin and GN’s Costco Kirkland Signature contract. &amp;lt;/LI&amp;gt;&amp;lt;/UL&amp;gt;&lt;/synopsis&gt;&lt;analystDetails noOfLinesInAuthorBlock=&quot;3&quot; IsTwoColumnAuthorBlockChecked=&quot;False&quot;&gt;&lt;analyst analystID=&quot;DA07665&quot; analystFullName=&quot;Daniel Arias&quot; analystType=&quot;PRI&quot; contactID=&quot;72735&quot; apAnalystNumber=&quot;11010&quot; locationCountry=&quot;United States&quot; isCertified=&quot;true&quot; isReportCertified=&quot;602&quot; /&gt;&lt;/analystDetails&gt;&lt;countries&gt;&lt;country code=&quot;ProductCountry_US&quot; name=&quot;United States&quot; referenceType=&quot;&quot; /&gt;&lt;/countries&gt;&lt;regions&gt;&lt;region code=&quot;NAM&quot; name=&quot;North America&quot; referenceType=&quot;&quot; /&gt;&lt;/regions&gt;&lt;companies&gt;&lt;company code=&quot;BRKR.US&quot; publishingGroup=&quot;CIR&quot; dataSubmissionID=&quot;3352166&quot; translationSubmissionID=&quot;&quot; name=&quot;Bruker Corp&quot; referenceType=&quot;PRI&quot; esCompanyId=&quot;BRKR&quot; ricCode=&quot;BRKR.O&quot; lastDataRefreshDate=&quot;16-Dec-2014 16:15:14@GMT-05:00&quot; isRestricted=&quot;false&quot; isSubject=&quot;True&quot; includeTag=&quot;True&quot;&gt;&lt;marketPrice value=&quot;18.31&quot; lastPricingDate=&quot;16 Dec 2014 13:04:00&quot; unitPrefix=&quot;US$&quot; unitPostfix=&quot;&quot; /&gt;&lt;/company&gt;&lt;/companies&gt;&lt;comptables /&gt;&lt;narrativeSets /&gt;&lt;stockActions /&gt;&lt;displayedSubjects /&gt;&lt;bondRatings /&gt;&lt;seniorDebtRatings /&gt;&lt;industries&gt;&lt;industry code=&quot;SB_LifeScienceToolsDiagnostics&quot; name=&quot;Life Science Tools &amp;amp; Diagnostics&quot; referenceType=&quot;PRI&quot; fcMnemonic=&quot;SCITEC&quot; ssbMnemonic=&quot;LIFES.&quot; taxonomy=&quot;Citi (SB)&quot; /&gt;&lt;industry code=&quot;GICS_35203010&quot; name=&quot;Life Sciences Tools &amp;amp; Services&quot; fcMnemonic=&quot;&quot; ssbMnemonic=&quot;&quot; referenceType=&quot;PRI&quot; taxonomy=&quot;GICS&quot; /&gt;&lt;/industries&gt;&lt;corporateLogos&gt;&lt;corporateLogo code=&quot;1&quot; name=&quot;None&quot; referenceType=&quot;&quot; /&gt;&lt;/corporateLogos&gt;&lt;documentSubjects /&gt;&lt;corporateActions&gt;&lt;corporateAction code=&quot;&quot; /&gt;&lt;/corporateActions&gt;&lt;regulatoryQuestions&gt;&lt;regulatoryQuestion questioncode=&quot;522&quot; answercode=&quot;0&quot; /&gt;&lt;regulatoryQuestion questioncode=&quot;523&quot; answercode=&quot;1&quot; /&gt;&lt;/regulatoryQuestions&gt;&lt;reasonForChanges /&gt;&lt;clearRegulatoryQuestion /&gt;&lt;additionalDisclosures&gt;&lt;ifDisclosuresRefreshed&gt;TRUE&lt;/ifDisclosuresRefreshed&gt;&lt;/additionalDisclosures&gt;&lt;statAbs lastUpdatedDate=&quot;16-Dec-2014 16:15:20@GMT-05:00&quot;&gt;&lt;statAb location=&quot;SectionC&quot; code=&quot;US_INDUS&quot; type=&quot;FW&quot; excelFileName=&quot;Industrials_NAM_full.xls&quot; isUsingWordML=&quot;True&quot; companyCode=&quot;BRKR.US&quot; /&gt;&lt;/statAbs&gt;&lt;eventDataTables&gt;&lt;eventDataTable eventID=&quot;&quot; companyCode=&quot;&quot; type=&quot;&quot; code=&quot;&quot; frequencyCode=&quot;&quot; displayCons=&quot;&quot; displayPCP=&quot;&quot; /&gt;&lt;/eventDataTables&gt;&lt;ADREmail /&gt;&lt;nonGAD file=&quot;&quot; /&gt;&lt;links /&gt;&lt;bullets&gt;&amp;lt;wx:sect xmlns:wx=&quot;http://schemas.microsoft.com/office/word/2003/auxHint&quot;&amp;gt;&amp;lt;w:p wsp:rsidR=&quot;00226D1D&quot; wsp:rsidRPr=&quot;00D91186&quot; wsp:rsidRDefault=&quot;00226D1D&quot; wsp:rsidP=&quot;00226D1D&quot; xmlns:wsp=&quot;http://schemas.microsoft.com/office/word/2003/wordml/sp2&quot; xmlns:w=&quot;http://schemas.microsoft.com/office/word/2003/wordml&quot;&amp;gt;&amp;lt;w:pPr&amp;gt;&amp;lt;w:pStyle w:val=&quot;CIRFPBullet&quot; /&amp;gt;&amp;lt;w:listPr&amp;gt;&amp;lt;w:ilvl w:val=&quot;0&quot; /&amp;gt;&amp;lt;w:ilfo w:val=&quot;2&quot; /&amp;gt;&amp;lt;wx:t wx:val=&quot;n&quot; /&amp;gt;&amp;lt;wx:font wx:val=&quot;Wingdings&quot; /&amp;gt;&amp;lt;/w:listPr&amp;gt;&amp;lt;/w:pPr&amp;gt;&amp;lt;aml:annotation aml:id=&quot;0&quot; w:type=&quot;Word.Bookmark.Start&quot; w:name=&quot;bkm_FPBullets&quot; xmlns:aml=&quot;http://schemas.microsoft.com/aml/2001/core&quot; /&amp;gt;&amp;lt;aml:annotation aml:id=&quot;0&quot; w:type=&quot;Word.Bookmark.End&quot; xmlns:aml=&quot;http://schemas.microsoft.com/aml/2001/core&quot; /&amp;gt;&amp;lt;w:permStart w:id=&quot;2055675995&quot; w:edGrp=&quot;everyone&quot; /&amp;gt;&amp;lt;w:r&amp;gt;&amp;lt;w:rPr&amp;gt;&amp;lt;w:b /&amp;gt;&amp;lt;/w:rPr&amp;gt;&amp;lt;w:t&amp;gt;Initiate with a Buy and a &amp;lt;/w:t&amp;gt;&amp;lt;/w:r&amp;gt;&amp;lt;w:r wsp:rsidRPr=&quot;00B05C43&quot;&amp;gt;&amp;lt;w:rPr&amp;gt;&amp;lt;w:b /&amp;gt;&amp;lt;/w:rPr&amp;gt;&amp;lt;w:t&amp;gt;DKr158 TP (+23.8% ETR) &amp;lt;/w:t&amp;gt;&amp;lt;/w:r&amp;gt;&amp;lt;w:r wsp:rsidRPr=&quot;00B05C43&quot;&amp;gt;&amp;lt;w:t&amp;gt;— We believe that GN can deliver a FY14-17E sales CAGR of 9.8% and an&amp;lt;/w:t&amp;gt;&amp;lt;/w:r&amp;gt;&amp;lt;w:r wsp:rsidRPr=&quot;00042CC6&quot;&amp;gt;&amp;lt;w:t&amp;gt; EPS CAGR of 19.7%, supported by a DKr1bn (&amp;amp;gt;4%) annual share buyback. GN’s wireless connectivity advantage in hearing aids (Made for iPhone, etc) should last until 2016-17E, while the increasing uptake of Unified Communications (UC) technology should accelerate&amp;lt;/w:t&amp;gt;&amp;lt;/w:r&amp;gt;&amp;lt;w:r wsp:rsidRPr=&quot;00D91186&quot;&amp;gt;&amp;lt;w:t&amp;gt; growth and margin for its headset business, Netcom, in our view. &amp;lt;/w:t&amp;gt;&amp;lt;/w:r&amp;gt;&amp;lt;/w:p&amp;gt;&amp;lt;w:p wsp:rsidR=&quot;00226D1D&quot; wsp:rsidRPr=&quot;00CD0FF0&quot; wsp:rsidRDefault=&quot;00226D1D&quot; wsp:rsidP=&quot;00226D1D&quot; xmlns:wsp=&quot;http://schemas.microsoft.com/office/word/2003/wordml/sp2&quot; xmlns:w=&quot;http://schemas.microsoft.com/office/word/2003/wordml&quot;&amp;gt;&amp;lt;w:pPr&amp;gt;&amp;lt;w:pStyle w:val=&quot;CIRFPBullet&quot; /&amp;gt;&amp;lt;w:listPr&amp;gt;&amp;lt;w:ilvl w:val=&quot;0&quot; /&amp;gt;&amp;lt;w:ilfo w:val=&quot;2&quot; /&amp;gt;&amp;lt;wx:t wx:val=&quot;n&quot; /&amp;gt;&amp;lt;wx:font wx:val=&quot;Wingdings&quot; /&amp;gt;&amp;lt;/w:listPr&amp;gt;&amp;lt;/w:pPr&amp;gt;&amp;lt;w:r&amp;gt;&amp;lt;w:rPr&amp;gt;&amp;lt;w:b /&amp;gt;&amp;lt;/w:rPr&amp;gt;&amp;lt;w:t&amp;gt;Our 2017E Netcom (headset) EBITA is 14% ahead &amp;lt;/w:t&amp;gt;&amp;lt;/w:r&amp;gt;&amp;lt;w:r wsp:rsidRPr=&quot;00D91186&quot;&amp;gt;&amp;lt;w:rPr&amp;gt;&amp;lt;w:b /&amp;gt;&amp;lt;/w:rPr&amp;gt;&amp;lt;w:t&amp;gt;of consensus &amp;lt;/w:t&amp;gt;&amp;lt;/w:r&amp;gt;&amp;lt;w:r wsp:rsidRPr=&quot;00D91186&quot;&amp;gt;&amp;lt;w:t&amp;gt;— We expect GN to gain further share in the UC headset market in 2015-16 due to a recent large contract win, driving a &amp;amp;gt;25% UC sales CAGR and accelerating Netcom’s organic growth from 10% in 2014E to 14% in 2016E vs 12% consensus. Given we estimate that UC is accretive to Netcom’s margin and our expectation of a turnaround in&amp;lt;/w:t&amp;gt;&amp;lt;/w:r&amp;gt;&amp;lt;w:r wsp:rsidRPr=&quot;00CD0FF0&quot;&amp;gt;&amp;lt;w:t&amp;gt; the music-product margin following a portfolio optimization in 1H14, we forecast a turnaround in Netcom’s EBITA margin from 17.8% in 2014E to 20.3% in 2017E (150bp ahead of cons&amp;lt;/w:t&amp;gt;&amp;lt;/w:r&amp;gt;&amp;lt;w:r&amp;gt;&amp;lt;w:t&amp;gt;. at 18.8%&amp;lt;/w:t&amp;gt;&amp;lt;/w:r&amp;gt;&amp;lt;w:r wsp:rsidRPr=&quot;00CD0FF0&quot;&amp;gt;&amp;lt;w:t&amp;gt;). &amp;lt;/w:t&amp;gt;&amp;lt;/w:r&amp;gt;&amp;lt;/w:p&amp;gt;&amp;lt;w:p wsp:rsidR=&quot;00226D1D&quot; wsp:rsidRPr=&quot;00D91186&quot; wsp:rsidRDefault=&quot;00226D1D&quot; wsp:rsidP=&quot;00226D1D&quot; xmlns:wsp=&quot;http://schemas.microsoft.com/office/word/2003/wordml/sp2&quot; xmlns:w=&quot;http://schemas.microsoft.com/office/word/2003/wordml&quot;&amp;gt;&amp;lt;w:pPr&amp;gt;&amp;lt;w:pStyle w:val=&quot;CIRFPBullet&quot; /&amp;gt;&amp;lt;w:listPr&amp;gt;&amp;lt;w:ilvl w:val=&quot;0&quot; /&amp;gt;&amp;lt;w:ilfo w:val=&quot;2&quot; /&amp;gt;&amp;lt;wx:t wx:val=&quot;n&quot; /&amp;gt;&amp;lt;wx:font wx:val=&quot;Wingdings&quot; /&amp;gt;&amp;lt;/w:listPr&amp;gt;&amp;lt;/w:pPr&amp;gt;&amp;lt;w:r wsp:rsidRPr=&quot;00A73606&quot;&amp;gt;&amp;lt;w:rPr&amp;gt;&amp;lt;w:b /&amp;gt;&amp;lt;/w:rPr&amp;gt;&amp;lt;w:t&amp;gt;Cautious on 1H15 margin &amp;lt;/w:t&amp;gt;&amp;lt;/w:r&amp;gt;&amp;lt;w:r&amp;gt;&amp;lt;w:t&amp;gt;— &amp;lt;/w:t&amp;gt;&amp;lt;/w:r&amp;gt;&amp;lt;w:r wsp:rsidRPr=&quot;00A73606&quot;&amp;gt;&amp;lt;w:t&amp;gt;While we are positive on the mid-term outlook for GN, we would caution that the company could continue to face margin head&amp;lt;/w:t&amp;gt;&amp;lt;/w:r&amp;gt;&amp;lt;w:r&amp;gt;&amp;lt;w:t&amp;gt;winds from US$ strength in 1H15 (due to having hedged 1-yr &amp;lt;/w:t&amp;gt;&amp;lt;/w:r&amp;gt;&amp;lt;w:r wsp:rsidRPr=&quot;000A468D&quot;&amp;gt;&amp;lt;w:t&amp;gt;fwd), before this reverses&amp;lt;/w:t&amp;gt;&amp;lt;/w:r&amp;gt;&amp;lt;w:r wsp:rsidRPr=&quot;00A73606&quot;&amp;gt;&amp;lt;w:t&amp;gt; from 2H15. &amp;lt;/w:t&amp;gt;&amp;lt;/w:r&amp;gt;&amp;lt;w:r wsp:rsidRPr=&quot;008B4069&quot;&amp;gt;&amp;lt;w:t&amp;gt;Further to this&amp;lt;/w:t&amp;gt;&amp;lt;/w:r&amp;gt;&amp;lt;w:r&amp;gt;&amp;lt;w:t&amp;gt;,&amp;lt;/w:t&amp;gt;&amp;lt;/w:r&amp;gt;&amp;lt;w:r wsp:rsidRPr=&quot;008B4069&quot;&amp;gt;&amp;lt;w:t&amp;gt; there could be an ongoing headwind from a narrowing gap between R&amp;amp;amp;D &amp;lt;/w:t&amp;gt;&amp;lt;/w:r&amp;gt;&amp;lt;w:r&amp;gt;&amp;lt;w:t&amp;gt;capitalisation and amortization, but we feel this is now better &amp;lt;/w:t&amp;gt;&amp;lt;/w:r&amp;gt;&amp;lt;w:r wsp:rsidRPr=&quot;00D91186&quot;&amp;gt;&amp;lt;w:t&amp;gt;understood than with Sonova, given it was flagged by the CFO on the 3Q call.&amp;lt;/w:t&amp;gt;&amp;lt;/w:r&amp;gt;&amp;lt;/w:p&amp;gt;&amp;lt;w:p wsp:rsidR=&quot;00226D1D&quot; wsp:rsidRDefault=&quot;00226D1D&quot; wsp:rsidP=&quot;00226D1D&quot; xmlns:wsp=&quot;http://schemas.microsoft.com/office/word/2003/wordml/sp2&quot; xmlns:w=&quot;http://schemas.microsoft.com/office/word/2003/wordml&quot;&amp;gt;&amp;lt;w:pPr&amp;gt;&amp;lt;w:pStyle w:val=&quot;CIRFPBullet&quot; /&amp;gt;&amp;lt;w:listPr&amp;gt;&amp;lt;w:ilvl w:val=&quot;0&quot; /&amp;gt;&amp;lt;w:ilfo w:val=&quot;0&quot; /&amp;gt;&amp;lt;/w:listPr&amp;gt;&amp;lt;w:rPr&amp;gt;&amp;lt;w:rFonts w:cs=&quot;Times New Roman&quot; /&amp;gt;&amp;lt;/w:rPr&amp;gt;&amp;lt;/w:pPr&amp;gt;&amp;lt;w:r wsp:rsidRPr=&quot;00823674&quot;&amp;gt;&amp;lt;w:rPr&amp;gt;&amp;lt;w:b /&amp;gt;&amp;lt;/w:rPr&amp;gt;&amp;lt;w:t&amp;gt;PEG of 0.8x; recent de-rating largely factors in near-term risks &amp;lt;/w:t&amp;gt;&amp;lt;/w:r&amp;gt;&amp;lt;w:r&amp;gt;&amp;lt;w:t&amp;gt;— GN is trading &amp;lt;/w:t&amp;gt;&amp;lt;/w:r&amp;gt;&amp;lt;w:r wsp:rsidRPr=&quot;00B05C43&quot;&amp;gt;&amp;lt;w:t&amp;gt;on 16.2x our 2016E adj. EPS, which is &amp;amp;lt;1% above consensus, for an estimated 2014E-17E adj. EPS CAGR of 19.7% (PEG 0.8x)&amp;lt;/w:t&amp;gt;&amp;lt;/w:r&amp;gt;&amp;lt;w:r wsp:rsidRPr=&quot;004D51F8&quot;&amp;gt;&amp;lt;w:t&amp;gt; vs&amp;lt;/w:t&amp;gt;&amp;lt;/w:r&amp;gt;&amp;lt;w:r&amp;gt;&amp;lt;w:t&amp;gt; 13% for the sector (PEG 1.4x). This is a 9&amp;lt;/w:t&amp;gt;&amp;lt;/w:r&amp;gt;&amp;lt;w:r wsp:rsidRPr=&quot;00872704&quot;&amp;gt;&amp;lt;w:t&amp;gt;% &amp;lt;/w:t&amp;gt;&amp;lt;/w:r&amp;gt;&amp;lt;w:r wsp:rsidRPr=&quot;00D91186&quot;&amp;gt;&amp;lt;w:t&amp;gt;P/E d&amp;lt;/w:t&amp;gt;&amp;lt;/w:r&amp;gt;&amp;lt;w:r wsp:rsidRPr=&quot;00872704&quot;&amp;gt;&amp;lt;w:t&amp;gt;iscount&amp;lt;/w:t&amp;gt;&amp;lt;/w:r&amp;gt;&amp;lt;w:r&amp;gt;&amp;lt;w:t&amp;gt; to the sector despite GN’s superior earnings growth, on our forecasts, and we therefore believe GN’s recent de-rating largely factors in near-term risks to margin and GN’s Costco Kirkland Signature contract. &amp;lt;/w:t&amp;gt;&amp;lt;/w:r&amp;gt;&amp;lt;/w:p&amp;gt;&amp;lt;w:permEnd w:id=&quot;2055675995&quot; xmlns:w=&quot;http://schemas.microsoft.com/office/word/2003/wordml&quot; /&amp;gt;&amp;lt;w:sectPr wsp:rsidR=&quot;00D92D38&quot; xmlns:wsp=&quot;http://schemas.microsoft.com/office/word/2003/wordml/sp2&quot; xmlns:w=&quot;http://schemas.microsoft.com/office/word/2003/wordml&quot;&amp;gt;&amp;lt;w:pgSz w:w=&quot;12240&quot; w:h=&quot;15840&quot; /&amp;gt;&amp;lt;w:pgMar w:top=&quot;1440&quot; w:right=&quot;1440&quot; w:bottom=&quot;1440&quot; w:left=&quot;1440&quot; w:header=&quot;720&quot; w:footer=&quot;720&quot; w:gutter=&quot;0&quot; /&amp;gt;&amp;lt;w:cols w:space=&quot;720&quot; /&amp;gt;&amp;lt;/w:sectPr&amp;gt;&amp;lt;/wx:sect&amp;gt;&lt;/bullets&gt;&lt;selectedsubmissions /&gt;&lt;isSubmittedFlag&gt;False&lt;/isSubmittedFlag&gt;&lt;flashFinsum&gt;False&lt;/flashFinsum&gt;&lt;series7Disclosure /&gt;&lt;additionalDistributionTags&gt;&lt;additionalIndustries /&gt;&lt;additionalRegions /&gt;&lt;additionalCountries /&gt;&lt;additionalThemes /&gt;&lt;assetdetails&gt;&lt;assetdetail assetClassCode=&quot;EQUITY&quot; assetClassName=&quot;Equities&quot; assetTypeCode=&quot;COMPANY&quot; assetTypeName=&quot;Fundamental&quot; /&gt;&lt;/assetdetails&gt;&lt;financialmarkets /&gt;&lt;instruments /&gt;&lt;featurePublications /&gt;&lt;/additionalDistributionTags&gt;&lt;overriddenQualifiers /&gt;&lt;instructionsXML /&gt;&lt;companyAnalystDetails /&gt;&lt;dynImages /&gt;&lt;authorBlock /&gt;&lt;dataTable /&gt;&lt;bestIdeasContents /&gt;&lt;autoNoteDetails isAutoNote=&quot;False&quot; submitterID=&quot;&quot; /&gt;&lt;doNotSendEmail option=&quot;False&quot; noOverride=&quot;False&quot; dataSubmissionID=&quot;&quot; /&gt;&lt;emailText subject=&quot;Bruker Corp (BRKR): QA TEST Ajay&quot; updatedBy=&quot;User&quot; syncToWorkflow=&quot;False&quot; lastUpdatedFromWorkflow=&quot;&quot; explicitSync=&quot;False&quot; lastUpdatedDate=&quot;16-Dec-2014 16:29:27 -05:00&quot; uiContentLastUpdated=&quot;16-Dec-2014 16:29:27 -05:00&quot;&gt;&lt;sender soeid=&quot;DA07665&quot; type=&quot;AUTHOR&quot; from=&quot;Arias, Daniel (Citi)&quot; fromAddress=&quot;publicitisystemtesters@imcnam.ssmb.com&quot; /&gt;&lt;body&gt;&amp;lt;UL&amp;gt;_x000d__x000a_&amp;lt;LI&amp;gt;Initiate with a Buy and a DKr158 TP (+23.8% ETR) — We believe that GN can deliver a FY14-17E sales CAGR of 9.8% and an EPS CAGR of 19.7%, supported by a DKr1bn (&amp;amp;gt;4%) annual share buyback. GN’s wireless connectivity advantage in hearing aids (Made for iPhone, etc) should last until 2016-17E, while the increasing uptake of Unified Communications (UC) technology should accelerate growth and margin for its headset business, Netcom, in our view. &amp;lt;/LI&amp;gt;_x000d__x000a_&amp;lt;LI&amp;gt;Our 2017E Netcom (headset) EBITA is 14% ahead of consensus — We expect GN to gain further share in the UC headset market in 2015-16 due to a recent large contract win, driving a &amp;amp;gt;25% UC sales CAGR and accelerating Netcom’s in Netcom’s EBITA margin from 17.8% in 2014E to 20.3% in 2017E (150bp ahead of cons. at 18.8%). &amp;lt;/LI&amp;gt;_x000d__x000a_&amp;lt;LI&amp;gt;de-rating largely factors in near-term risks to margin and GN’s Costco Kirkland Signature contract. &amp;lt;/LI&amp;gt;&amp;lt;/UL&amp;gt;&lt;/body&gt;&lt;components /&gt;&lt;fromSenderList lastUpdatedDate=&quot;16-Dec-2014 16:29:27@GMT-05:00&quot;&gt;&lt;fromSender soeid=&quot;DA07665&quot; type=&quot;AUTHOR&quot; from=&quot;Arias, Daniel (Citi)&quot; fromAddress=&quot;publicitisystemtesters@imcnam.ssmb.com&quot; /&gt;&lt;fromSender soeid=&quot;&quot; type=&quot;DL&quot; from=&quot;Citi Research&quot; fromAddress=&quot;citiresearch@investmentresearch.citi.com&quot; /&gt;&lt;/fromSenderList&gt;&lt;/emailText&gt;&lt;htmlDisplay&gt;&lt;htmlComponents layout=&quot;1&quot;&gt;&lt;htmlComponent componentID=&quot;1&quot; type=&quot;RATINGBLOCK&quot; expanded=&quot;TRUE&quot; /&gt;&lt;/htmlComponents&gt;&lt;compTables&gt;&lt;compTable id=&quot;CompTable_Profile 001&quot; type=&quot;Predefined&quot; isHTML=&quot;True&quot; templateName=&quot;CompTable_Global_Landscape.xls&quot; templateCode=&quot;CompTable_Landscape&quot; layoutName=&quot;HTMLTable&quot; profileCode=&quot;308&quot; profileName=&quot;Profile 001&quot; includeAllCompaniesToTag=&quot;false&quot; isAggregate=&quot;false&quot; bookmarkname=&quot;bkm_Profile 001&quot; lastModifiedDate=&quot;16 Dec 2014&quot;&gt;&lt;company code=&quot;A.US&quot; usePending=&quot;False&quot; subId=&quot;3333266&quot; /&gt;&lt;company code=&quot;BRKR.US&quot; usePending=&quot;False&quot; subId=&quot;3352166&quot; /&gt;&lt;company code=&quot;CPHD.US&quot; usePending=&quot;False&quot; subId=&quot;3344242&quot; /&gt;&lt;company code=&quot;ILMN.US&quot; usePending=&quot;False&quot; subId=&quot;3341778&quot; /&gt;&lt;company code=&quot;LMNX.US&quot; usePending=&quot;False&quot; subId=&quot;3353632&quot; /&gt;&lt;company code=&quot;MTD.CH&quot; usePending=&quot;False&quot; subId=&quot;3339837&quot; /&gt;&lt;company code=&quot;PKI.US&quot; usePending=&quot;False&quot; subId=&quot;3339973&quot; /&gt;&lt;company code=&quot;SIAL.US&quot; usePending=&quot;False&quot; subId=&quot;3351058&quot; /&gt;&lt;company code=&quot;TMO.US&quot; usePending=&quot;False&quot; subId=&quot;3340176&quot; /&gt;&lt;company code=&quot;WAT.US&quot; usePending=&quot;False&quot; subId=&quot;3308177&quot; /&gt;&lt;/compTable&gt;&lt;/compTables&gt;&lt;relatedReports /&gt;&lt;/htmlDisplay&gt;&lt;finsumExists lastUpdatedDate=&quot;16-Dec-2014 16:15:33@GMT-05:00&quot;&gt;True&lt;/finsumExists&gt;&lt;/additionalData&gt;&lt;/researchComponent&gt;&lt;/raxml:researchContent&gt;"/>
    <w:docVar w:name="RA2K3_NODE_HANDLER_STATE" w:val="&lt;nodeHandlerStates&gt;&lt;nodeHandlerState code=&quot;http://schemas.capco.com/raml/2003#frontPage&quot;&gt;&lt;addMWTablesClicked value=&quot;False&quot; /&gt;&lt;/nodeHandlerState&gt;&lt;nodeHandlerState code=&quot;http://schemas.capco.com/raml/2003#issuerPage&quot;&gt;&lt;SelectedTableLayout value=&quot;0&quot; /&gt;&lt;SelectedFullWidthCheckbox value=&quot;False&quot; /&gt;&lt;SelectedTableOnRightCheckbox value=&quot;False&quot; /&gt;&lt;SelectedSwapAuthorBlockCheckbox value=&quot;False&quot; /&gt;&lt;/nodeHandlerState&gt;&lt;/nodeHandlerStates&gt;"/>
    <w:docVar w:name="RA2K3_VALIDATION_MANAGER_DATA" w:val="&lt;validationManager missingRuleMessageCode=&quot;missingMessage&quot;&gt;&lt;validationMessage code=&quot;missingMessage&quot; severity=&quot;Critical&quot; category=&quot;System&quot;&gt;&lt;title text=&quot;Cannot find message&quot; lcid=&quot;*&quot; /&gt;&lt;message text=&quot;Unable to find validation message with code '?'&quot; lcid=&quot;*&quot; /&gt;&lt;/validationMessage&gt;&lt;validationMessage code=&quot;msgIfAnalystIsEligible&quot; severity=&quot;Warning&quot; category=&quot;Content&quot;&gt;&lt;title text=&quot;The logged in user is not entitled to certify on behalf of the analyst or not entitled a translator role.&quot; lcid=&quot;*&quot; /&gt;&lt;message text=&quot;The logged in user ( ? ) is not entitled to certify on behalf of ( ? ) or not entitled a translator role.&quot; lcid=&quot;*&quot; /&gt;&lt;/validationMessage&gt;&lt;validationMessage code=&quot;msgFrontPageTable&quot; severity=&quot;Critical&quot; category=&quot;Content&quot;&gt;&lt;title text=&quot;Front Page Table content  Required Validation&quot; lcid=&quot;*&quot; /&gt;&lt;message text=&quot;There must be a table or chart on the front page of this product.&quot; lcid=&quot;*&quot; /&gt;&lt;/validationMessage&gt;&lt;validationMessage code=&quot;msgCompanySubmissionData&quot; severity=&quot;Warning&quot; category=&quot;Data&quot;&gt;&lt;title text=&quot;Company data does not match most current submission.&quot; lcid=&quot;*&quot; /&gt;&lt;message text=&quot;Data do not match for the following company(ies): ? . Please 'Refresh' the document before submitting.&quot; lcid=&quot;*&quot; /&gt;&lt;/validationMessage&gt;&lt;validationMessage code=&quot;msgSubmissionStatus&quot; severity=&quot;Warning&quot; category=&quot;Data&quot;&gt;&lt;title text=&quot;Document contains rejected data.&quot; lcid=&quot;*&quot; /&gt;&lt;message text=&quot;Data contained in this product has been rejected.  To replace the data, click on the Authoring menu and select Refresh Data &amp;gt; dataCentral Data Only. &quot; lcid=&quot;*&quot; /&gt;&lt;/validationMessage&gt;&lt;validationMessage code=&quot;msgPublicationDateIsAPastDate&quot; severity=&quot;Warning&quot; category=&quot;Data&quot;&gt;&lt;title text=&quot;Publication dates cannot be in the past.&quot; lcid=&quot;*&quot; /&gt;&lt;message text=&quot;Publication dates cannot be in the past.&quot; lcid=&quot;*&quot; /&gt;&lt;/validationMessage&gt;&lt;validationMessage code=&quot;msgAnalystIsNotActive&quot; severity=&quot;Critical&quot; category=&quot;Data&quot;&gt;&lt;title text=&quot;Primary Analyst  is inactive.&quot; lcid=&quot;*&quot; /&gt;&lt;message text=&quot;The following primary analyst are inactive: ? &quot; lcid=&quot;*&quot; /&gt;&lt;/validationMessage&gt;&lt;validationMessage code=&quot;msgCanAppearonReport&quot; severity=&quot;Critical&quot; category=&quot;Data&quot;&gt;&lt;title text=&quot;Analyst not authorized to appear in the document.&quot; lcid=&quot;*&quot; /&gt;&lt;message text=&quot; ? not authorized to appear in the document.&quot; lcid=&quot;*&quot; /&gt;&lt;/validationMessage&gt;&lt;!--ITERATION4 --&gt;&lt;validationMessage code=&quot;bulletsNotOnFirstPage&quot; severity=&quot;Critical&quot; category=&quot;Content&quot;&gt;&lt;title text=&quot;Front page bullets must fit on cover.&quot; lcid=&quot;*&quot; /&gt;&lt;message text=&quot;You have exceeded the number of bullets allowed on the first page. Please cut the text to fit on one page.&quot; lcid=&quot;*&quot; /&gt;&lt;/validationMessage&gt;&lt;validationMessage code=&quot;msgBulletsLinesExceedToleranceJapanRegionJapLang&quot; severity=&quot;Warning&quot; category=&quot;Content&quot;&gt;&lt;title text=&quot;MULTIPLE_ENTRIES_VALIDATION_MESSAGE:Front page bullets must be between one and four lines.&quot; lcid=&quot;*&quot; /&gt;&lt;message text=&quot;Bullets should be 1 to 4 lines long; ?&quot; lcid=&quot;*&quot; /&gt;&lt;/validationMessage&gt;&lt;validationMessage code=&quot;msgBulletsLinesExceedTolerance&quot; severity=&quot;Warning&quot; category=&quot;Content&quot;&gt;&lt;title text=&quot;MULTIPLE_ENTRIES_VALIDATION_MESSAGE:Front page bullets must be between two and five lines.&quot; lcid=&quot;*&quot; /&gt;&lt;message text=&quot;Bullets should be 2 to 5 lines long; ?&quot; lcid=&quot;*&quot; /&gt;&lt;/validationMessage&gt;&lt;validationMessage code=&quot;documentHeaderLengthExceedsLimit&quot; severity=&quot;Critical&quot; category=&quot;Content&quot;&gt;&lt;title text=&quot;Headline length is not valid.&quot; lcid=&quot;*&quot; /&gt;&lt;message text=&quot;The headline cannot exceed two lines and cannot be blank.&quot; lcid=&quot;*&quot; /&gt;&lt;/validationMessage&gt;&lt;validationMessage code=&quot;numOfRowsExceedsLimit&quot; severity=&quot;Critical&quot; category=&quot;Content&quot;&gt;&lt;title text=&quot;Author Block exceeds the proper length.&quot; lcid=&quot;*&quot; /&gt;&lt;message text=&quot;This product may have a maximum of four authors (inclusive of primary and secondary). Please cut to fit this requirement.&quot; lcid=&quot;*&quot; /&gt;&lt;/validationMessage&gt;&lt;validationMessage code=&quot;numOfBulletsExceedsLimit&quot; severity=&quot;Critical&quot; category=&quot;Content&quot;&gt;&lt;title text=&quot;This product must have between one and eight or ten bullets of two to five lines each.&quot; lcid=&quot;*&quot; /&gt;&lt;message text=&quot;This product must have at least one bullet and no more than eight bullets if a front page table exists, or ten bullets if there is no front page table. Bullets should be two to five lines each.&quot; lcid=&quot;*&quot; /&gt;&lt;/validationMessage&gt;&lt;validationMessage code=&quot;numOfBulletsExceedsLimitWithTable&quot; severity=&quot;Critical&quot; category=&quot;Content&quot;&gt;&lt;title text=&quot;A maximum of 8 bullets is allowed when a table is included on the front page.&quot; lcid=&quot;*&quot; /&gt;&lt;message text=&quot;A maximum of 8 bullets is allowed when a table is included on the front page.&quot; lcid=&quot;*&quot; /&gt;&lt;/validationMessage&gt;&lt;validationMessage code=&quot;numOfBulletsExceedsLimitNoTable&quot; severity=&quot;Critical&quot; category=&quot;Content&quot;&gt;&lt;title text=&quot;A maximum of 10 bullets is allowed when no table is included on the front page.&quot; lcid=&quot;*&quot; /&gt;&lt;message text=&quot;A maximum of 10 bullets is allowed when no table is included on the front page.&quot; lcid=&quot;*&quot; /&gt;&lt;/validationMessage&gt;&lt;validationMessage code=&quot;numOfBoldCharacterExceedsMinLimit&quot; severity=&quot;Warning&quot; category=&quot;Content&quot;&gt;&lt;title text=&quot;The first character of the bullet should be bold.&quot; lcid=&quot;*&quot; /&gt;&lt;message text=&quot;Bullets in the product must start with at least one bold word and should not exceed one bold line.&quot; lcid=&quot;*&quot; /&gt;&lt;/validationMessage&gt;&lt;validationMessage code=&quot;msgDisclosureNotAddedBeforeSubmit&quot; severity=&quot;Warning&quot; category=&quot;Data&quot;&gt;&lt;title text=&quot;Disclosures not added before submit.&quot; lcid=&quot;*&quot; /&gt;&lt;message text=&quot;Disclosures must be added for submission of this product. From the Authoring menu, select Refresh Data &amp;gt; Disclosures only.&quot; lcid=&quot;*&quot; /&gt;&lt;/validationMessage&gt;&lt;validationMessage code=&quot;numOfPagesExceedLimit&quot; severity=&quot;Warning&quot; category=&quot;Content&quot;&gt;&lt;title text=&quot;Flash product cannot exceed 8 pages in length.&quot; lcid=&quot;*&quot; /&gt;&lt;message text=&quot;Flash product cannot exceed 8 pages in length (excluding disclosures).&quot; lcid=&quot;*&quot; /&gt;&lt;/validationMessage&gt;&lt;validationMessage code=&quot;msgPriceOverrideToleranceChange&quot; severity=&quot;Warning&quot; category=&quot;Data&quot;&gt;&lt;title text=&quot;Manual Price override exceeds percentage change tolerances.&quot; lcid=&quot;*&quot; /&gt;&lt;message text=&quot;Pricing data for the following company(ies) has exceeded a ? percentage change from the latest market value: ?.&quot; lcid=&quot;*&quot; /&gt;&lt;/validationMessage&gt;&lt;validationMessage code=&quot;msgPriceOverrideDateIsAFutureDate&quot; severity=&quot;Warning&quot; category=&quot;Data&quot;&gt;&lt;title text=&quot;Date on the Manual Price Override cannot be a future date.&quot; lcid=&quot;*&quot; /&gt;&lt;message text=&quot;The pricing date entered in Manual Price Override must not be a future date.  To submit this product, change the date to be within the past 24 hours.&quot; lcid=&quot;*&quot; /&gt;&lt;/validationMessage&gt;&lt;validationMessage code=&quot;msgPriceOverrideDateIsOld&quot; severity=&quot;Warning&quot; category=&quot;Data&quot;&gt;&lt;title text=&quot;Date on Manual Price Override cannot be older than 24 hours.&quot; lcid=&quot;*&quot; /&gt;&lt;message text=&quot;Pricing needs to be within the past 24 hours. Please re-enter a valid price.&quot; lcid=&quot;*&quot; /&gt;&lt;/validationMessage&gt;&lt;validationMessage code=&quot;msgPricingDateIsOld&quot; severity=&quot;Warning&quot; category=&quot;Data&quot;&gt;&lt;title text=&quot;Pricing data is more than 48 hours old. &quot; lcid=&quot;*&quot; /&gt;&lt;message text=&quot;Pricing data for the following company(ies) has not been updated in the last 48 hours: ?  Please 'Refresh' the document before submitting.&quot; lcid=&quot;*&quot; /&gt;&lt;/validationMessage&gt;&lt;validationMessage code=&quot;msgRequiredDistrubutionTag&quot; severity=&quot;Warning&quot; category=&quot;Other&quot;&gt;&lt;title text=&quot;All required distribution tags are not populated.&quot; lcid=&quot;*&quot; /&gt;&lt;message text=&quot;Complete the required Distribution information.&quot; lcid=&quot;*&quot; /&gt;&lt;/validationMessage&gt;&lt;validationMessage code=&quot;msgFinancialSummaryTable&quot; severity=&quot;Critical&quot; category=&quot;Data &quot;&gt;&lt;title text=&quot;Financial Summary table must be inserted in Company Focus product&quot; lcid=&quot;*&quot; /&gt;&lt;message text=&quot;A Financial Summary table is required for submission of this product.  From the Authoring menu, select Insert &amp;gt; Financial Summary Table.&quot; lcid=&quot;*&quot; /&gt;&lt;/validationMessage&gt;&lt;!--&lt;validationMessage code=&quot;msgRestrictedCompany&quot; severity=&quot;Warning&quot; category=&quot;Data&quot;&gt;_x000d__x000a__x0009__x0009__x0009_&lt;title text=&quot;Company is a Restricted Company (as shown in dataCentral)&quot; lcid=&quot;*&quot;/&gt;_x000d__x000a__x0009__x0009__x0009_&lt;message text=&quot;The following company(ies) are restricted: ?&quot; lcid=&quot;*&quot;/&gt;_x000d__x000a__x0009__x0009_&lt;/validationMessage&gt;--&gt;&lt;validationMessage code=&quot;msgTableOfContentLimit&quot; severity=&quot;Warning&quot; category=&quot;Data&quot;&gt;&lt;title text=&quot;A Table of Contents is required on this product based on the page count. &quot; lcid=&quot;*&quot; /&gt;&lt;message text=&quot; A Table of Contents is required on all products over 16 pages (not including disclosures). To add the Table of Contents go to the Authoring Menu --&amp;gt; Insert --&amp;gt; TOC.&quot; lcid=&quot;*&quot; /&gt;&lt;/validationMessage&gt;&lt;validationMessage code=&quot;msgTableOfContentLimitForJapRegion&quot; severity=&quot;Warning&quot; category=&quot;Data&quot;&gt;&lt;title text=&quot;A Table of Contents is required on this product based on the page count. &quot; lcid=&quot;*&quot; /&gt;&lt;message text=&quot; A Table of Contents is required on all products over 16 pages (not including disclosures). To add the Table of Contents go to the Authoring Menu --&amp;gt; Insert --&amp;gt; TOC.&quot; lcid=&quot;*&quot; /&gt;&lt;/validationMessage&gt;&lt;validationMessage code=&quot;msgAssociateWithOriginalLanguageSubmission&quot; severity=&quot;Warning&quot; category=&quot;N/A&quot;&gt;&lt;title text=&quot;Not associated to at least 1 document with &amp;quot;Language Variant&amp;quot; flag = FALSE.&quot; lcid=&quot;*&quot; /&gt;&lt;message text=&quot;Please associate this Language 2 Variant submission to the non Language Variant submission.&quot; lcid=&quot;*&quot; /&gt;&lt;/validationMessage&gt;&lt;validationMessage code=&quot;msgOriginalLanguageSubmissionIDNotExist&quot; severity=&quot;Warning&quot; category=&quot;Data&quot;&gt;&lt;title text=&quot;Submission ID of original language submission does not exist.&quot; lcid=&quot;*&quot; /&gt;&lt;message text=&quot;Original Language Submission with Submission ID (data:?/narrative:?) does not exist for company ?. Please refresh document with the latest data submission.&quot; lcid=&quot;*&quot; /&gt;&lt;/validationMessage&gt;&lt;validationMessage code=&quot;msgAssociateWithRejectedSubmission&quot; severity=&quot;Critical&quot; category=&quot;Other&quot;&gt;&lt;title text=&quot;Association with REJECTED/DELETED submission is not allowed.&quot; lcid=&quot;*&quot; /&gt;&lt;message text=&quot;Cannot associate REJECTED/DELETED submission. Please select a submission with PENDING or PUBLISHED status.&quot; lcid=&quot;*&quot; /&gt;&lt;/validationMessage&gt;&lt;validationMessage code=&quot;msgAssociateWithPendingSubmission&quot; severity=&quot;Warning&quot; category=&quot;Other&quot;&gt;&lt;title text=&quot;Associated document is in PENDING status.&quot; lcid=&quot;*&quot; /&gt;&lt;message text=&quot;Associated document is in PENDING status.&quot; lcid=&quot;*&quot; /&gt;&lt;/validationMessage&gt;&lt;validationMessage code=&quot;msgNoofLinkedObjectsExceedTolerance&quot; severity=&quot;Warning&quot; category=&quot;Content&quot;&gt;&lt;title text=&quot;The number of linked objects exceeds 70.&quot; lcid=&quot;*&quot; /&gt;&lt;message text=&quot;The number of linked objects exceeds 70.&quot; lcid=&quot;*&quot; /&gt;&lt;/validationMessage&gt;&lt;validationMessage code=&quot;msgSameLanguageVariantExist&quot; severity=&quot;Critical&quot; category=&quot;Data&quot;&gt;&lt;title text=&quot;Translation of the same language already exists in the system.&quot; lcid=&quot;*&quot; /&gt;&lt;message text=&quot; ? Translation associated with this document has already been created.&quot; lcid=&quot;*&quot; /&gt;&lt;/validationMessage&gt;&lt;!-- CR7817 --&gt;&lt;validationMessage code=&quot;msgNumberOfStockActionsExceed&quot; severity=&quot;Critical&quot; category=&quot;Data&quot;&gt;&lt;title text=&quot;The number of subjects selected exceeds 4&quot; lcid=&quot;*&quot; /&gt;&lt;message text=&quot;The number of subjects selected should not exceeds 4&quot; lcid=&quot;*&quot; /&gt;&lt;/validationMessage&gt;&lt;validationMessage code=&quot;msgDiscontinuingCoverageCombinedOther&quot; severity=&quot;Critical&quot; category=&quot;Data&quot;&gt;&lt;title text=&quot;Discontinuing Coverage cannot be combined with other action qualifiers&quot; lcid=&quot;*&quot; /&gt;&lt;message text=&quot;Discontinuing Coverage cannot be combined with other action qualifiers&quot; lcid=&quot;*&quot; /&gt;&lt;/validationMessage&gt;&lt;validationMessage code=&quot;msgQualifiersInactive&quot; severity=&quot;Critical&quot; category=&quot;Content&quot;&gt;&lt;title text=&quot;Qualifier in the document is inactive&quot; lcid=&quot;*&quot; /&gt;&lt;message text=&quot;The following qualifiers are inactive: ? To remove inactive qualifier, use the Qualifier task pane and re-apply qualifiers.&quot; lcid=&quot;*&quot; /&gt;&lt;/validationMessage&gt;&lt;validationMessage code=&quot;msgQualifiersNameChanged&quot; severity=&quot;Critical&quot; category=&quot;Content&quot;&gt;&lt;title text=&quot;Qualifier name has been changed&quot; lcid=&quot;*&quot; /&gt;&lt;message text=&quot;The name(s) of the following qualifiers are changed: ? To update the name, use the Qualifier task pane and re-apply qualifiers.&quot; lcid=&quot;*&quot; /&gt;&lt;/validationMessage&gt;&lt;validationMessage code=&quot;msgSectorsInactive&quot; severity=&quot;Critical&quot; category=&quot;Content&quot;&gt;&lt;title text=&quot;Sector in the document is inactive&quot; lcid=&quot;*&quot; /&gt;&lt;message text=&quot;This recycled document cannot be submitted to workflow as it contains an invalid industry. Please copy the content into a newly created document and resubmit.&quot; lcid=&quot;*&quot; /&gt;&lt;/validationMessage&gt;&lt;validationMessage code=&quot;msgSectorLevelChanged&quot; severity=&quot;Critical&quot; category=&quot;Content&quot;&gt;&lt;title text=&quot;Sector level has been changed&quot; lcid=&quot;*&quot; /&gt;&lt;message text=&quot;This recycled document cannot be submitted to workflow as it contains an invalid industry. Please copy the content into a newly created document and resubmit.&quot; lcid=&quot;*&quot; /&gt;&lt;/validationMessage&gt;&lt;!--&lt;validationMessage code=&quot;msgEmptySummary&quot; severity=&quot;Warning&quot; category=&quot;Data&quot;&gt;_x000d__x000a_            &lt;title text=&quot;You must enter a summary of this report on the Summary tab.&quot; lcid=&quot;*&quot;/&gt;_x000d__x000a_            &lt;message text=&quot;The summary of your report appears on websites and in compilation reports, such as The Point. It should be a succinct summary of no more than two sentences or approximately 500 characters.&quot; lcid=&quot;*&quot;/&gt;_x000d__x000a_        &lt;/validationMessage&gt;--&gt;&lt;validationMessage code=&quot;msgEmailTextExceedsLimit&quot; severity=&quot;Critical&quot; category=&quot;Data&quot;&gt;&lt;title text=&quot;The email text exceeds 150 words.&quot; lcid=&quot;*&quot; /&gt;&lt;message text=&quot;The email text should not exceed 150 words.&quot; lcid=&quot;*&quot; /&gt;&lt;/validationMessage&gt;&lt;validationMessage code=&quot;msgEmailTextExceedsLimitJapLang&quot; severity=&quot;Critical&quot; category=&quot;Data&quot;&gt;&lt;title text=&quot;The email text exceeds 300 characters.&quot; lcid=&quot;*&quot; /&gt;&lt;message text=&quot;The email text should not exceed 300 characters.&quot; lcid=&quot;*&quot; /&gt;&lt;/validationMessage&gt;&lt;validationMessage code=&quot;msgMinEmailSummaryBullet&quot; severity=&quot;Critical&quot; category=&quot;Data&quot;&gt;&lt;title text=&quot;{0}&quot; lcid=&quot;*&quot; /&gt;&lt;message text=&quot;{0}&quot; lcid=&quot;*&quot; /&gt;&lt;/validationMessage&gt;&lt;validationMessage code=&quot;msgMaxEmailSummaryBullet&quot; severity=&quot;Critical&quot; category=&quot;Data&quot;&gt;&lt;title text=&quot;{0}&quot; lcid=&quot;*&quot; /&gt;&lt;message text=&quot;{0}&quot; lcid=&quot;*&quot; /&gt;&lt;/validationMessage&gt;&lt;validationMessage code=&quot;msgEmptySummaryEmail&quot; severity=&quot;Critical&quot; category=&quot;Data&quot;&gt;&lt;title text=&quot;You must enter summary text in the Email Text tab.&quot; lcid=&quot;*&quot; /&gt;&lt;message text=&quot;You must enter summary text in the Email Text tab.&quot; lcid=&quot;*&quot; /&gt;&lt;/validationMessage&gt;&lt;validationMessage code=&quot;msgMissingAuthorBlock&quot; severity=&quot;Critical&quot; category=&quot;Content&quot;&gt;&lt;title text=&quot;Author Block does not exist. Please create a new document.&quot; lcid=&quot;*&quot; /&gt;&lt;message text=&quot;Author Block does not exist. Please create a new document.&quot; lcid=&quot;*&quot; /&gt;&lt;/validationMessage&gt;&lt;validationMessage code=&quot;msgDocumentHyperlinks&quot; severity=&quot;Critical&quot; category=&quot;Content&quot;&gt;&lt;title text=&quot;Invalid URL found in hyperlinks&quot; lcid=&quot;*&quot; /&gt;&lt;message text=&quot;The below URLs are invalid. Please select the image hyperlink or text hyperlink, go to Insert -&amp;gt; Hyperlink, and make the correction. ?&quot; lcid=&quot;*&quot; /&gt;&lt;/validationMessage&gt;&lt;validationMessage code=&quot;msgMissingRatingBlock&quot; severity=&quot;Critical&quot; category=&quot;Content&quot;&gt;&lt;title text=&quot;Rating block cannot be found.&quot; lcid=&quot;*&quot; /&gt;&lt;message text=&quot;Rating block cannot be found. Document is possibly corrupted. Please contact your local Helpdesk for assistance.&quot; lcid=&quot;*&quot; /&gt;&lt;/validationMessage&gt;&lt;validationMessage code=&quot;msgMissingGICSPrimaryIndustryTag&quot; severity=&quot;Critical&quot; category=&quot;Data&quot;&gt;&lt;title text=&quot;A primary GICS sector is not tagged for distribution.&quot; lcid=&quot;*&quot; /&gt;&lt;message text=&quot;A primary GICS sector is not tagged for distribution. Please add a primary GICS industry via the Add Distribution Tab in Submission wizard.&quot; lcid=&quot;*&quot; /&gt;&lt;/validationMessage&gt;&lt;validationMessage code=&quot;msgCheckCompTableCompanySubmissionStatus&quot; severity=&quot;Warning&quot; category=&quot;Data&quot;&gt;&lt;title text=&quot;CompTable needs to be refreshed.&quot; lcid=&quot;*&quot; /&gt;&lt;message text=&quot;Submission status for the following comp table(s) has not been updated: ?. Please 'Refresh' Comp Tables in the document before submitting.&quot; lcid=&quot;*&quot; /&gt;&lt;/validationMessage&gt;&lt;validationMessage code=&quot;msgCheckCompaniesAgainstCompTables&quot; severity=&quot;Critical&quot; category=&quot;Data&quot;&gt;&lt;title text=&quot;A dataCentral company component cannot use both pending and published data.&quot; lcid=&quot;*&quot; /&gt;&lt;message text=&quot;Company - ? uses pending data in a comp table, company reference or narrative and published in the other or vice versa. Both components must use the same data status i.e. - both pending or both published.&quot; lcid=&quot;*&quot; /&gt;&lt;/validationMessage&gt;&lt;validationMessage code=&quot;msgAssetClassTypeInactive&quot; severity=&quot;Critical&quot; category=&quot;Content&quot;&gt;&lt;title text=&quot;Asset Class/Type in the document is inactive&quot; lcid=&quot;*&quot; /&gt;&lt;message text=&quot;The following Asset Class/Type are inactive: ? To remove inactive Asset Class/Type, go to Add Distribution Tags tab and remove item(s) under Asset Details.&quot; lcid=&quot;*&quot; /&gt;&lt;/validationMessage&gt;&lt;validationMessage code=&quot;msgAssetClassTypeNoEntry&quot; severity=&quot;Critical&quot; category=&quot;Content&quot;&gt;&lt;title text=&quot;Asset detail is not selected.&quot; lcid=&quot;*&quot; /&gt;&lt;message text=&quot;You must select at least one asset class or asset type under Asset Details in the &amp;quot;Add Distribution Tags&amp;quot; tab.&quot; lcid=&quot;*&quot; /&gt;&lt;/validationMessage&gt;&lt;validationMessage code=&quot;interactiveModelsNoLongerAvailable&quot; severity=&quot;Warning&quot; category=&quot;Content&quot;&gt;&lt;title text=&quot;Interactive model(s) in the document is no longer available.&quot; lcid=&quot;*&quot; /&gt;&lt;message text=&quot;The interactive model(s) for the following company(ies) is no longer available: ?. Any invalid model links must be deleted from the document before submission or check-in.&quot; lcid=&quot;*&quot; /&gt;&lt;/validationMessage&gt;&lt;validationMessage code=&quot;FPinteractiveModelNoLongerAvailable&quot; severity=&quot;Warning&quot; category=&quot;Content&quot;&gt;&lt;title text=&quot;The multimedia interactive model on page 1 is no longer available. &quot; lcid=&quot;*&quot; /&gt;&lt;message text=&quot;The interactive model for ? is no longer available. The interactive model has been deleted from the document.&quot; lcid=&quot;*&quot; /&gt;&lt;/validationMessage&gt;&lt;validationMessage code=&quot;msgComponentsInvalid&quot; severity=&quot;Critical&quot; category=&quot;Content&quot;&gt;&lt;title text=&quot;Multimedia component details are missing or have been removed&quot; lcid=&quot;*&quot; /&gt;&lt;message text=&quot;The following component detail are missing or removed from the HTML Display/Email Text tabs. Please go to the tab and review. ?&quot; lcid=&quot;*&quot; /&gt;&lt;/validationMessage&gt;&lt;validationMessage code=&quot;msgEmailFieldEmpty&quot; severity=&quot;Critical&quot; category=&quot;Content&quot;&gt;&lt;title text=&quot;Email Text tab fields are empty&quot; lcid=&quot;*&quot; /&gt;&lt;message text=&quot;Text is required for the subject field in the Email/Summary Text tab.&quot; lcid=&quot;*&quot; /&gt;&lt;/validationMessage&gt;&lt;validationMessage code=&quot;msgVideoTrefisComponentsExistInDocButNotSelectedInHTMLDisplay&quot; severity=&quot;Critical&quot; category=&quot;Data&quot;&gt;&lt;title text=&quot;Multimedia component details have been added.&quot; lcid=&quot;*&quot; /&gt;&lt;message text=&quot;A multimedia component has been added in the document, but the corresponding component is not selected in the “HTML Display” tab.&quot; lcid=&quot;*&quot; /&gt;&lt;/validationMessage&gt;&lt;validationMessage code=&quot;msgStatAbFinSummCompTableNoHTMLVersion&quot; severity=&quot;Warning&quot; category=&quot;Data&quot;&gt;&lt;title text=&quot;Stat abs/fin summ/comp table do not have associated HTML template.&quot; lcid=&quot;*&quot; /&gt;&lt;message text=&quot;The following stat abs/fin summ/comp table do not have associated HTML templates: ?&quot; lcid=&quot;*&quot; /&gt;&lt;/validationMessage&gt;&lt;ruleMessages&gt;&lt;ruleMessage ruleCode=&quot;ValidateIfAnalystIsEligible&quot; validationMessageCode=&quot;msgIfAnalystIsEligible&quot; userRole=&quot;-1&quot; /&gt;&lt;ruleMessage ruleCode=&quot;validateBulletsFitOnFirstPage&quot; validationMessageCode=&quot;bulletsNotOnFirstPage&quot; userRole=&quot;-1&quot; /&gt;&lt;ruleMessage ruleCode=&quot;validateDocumentHeaderLength&quot; validationMessageCode=&quot;documentHeaderLengthExceedsLimit&quot; userRole=&quot;-1&quot; /&gt;&lt;ruleMessage ruleCode=&quot;validateDocumentHeaderLengthForJapRegionEngLang&quot; validationMessageCode=&quot;documentHeaderLengthExceedsLimit&quot; userRole=&quot;-1&quot; /&gt;&lt;ruleMessage ruleCode=&quot;validateDocumentHeaderLengthForJapRegionJapLang&quot; validationMessageCode=&quot;documentHeaderLengthExceedsLimit&quot; userRole=&quot;-1&quot; /&gt;&lt;ruleMessage ruleCode=&quot;ValidateNumberOfRowsInAuthorBlock&quot; validationMessageCode=&quot;numOfRowsExceedsLimit&quot; userRole=&quot;-1&quot; /&gt;&lt;!-- &lt;ruleMessage ruleCode=&quot;validateNumberOfBullets&quot; validationMessageCode=&quot;numOfBulletsExceedsLimit&quot; userRole=&quot;-1&quot;/&gt; --&gt;&lt;ruleMessage ruleCode=&quot;validateNumberOfBulletsWithTable&quot; validationMessageCode=&quot;numOfBulletsExceedsLimitWithTable&quot; userRole=&quot;-1&quot; /&gt;&lt;ruleMessage ruleCode=&quot;validateNumberOfBulletsNoTable&quot; validationMessageCode=&quot;numOfBulletsExceedsLimitNoTable&quot; userRole=&quot;-1&quot; /&gt;&lt;ruleMessage ruleCode=&quot;ValidatePriceOverRideDateInFuture&quot; validationMessageCode=&quot;msgPriceOverrideDateIsAFutureDate&quot; userRole=&quot;-1&quot; /&gt;&lt;ruleMessage ruleCode=&quot;ValidatePriceOverRideDateTolerance&quot; validationMessageCode=&quot;msgPriceOverrideDateIsOld&quot; userRole=&quot;-1&quot; /&gt;&lt;ruleMessage ruleCode=&quot;ValidatePricingDateTolerance&quot; validationMessageCode=&quot;msgPricingDateIsOld&quot; userRole=&quot;-1&quot; /&gt;&lt;ruleMessage ruleCode=&quot;ValidateCompanySubmissionData&quot; validationMessageCode=&quot;msgCompanySubmissionData&quot; userRole=&quot;-1&quot; /&gt;&lt;ruleMessage ruleCode=&quot;ValidateSubmissionStatus&quot; validationMessageCode=&quot;msgSubmissionStatus&quot; userRole=&quot;-1&quot; /&gt;&lt;ruleMessage ruleCode=&quot;ValidatePublicationDate&quot; validationMessageCode=&quot;msgPublicationDateIsAPastDate&quot; userRole=&quot;-1&quot; /&gt;&lt;ruleMessage ruleCode=&quot;ValidateIfAnalystIsActive&quot; validationMessageCode=&quot;msgAnalystIsNotActive&quot; userRole=&quot;-1&quot; /&gt;&lt;ruleMessage ruleCode=&quot;ValidateIfAnalystCanAppearonReport&quot; validationMessageCode=&quot;msgCanAppearonReport&quot; userRole=&quot;-1&quot; /&gt;&lt;ruleMessage ruleCode=&quot;ValidateFrontPageTableDataForDepth&quot; validationMessageCode=&quot;msgFrontPageTable&quot; userRole=&quot;-1&quot; /&gt;&lt;!--Release 2--&gt;&lt;ruleMessage ruleCode=&quot;validateNumberOfPagesForFlash&quot; validationMessageCode=&quot;numOfPagesExceedLimit&quot; userRole=&quot;-1&quot; /&gt;&lt;ruleMessage ruleCode=&quot;ValidatePageHasChartOrTableForDepth&quot; validationMessageCode=&quot;msgFinancialSummaryTable&quot; userRole=&quot;-1&quot; /&gt;&lt;!--&lt;ruleMessage ruleCode=&quot;ValidateRestrictedCompany&quot; validationMessageCode=&quot;msgRestrictedCompany&quot; userRole=&quot;-1&quot;/&gt;--&gt;&lt;ruleMessage ruleCode=&quot;ValidateIfTableOfContentsExistsForDepth&quot; validationMessageCode=&quot;msgTableOfContentLimit&quot; userRole=&quot;-1&quot; /&gt;&lt;ruleMessage ruleCode=&quot;ValidateIfTableOfContentsExistsForJapRegionForDepth&quot; validationMessageCode=&quot;msgTableOfContentLimitForJapRegion&quot; userRole=&quot;-1&quot; /&gt;&lt;ruleMessage ruleCode=&quot;CheckTranslationDocumentAssociationWithOriginalDocument&quot; validationMessageCode=&quot;msgAssociateWithOriginalLanguageSubmission&quot; userRole=&quot;-1&quot; /&gt;&lt;ruleMessage ruleCode=&quot;CheckTranslationDocumentDataSubmissionID&quot; validationMessageCode=&quot;msgOriginalLanguageSubmissionIDNotExist&quot; userRole=&quot;-1&quot; /&gt;&lt;ruleMessage ruleCode=&quot;CheckAssociatedDocumentSubmissionStatus&quot; validationMessageCode=&quot;msgAssociateWithRejectedSubmission&quot; userRole=&quot;-1&quot; /&gt;&lt;ruleMessage ruleCode=&quot;CheckAssociatedDocumentForPendingStatus&quot; validationMessageCode=&quot;msgAssociateWithPendingSubmission&quot; userRole=&quot;-1&quot; /&gt;&lt;ruleMessage ruleCode=&quot;validateLinkedObjectTolerance&quot; validationMessageCode=&quot;msgNoofLinkedObjectsExceedTolerance&quot; userRole=&quot;-1&quot; /&gt;&lt;!-- CR6897 --&gt;&lt;ruleMessage ruleCode=&quot;CheckIfSameLanguageVariantExist&quot; validationMessageCode=&quot;msgSameLanguageVariantExist&quot; userRole=&quot;-1&quot; /&gt;&lt;!-- CR7817 --&gt;&lt;ruleMessage ruleCode=&quot;CheckNumberOfStockActions&quot; validationMessageCode=&quot;msgNumberOfStockActionsExceed&quot; userRole=&quot;-1&quot; /&gt;&lt;ruleMessage ruleCode=&quot;CheckDiscontinuingCoverageCombinedOther&quot; validationMessageCode=&quot;msgDiscontinuingCoverageCombinedOther&quot; userRole=&quot;-1&quot; /&gt;&lt;ruleMessage ruleCode=&quot;CheckQualifierInActive&quot; validationMessageCode=&quot;msgQualifiersInactive&quot; userRole=&quot;-1&quot; /&gt;&lt;ruleMessage ruleCode=&quot;CheckQualifierNameChanged&quot; validationMessageCode=&quot;msgQualifiersNameChanged&quot; userRole=&quot;-1&quot; /&gt;&lt;ruleMessage ruleCode=&quot;CheckSectorInActive&quot; validationMessageCode=&quot;msgSectorsInactive&quot; userRole=&quot;-1&quot; /&gt;&lt;ruleMessage ruleCode=&quot;CheckSectorLevelChanged&quot; validationMessageCode=&quot;msgSectorLevelChanged&quot; userRole=&quot;-1&quot; /&gt;&lt;!--&lt;ruleMessage ruleCode=&quot;validateIfSummaryIsNotEmpty&quot; validationMessageCode=&quot;msgEmptySummary&quot; userRole=&quot;-1&quot;/&gt;--&gt;&lt;ruleMessage ruleCode=&quot;validateIfEmailContentIsNotEmpty&quot; validationMessageCode=&quot;msgEmptySummaryEmail&quot; userRole=&quot;-1&quot; /&gt;&lt;ruleMessage ruleCode=&quot;validateIfEmailFieldsAreNotEmpty&quot; validationMessageCode=&quot;msgEmailFieldEmpty&quot; userRole=&quot;-1&quot; /&gt;&lt;ruleMessage ruleCode=&quot;validateIfComponentsValid&quot; validationMessageCode=&quot;msgComponentsInvalid&quot; userRole=&quot;-1&quot; /&gt;&lt;ruleMessage ruleCode=&quot;validateIfAuthorBlockExists&quot; validationMessageCode=&quot;msgMissingAuthorBlock&quot; userRole=&quot;-1&quot; /&gt;&lt;ruleMessage ruleCode=&quot;checkDocumentHyperlinks&quot; validationMessageCode=&quot;msgDocumentHyperlinks&quot; userRole=&quot;-1&quot; /&gt;&lt;ruleMessage ruleCode=&quot;validateIfRatingBlockExists&quot; validationMessageCode=&quot;msgMissingRatingBlock&quot; userRole=&quot;-1&quot; /&gt;&lt;ruleMessage ruleCode=&quot;validateIfGICSPrimaryIndustryTagExists&quot; validationMessageCode=&quot;msgMissingGICSPrimaryIndustryTag&quot; userRole=&quot;-1&quot; /&gt;&lt;ruleMessage ruleCode=&quot;CheckCompTableCompanySubmissionStatus&quot; validationMessageCode=&quot;msgCheckCompTableCompanySubmissionStatus&quot; userRole=&quot;-1&quot; /&gt;&lt;ruleMessage ruleCode=&quot;CheckCompaniesAgainstCompTablesSubmissionID&quot; validationMessageCode=&quot;msgCheckCompaniesAgainstCompTables&quot; userRole=&quot;-1&quot; /&gt;&lt;ruleMessage ruleCode=&quot;CheckAssetInactive&quot; validationMessageCode=&quot;msgAssetClassTypeInactive&quot; userRole=&quot;-1&quot; /&gt;&lt;ruleMessage ruleCode=&quot;CheckAssetHasEntry&quot; validationMessageCode=&quot;msgAssetClassTypeNoEntry&quot; userRole=&quot;-1&quot; /&gt;&lt;!--&lt;ruleMessage ruleCode=&quot;CheckIndustrySelection&quot; validationMessageCode=&quot;msgIndustryRequired&quot; userRole=&quot;-1&quot;/&gt;--&gt;&lt;ruleMessage ruleCode=&quot;CheckRegionsHasEntry&quot; validationMessageCode=&quot;msgRegionNoEntry&quot; userRole=&quot;-1&quot; /&gt;&lt;ruleMessage ruleCode=&quot;refreshCursorInteractiveModel&quot; validationMessageCode=&quot;interactiveModelsNoLongerAvailable&quot; userRole=&quot;-1&quot; /&gt;&lt;ruleMessage ruleCode=&quot;refreshFPInteractiveModel&quot; validationMessageCode=&quot;FPinteractiveModelNoLongerAvailable&quot; userRole=&quot;-1&quot; /&gt;&lt;ruleMessage ruleCode=&quot;validateIfHTMLDisplayComponentsAreSelected&quot; validationMessageCode=&quot;msgVideoTrefisComponentsExistInDocButNotSelectedInHTMLDisplay&quot; userRole=&quot;-1&quot; /&gt;&lt;ruleMessage ruleCode=&quot;validateIfStatAbFinSummCompTableHasHTMLVersion&quot; validationMessageCode=&quot;msgStatAbFinSummCompTableNoHTMLVersion&quot; userRole=&quot;-1&quot; /&gt;&lt;/ruleMessages&gt;&lt;dialog&gt;&lt;imageList&gt;&lt;image type=&quot;category&quot; value=&quot;Style&quot; path=&quot;|ERPIconDirectory|\category-style.bmp&quot; /&gt;&lt;image type=&quot;category&quot; value=&quot;Data&quot; path=&quot;|ERPIconDirectory|\category-data.bmp&quot; /&gt;&lt;image type=&quot;category&quot; value=&quot;*&quot; path=&quot;|ERPIconDirectory|\category-default.bmp&quot; /&gt;&lt;image type=&quot;severity&quot; value=&quot;Critical&quot; path=&quot;|ERPIconDirectory|\severity-critical.bmp&quot; /&gt;&lt;image type=&quot;severity&quot; value=&quot;Warning&quot; path=&quot;|ERPIconDirectory|\severity-warning.bmp&quot; /&gt;&lt;image type=&quot;severity&quot; value=&quot;Info&quot; path=&quot;|ERPIconDirectory|\severity-info.bmp&quot; /&gt;&lt;image type=&quot;severity&quot; value=&quot;*&quot; path=&quot;|ERPIconDirectory|\severity-default.bmp&quot; /&gt;&lt;image type=&quot;*&quot; value=&quot;*&quot; path=&quot;|ERPIconDirectory|\severity-default.bmp&quot; /&gt;&lt;/imageList&gt;&lt;nothingToDisplayList&gt;&lt;item lcid=&quot;*&quot; text=&quot;Nothing to display&quot; /&gt;&lt;/nothingToDisplayList&gt;&lt;/dialog&gt;&lt;validationMessage code=&quot;msgIndustryRequired&quot; severity=&quot;Critical&quot; category=&quot;Content&quot;&gt;&lt;title text=&quot;Primary Sector/Industry is required.&quot; lcid=&quot;*&quot; /&gt;&lt;message text=&quot;Atleast one primary sector/industry must be selected, go to Add Distribution Tags tab to select an primary sector/industry.&quot; lcid=&quot;*&quot; /&gt;&lt;/validationMessage&gt;&lt;validationMessage code=&quot;msgRegionNoEntry&quot; severity=&quot;Critical&quot; category=&quot;Content&quot;&gt;&lt;title text=&quot;Region is not selected.&quot; lcid=&quot;*&quot; /&gt;&lt;message text=&quot;You must select at least one region in the &amp;quot;Add Distribution Tags&amp;quot; tab.&quot; lcid=&quot;*&quot; /&gt;&lt;/validationMessage&gt;&lt;validationMessageInstances&gt;&lt;/validationMessageInstances&gt;&lt;/validationManager&gt;"/>
    <w:docVar w:name="ReportDate" w:val="DD MMM YYYY"/>
    <w:docVar w:name="ReportTitle" w:val="Report Title"/>
    <w:docVar w:name="ResearchType" w:val="Equity Research"/>
    <w:docVar w:name="TemplateName" w:val="CompanyInDepth"/>
  </w:docVars>
  <w:rsids>
    <w:rsidRoot w:val="007F3ED6"/>
    <w:rsid w:val="000956B7"/>
    <w:rsid w:val="00250139"/>
    <w:rsid w:val="006460EA"/>
    <w:rsid w:val="006C5B01"/>
    <w:rsid w:val="007F3ED6"/>
    <w:rsid w:val="00823674"/>
    <w:rsid w:val="00A0169C"/>
    <w:rsid w:val="00A039DE"/>
    <w:rsid w:val="00E93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tLeast"/>
    </w:pPr>
    <w:rPr>
      <w:rFonts w:ascii="Arial" w:hAnsi="Arial"/>
      <w:sz w:val="18"/>
    </w:rPr>
  </w:style>
  <w:style w:type="paragraph" w:styleId="Heading1">
    <w:name w:val="heading 1"/>
    <w:basedOn w:val="CIRMaster"/>
    <w:next w:val="CIRBodyText"/>
    <w:link w:val="Heading1Char"/>
    <w:qFormat/>
    <w:pPr>
      <w:keepNext/>
      <w:spacing w:before="240" w:after="155"/>
      <w:outlineLvl w:val="0"/>
    </w:pPr>
    <w:rPr>
      <w:rFonts w:cs="Arial Narrow"/>
      <w:b/>
      <w:bCs/>
      <w:sz w:val="30"/>
      <w:szCs w:val="32"/>
    </w:rPr>
  </w:style>
  <w:style w:type="paragraph" w:styleId="Heading2">
    <w:name w:val="heading 2"/>
    <w:basedOn w:val="CIRMaster"/>
    <w:next w:val="CIRBodyText"/>
    <w:link w:val="Heading2Char"/>
    <w:qFormat/>
    <w:pPr>
      <w:keepNext/>
      <w:spacing w:after="155"/>
      <w:outlineLvl w:val="1"/>
    </w:pPr>
    <w:rPr>
      <w:rFonts w:cs="Arial Narrow"/>
      <w:b/>
      <w:bCs/>
      <w:sz w:val="24"/>
      <w:szCs w:val="24"/>
    </w:rPr>
  </w:style>
  <w:style w:type="paragraph" w:styleId="Heading3">
    <w:name w:val="heading 3"/>
    <w:basedOn w:val="CIRMaster"/>
    <w:next w:val="CIRBodyText"/>
    <w:link w:val="Heading3Char"/>
    <w:qFormat/>
    <w:pPr>
      <w:keepNext/>
      <w:spacing w:after="155"/>
      <w:outlineLvl w:val="2"/>
    </w:pPr>
    <w:rPr>
      <w:b/>
      <w:bCs/>
      <w:sz w:val="20"/>
      <w:szCs w:val="20"/>
    </w:rPr>
  </w:style>
  <w:style w:type="paragraph" w:styleId="Heading4">
    <w:name w:val="heading 4"/>
    <w:basedOn w:val="CIRMaster"/>
    <w:next w:val="CIRBodyText"/>
    <w:link w:val="Heading4Char"/>
    <w:qFormat/>
    <w:pPr>
      <w:keepNext/>
      <w:spacing w:after="155"/>
      <w:outlineLvl w:val="3"/>
    </w:pPr>
    <w:rPr>
      <w:bCs/>
      <w:sz w:val="20"/>
      <w:szCs w:val="20"/>
    </w:rPr>
  </w:style>
  <w:style w:type="paragraph" w:styleId="Heading5">
    <w:name w:val="heading 5"/>
    <w:basedOn w:val="CIRMaster"/>
    <w:next w:val="CIRBodyText"/>
    <w:link w:val="Heading5Char"/>
    <w:qFormat/>
    <w:pPr>
      <w:spacing w:before="240" w:after="60"/>
      <w:outlineLvl w:val="4"/>
    </w:pPr>
    <w:rPr>
      <w:b/>
      <w:bCs/>
      <w:i/>
      <w:iCs/>
      <w:sz w:val="26"/>
      <w:szCs w:val="26"/>
    </w:rPr>
  </w:style>
  <w:style w:type="paragraph" w:styleId="Heading6">
    <w:name w:val="heading 6"/>
    <w:basedOn w:val="CIRMaster"/>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CIRMaster"/>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CIRMaster"/>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CIRMaster"/>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RMaster">
    <w:name w:val="CIR Master"/>
    <w:link w:val="CIRMasterChar"/>
    <w:pPr>
      <w:spacing w:after="0" w:line="240" w:lineRule="atLeast"/>
    </w:pPr>
    <w:rPr>
      <w:rFonts w:ascii="Arial" w:eastAsia="MS PGothic" w:hAnsi="Arial" w:cs="Arial"/>
      <w:kern w:val="18"/>
      <w:sz w:val="18"/>
      <w:szCs w:val="18"/>
    </w:rPr>
  </w:style>
  <w:style w:type="paragraph" w:customStyle="1" w:styleId="CIRAnalystCert">
    <w:name w:val="CIR Analyst Cert"/>
    <w:basedOn w:val="CIRDisclosureBlock"/>
    <w:next w:val="CIRDisclosureBlock"/>
    <w:rPr>
      <w:b/>
      <w:bCs/>
    </w:rPr>
  </w:style>
  <w:style w:type="paragraph" w:customStyle="1" w:styleId="CIRAnalystNote">
    <w:name w:val="CIR Analyst Note"/>
    <w:basedOn w:val="CIRMaster"/>
    <w:pPr>
      <w:spacing w:before="40" w:after="80"/>
      <w:ind w:right="-3528"/>
      <w:jc w:val="both"/>
    </w:pPr>
    <w:rPr>
      <w:rFonts w:ascii="Arial Narrow" w:hAnsi="Arial Narrow"/>
      <w:b/>
      <w:bCs/>
      <w:noProof/>
      <w:color w:val="002D72"/>
    </w:rPr>
  </w:style>
  <w:style w:type="paragraph" w:customStyle="1" w:styleId="CIRAuthorCity">
    <w:name w:val="CIR Author City"/>
    <w:basedOn w:val="CIRAuthorNamePrimary"/>
    <w:next w:val="CIRAuthorName"/>
    <w:rPr>
      <w:i/>
      <w:iCs/>
    </w:rPr>
  </w:style>
  <w:style w:type="paragraph" w:customStyle="1" w:styleId="CIRAuthorData">
    <w:name w:val="CIR Author Data"/>
    <w:basedOn w:val="CIRAuthorName"/>
    <w:pPr>
      <w:spacing w:before="0"/>
    </w:pPr>
    <w:rPr>
      <w:sz w:val="16"/>
      <w:szCs w:val="16"/>
    </w:rPr>
  </w:style>
  <w:style w:type="paragraph" w:customStyle="1" w:styleId="CIRAuthorName">
    <w:name w:val="CIR Author Name"/>
    <w:basedOn w:val="CIRMaster"/>
    <w:next w:val="CIRBodyText"/>
    <w:pPr>
      <w:spacing w:before="120" w:line="220" w:lineRule="atLeast"/>
    </w:pPr>
    <w:rPr>
      <w:rFonts w:ascii="Arial Narrow" w:hAnsi="Arial Narrow" w:cs="Arial Narrow"/>
      <w:noProof/>
    </w:rPr>
  </w:style>
  <w:style w:type="paragraph" w:customStyle="1" w:styleId="CIRAuthorNamePrimary">
    <w:name w:val="CIR Author Name Primary"/>
    <w:basedOn w:val="CIRAuthorName"/>
    <w:rPr>
      <w:b/>
      <w:bCs/>
    </w:rPr>
  </w:style>
  <w:style w:type="paragraph" w:customStyle="1" w:styleId="CIRAuthorRegionCountrySectorHeading">
    <w:name w:val="CIR Author Region/Country/Sector Heading"/>
    <w:basedOn w:val="CIRAuthorCity"/>
  </w:style>
  <w:style w:type="paragraph" w:customStyle="1" w:styleId="CIRAuthorTeamHeading">
    <w:name w:val="CIR Author Team Heading"/>
    <w:basedOn w:val="CIRAuthorNamePrimary"/>
  </w:style>
  <w:style w:type="paragraph" w:customStyle="1" w:styleId="CIRBannerText">
    <w:name w:val="CIR Banner Text"/>
    <w:basedOn w:val="CIRMaster"/>
    <w:next w:val="CIRBodyText"/>
    <w:pPr>
      <w:spacing w:before="440" w:after="180"/>
    </w:pPr>
    <w:rPr>
      <w:b/>
      <w:bCs/>
      <w:color w:val="FFFFFF"/>
      <w:sz w:val="28"/>
      <w:szCs w:val="28"/>
    </w:rPr>
  </w:style>
  <w:style w:type="paragraph" w:customStyle="1" w:styleId="CIRBodyText">
    <w:name w:val="CIR Body Text"/>
    <w:basedOn w:val="CIRMaster"/>
    <w:link w:val="CIRBodyTextChar"/>
    <w:qFormat/>
    <w:pPr>
      <w:spacing w:after="200"/>
    </w:pPr>
  </w:style>
  <w:style w:type="paragraph" w:customStyle="1" w:styleId="CIRBodyTextBold">
    <w:name w:val="CIR Body Text Bold"/>
    <w:basedOn w:val="CIRBodyText"/>
    <w:rPr>
      <w:rFonts w:ascii="Arial Narrow" w:hAnsi="Arial Narrow"/>
      <w:b/>
      <w:bCs/>
    </w:rPr>
  </w:style>
  <w:style w:type="numbering" w:customStyle="1" w:styleId="CIRBullets">
    <w:name w:val="CIR Bullets"/>
    <w:pPr>
      <w:numPr>
        <w:numId w:val="1"/>
      </w:numPr>
    </w:pPr>
  </w:style>
  <w:style w:type="paragraph" w:customStyle="1" w:styleId="CIRByline">
    <w:name w:val="CIR Byline"/>
    <w:basedOn w:val="CIRMaster"/>
    <w:pPr>
      <w:spacing w:after="200"/>
    </w:pPr>
    <w:rPr>
      <w:i/>
      <w:iCs/>
    </w:rPr>
  </w:style>
  <w:style w:type="paragraph" w:customStyle="1" w:styleId="CIRCaption">
    <w:name w:val="CIR Caption"/>
    <w:basedOn w:val="CIRMaster"/>
    <w:next w:val="CIRBodyText"/>
    <w:pPr>
      <w:keepNext/>
      <w:spacing w:before="60" w:after="120"/>
    </w:pPr>
    <w:rPr>
      <w:rFonts w:ascii="Arial Narrow" w:hAnsi="Arial Narrow" w:cs="Arial Narrow"/>
      <w:b/>
      <w:bCs/>
    </w:rPr>
  </w:style>
  <w:style w:type="paragraph" w:customStyle="1" w:styleId="CIRCaptionLinked">
    <w:name w:val="CIR Caption Linked"/>
    <w:basedOn w:val="CIRCaption"/>
    <w:next w:val="CIRFigure"/>
    <w:pPr>
      <w:pBdr>
        <w:top w:val="single" w:sz="24" w:space="3" w:color="002D72"/>
      </w:pBdr>
      <w:spacing w:before="0"/>
    </w:pPr>
  </w:style>
  <w:style w:type="paragraph" w:customStyle="1" w:styleId="CIRChapter">
    <w:name w:val="CIR Chapter"/>
    <w:basedOn w:val="CIRMaster"/>
    <w:next w:val="CIRBodyText"/>
    <w:pPr>
      <w:keepNext/>
      <w:pageBreakBefore/>
      <w:framePr w:w="6696" w:wrap="around" w:vAnchor="page" w:hAnchor="text" w:y="1196" w:anchorLock="1"/>
      <w:spacing w:after="60"/>
      <w:outlineLvl w:val="0"/>
    </w:pPr>
    <w:rPr>
      <w:rFonts w:ascii="Arial Narrow" w:hAnsi="Arial Narrow" w:cs="Arial Narrow"/>
      <w:b/>
      <w:bCs/>
      <w:sz w:val="38"/>
      <w:szCs w:val="40"/>
    </w:rPr>
  </w:style>
  <w:style w:type="paragraph" w:customStyle="1" w:styleId="CIRChapterCont">
    <w:name w:val="CIR Chapter Cont"/>
    <w:basedOn w:val="CIRChapter"/>
    <w:next w:val="CIRBodyText"/>
    <w:pPr>
      <w:framePr w:wrap="around"/>
      <w:outlineLvl w:val="9"/>
    </w:pPr>
    <w:rPr>
      <w:szCs w:val="38"/>
    </w:rPr>
  </w:style>
  <w:style w:type="paragraph" w:customStyle="1" w:styleId="CIRCompanyHeadline">
    <w:name w:val="CIR Company Headline"/>
    <w:basedOn w:val="CIRMaster"/>
    <w:next w:val="CIRBodyText"/>
    <w:pPr>
      <w:spacing w:after="240"/>
    </w:pPr>
    <w:rPr>
      <w:b/>
      <w:bCs/>
    </w:rPr>
  </w:style>
  <w:style w:type="paragraph" w:customStyle="1" w:styleId="CIRCompanyName">
    <w:name w:val="CIR Company Name"/>
    <w:basedOn w:val="CIRMaster"/>
    <w:pPr>
      <w:spacing w:after="120"/>
    </w:pPr>
    <w:rPr>
      <w:b/>
      <w:bCs/>
      <w:color w:val="002D72"/>
      <w:sz w:val="32"/>
      <w:szCs w:val="32"/>
    </w:rPr>
  </w:style>
  <w:style w:type="paragraph" w:customStyle="1" w:styleId="CIRDate">
    <w:name w:val="CIR Date"/>
    <w:basedOn w:val="CIRMaster"/>
    <w:next w:val="CIRBodyText"/>
    <w:pPr>
      <w:tabs>
        <w:tab w:val="right" w:pos="10224"/>
      </w:tabs>
      <w:ind w:right="-3528"/>
    </w:pPr>
  </w:style>
  <w:style w:type="paragraph" w:customStyle="1" w:styleId="CIRDepartment">
    <w:name w:val="CIR Department"/>
    <w:basedOn w:val="CIRSub-brandingLabel"/>
    <w:pPr>
      <w:spacing w:before="96" w:after="160" w:line="240" w:lineRule="auto"/>
    </w:pPr>
    <w:rPr>
      <w:b/>
      <w:sz w:val="22"/>
    </w:rPr>
  </w:style>
  <w:style w:type="paragraph" w:customStyle="1" w:styleId="CIRDisclosureBlock">
    <w:name w:val="CIR Disclosure Block"/>
    <w:basedOn w:val="CIRMaster"/>
    <w:pPr>
      <w:spacing w:after="60" w:line="240" w:lineRule="auto"/>
    </w:pPr>
    <w:rPr>
      <w:rFonts w:ascii="Arial Narrow" w:hAnsi="Arial Narrow"/>
      <w:szCs w:val="17"/>
    </w:rPr>
  </w:style>
  <w:style w:type="paragraph" w:customStyle="1" w:styleId="CIRDisclosureBlockHeading">
    <w:name w:val="CIR Disclosure Block Heading"/>
    <w:basedOn w:val="CIRMaster"/>
    <w:next w:val="CIRDisclosureBlock"/>
    <w:pPr>
      <w:keepNext/>
      <w:spacing w:after="155"/>
    </w:pPr>
    <w:rPr>
      <w:b/>
      <w:bCs/>
      <w:caps/>
      <w:sz w:val="24"/>
      <w:szCs w:val="24"/>
    </w:rPr>
  </w:style>
  <w:style w:type="paragraph" w:customStyle="1" w:styleId="CIRDisclosureSubtitle">
    <w:name w:val="CIR Disclosure Subtitle"/>
    <w:basedOn w:val="CIRMaster"/>
    <w:pPr>
      <w:keepNext/>
      <w:spacing w:before="60" w:after="120"/>
    </w:pPr>
    <w:rPr>
      <w:rFonts w:ascii="Arial Narrow" w:hAnsi="Arial Narrow" w:cs="Arial Narrow"/>
      <w:b/>
      <w:bCs/>
    </w:rPr>
  </w:style>
  <w:style w:type="paragraph" w:customStyle="1" w:styleId="CIRDivider">
    <w:name w:val="CIR Divider"/>
    <w:basedOn w:val="CIRChapter"/>
    <w:next w:val="CIRChapter"/>
    <w:pPr>
      <w:framePr w:w="0" w:wrap="auto" w:vAnchor="margin" w:yAlign="inline"/>
      <w:pBdr>
        <w:top w:val="single" w:sz="24" w:space="12" w:color="002D72"/>
        <w:bottom w:val="single" w:sz="8" w:space="24" w:color="002D72"/>
      </w:pBdr>
      <w:spacing w:before="4320"/>
      <w:ind w:left="-1800" w:right="1800"/>
      <w:jc w:val="center"/>
    </w:pPr>
    <w:rPr>
      <w:sz w:val="52"/>
      <w:szCs w:val="52"/>
    </w:rPr>
  </w:style>
  <w:style w:type="paragraph" w:customStyle="1" w:styleId="CIRFigure">
    <w:name w:val="CIR Figure"/>
    <w:basedOn w:val="CIRMaster"/>
    <w:next w:val="CIRBodyText"/>
    <w:pPr>
      <w:keepNext/>
      <w:jc w:val="center"/>
    </w:pPr>
    <w:rPr>
      <w:rFonts w:ascii="Arial Narrow" w:hAnsi="Arial Narrow" w:cs="Arial Narrow"/>
    </w:rPr>
  </w:style>
  <w:style w:type="paragraph" w:customStyle="1" w:styleId="CIRFooter">
    <w:name w:val="CIR Footer"/>
    <w:basedOn w:val="CIRMaster"/>
    <w:pPr>
      <w:tabs>
        <w:tab w:val="right" w:pos="10080"/>
      </w:tabs>
      <w:jc w:val="right"/>
    </w:pPr>
    <w:rPr>
      <w:b/>
      <w:noProof/>
      <w:szCs w:val="24"/>
    </w:rPr>
  </w:style>
  <w:style w:type="paragraph" w:customStyle="1" w:styleId="CIRFooterFirstPage">
    <w:name w:val="CIR Footer First Page"/>
    <w:basedOn w:val="CIRFooter"/>
    <w:pPr>
      <w:tabs>
        <w:tab w:val="clear" w:pos="10080"/>
      </w:tabs>
      <w:ind w:left="3456" w:right="-3528"/>
    </w:pPr>
  </w:style>
  <w:style w:type="paragraph" w:customStyle="1" w:styleId="CIRFooterLastPage">
    <w:name w:val="CIR Footer Last Page"/>
    <w:basedOn w:val="CIRFooter"/>
    <w:pPr>
      <w:jc w:val="left"/>
    </w:pPr>
  </w:style>
  <w:style w:type="character" w:customStyle="1" w:styleId="CIRFPBanner">
    <w:name w:val="CIR FP Banner"/>
    <w:basedOn w:val="DefaultParagraphFont"/>
    <w:rPr>
      <w:b/>
    </w:rPr>
  </w:style>
  <w:style w:type="paragraph" w:customStyle="1" w:styleId="CIRFPBullet">
    <w:name w:val="CIR FP Bullet"/>
    <w:basedOn w:val="CIRMaster"/>
    <w:pPr>
      <w:numPr>
        <w:numId w:val="13"/>
      </w:numPr>
      <w:spacing w:after="200"/>
      <w:jc w:val="both"/>
    </w:pPr>
  </w:style>
  <w:style w:type="paragraph" w:customStyle="1" w:styleId="CIRFPBulletLevel2">
    <w:name w:val="CIR FP Bullet Level 2"/>
    <w:basedOn w:val="CIRTextBulletLevel2"/>
    <w:pPr>
      <w:numPr>
        <w:numId w:val="13"/>
      </w:numPr>
      <w:jc w:val="both"/>
    </w:pPr>
  </w:style>
  <w:style w:type="numbering" w:customStyle="1" w:styleId="CIRFPBullets">
    <w:name w:val="CIR FP Bullets"/>
    <w:basedOn w:val="NoList"/>
    <w:pPr>
      <w:numPr>
        <w:numId w:val="2"/>
      </w:numPr>
    </w:pPr>
  </w:style>
  <w:style w:type="paragraph" w:customStyle="1" w:styleId="CIRFPDisclosure">
    <w:name w:val="CIR FP Disclosure"/>
    <w:basedOn w:val="CIRFooter"/>
    <w:pPr>
      <w:spacing w:line="180" w:lineRule="exact"/>
      <w:ind w:right="-3528"/>
      <w:jc w:val="both"/>
    </w:pPr>
    <w:rPr>
      <w:rFonts w:ascii="Arial Narrow" w:hAnsi="Arial Narrow" w:cs="Arial Narrow"/>
      <w:b w:val="0"/>
      <w:spacing w:val="-4"/>
      <w:szCs w:val="18"/>
    </w:rPr>
  </w:style>
  <w:style w:type="paragraph" w:customStyle="1" w:styleId="CIRFPText">
    <w:name w:val="CIR FP Text"/>
    <w:basedOn w:val="CIRMaster"/>
    <w:pPr>
      <w:jc w:val="both"/>
    </w:pPr>
  </w:style>
  <w:style w:type="paragraph" w:customStyle="1" w:styleId="CIRHeader">
    <w:name w:val="CIR Header"/>
    <w:basedOn w:val="CIRMaster"/>
    <w:pPr>
      <w:tabs>
        <w:tab w:val="left" w:pos="72"/>
        <w:tab w:val="center" w:pos="4320"/>
        <w:tab w:val="right" w:pos="8640"/>
      </w:tabs>
      <w:spacing w:line="240" w:lineRule="auto"/>
    </w:pPr>
    <w:rPr>
      <w:sz w:val="16"/>
    </w:rPr>
  </w:style>
  <w:style w:type="paragraph" w:customStyle="1" w:styleId="CIRHeadline">
    <w:name w:val="CIR Headline"/>
    <w:basedOn w:val="CIRTitle"/>
    <w:next w:val="CIRFPBullet"/>
    <w:pPr>
      <w:spacing w:before="120" w:after="160"/>
    </w:pPr>
    <w:rPr>
      <w:sz w:val="26"/>
      <w:szCs w:val="28"/>
    </w:rPr>
  </w:style>
  <w:style w:type="paragraph" w:customStyle="1" w:styleId="CIRIndustrySector">
    <w:name w:val="CIR IndustrySector"/>
    <w:basedOn w:val="CIRDate"/>
    <w:next w:val="CIRBodyText"/>
    <w:rPr>
      <w:bCs/>
    </w:rPr>
  </w:style>
  <w:style w:type="paragraph" w:customStyle="1" w:styleId="CIRNumberedList">
    <w:name w:val="CIR Numbered List"/>
    <w:basedOn w:val="CIRMaster"/>
    <w:pPr>
      <w:numPr>
        <w:numId w:val="14"/>
      </w:numPr>
      <w:spacing w:after="200"/>
    </w:pPr>
    <w:rPr>
      <w:szCs w:val="19"/>
    </w:rPr>
  </w:style>
  <w:style w:type="paragraph" w:customStyle="1" w:styleId="CIRQualifierActive">
    <w:name w:val="CIR Qualifier Active"/>
    <w:basedOn w:val="CIRMaster"/>
    <w:pPr>
      <w:numPr>
        <w:numId w:val="15"/>
      </w:numPr>
      <w:spacing w:line="200" w:lineRule="exact"/>
    </w:pPr>
    <w:rPr>
      <w:rFonts w:ascii="Arial Narrow" w:hAnsi="Arial Narrow"/>
      <w:b/>
      <w:bCs/>
      <w:color w:val="002D72"/>
      <w:sz w:val="16"/>
      <w:szCs w:val="16"/>
    </w:rPr>
  </w:style>
  <w:style w:type="paragraph" w:customStyle="1" w:styleId="CIRRating">
    <w:name w:val="CIR Rating"/>
    <w:basedOn w:val="CIRMaster"/>
    <w:rPr>
      <w:rFonts w:ascii="Arial Narrow" w:hAnsi="Arial Narrow" w:cs="Arial Narrow"/>
      <w:szCs w:val="19"/>
    </w:rPr>
  </w:style>
  <w:style w:type="paragraph" w:customStyle="1" w:styleId="CIRRatinglastrow">
    <w:name w:val="CIR Rating last row"/>
    <w:basedOn w:val="CIRRating"/>
    <w:pPr>
      <w:spacing w:after="60"/>
    </w:pPr>
  </w:style>
  <w:style w:type="paragraph" w:customStyle="1" w:styleId="CIRRatingLineAbove">
    <w:name w:val="CIR Rating Line Above"/>
    <w:basedOn w:val="CIRRating"/>
    <w:pPr>
      <w:pBdr>
        <w:top w:val="single" w:sz="8" w:space="1" w:color="002D72"/>
      </w:pBdr>
      <w:jc w:val="right"/>
    </w:pPr>
    <w:rPr>
      <w:b/>
      <w:bCs/>
    </w:rPr>
  </w:style>
  <w:style w:type="paragraph" w:customStyle="1" w:styleId="CIRRatingPrevious">
    <w:name w:val="CIR Rating Previous"/>
    <w:basedOn w:val="CIRRating"/>
    <w:pPr>
      <w:ind w:left="288"/>
    </w:pPr>
  </w:style>
  <w:style w:type="paragraph" w:customStyle="1" w:styleId="CIRRatingTitle">
    <w:name w:val="CIR Rating Title"/>
    <w:basedOn w:val="CIRRating"/>
    <w:pPr>
      <w:spacing w:before="60"/>
    </w:pPr>
    <w:rPr>
      <w:b/>
      <w:bCs/>
    </w:rPr>
  </w:style>
  <w:style w:type="paragraph" w:customStyle="1" w:styleId="CIRRegionCountry">
    <w:name w:val="CIR RegionCountry"/>
    <w:basedOn w:val="CIRMaster"/>
    <w:next w:val="CIRBodyText"/>
    <w:pPr>
      <w:spacing w:after="240"/>
      <w:ind w:right="-3528"/>
      <w:jc w:val="right"/>
    </w:pPr>
    <w:rPr>
      <w:b/>
      <w:szCs w:val="19"/>
    </w:rPr>
  </w:style>
  <w:style w:type="paragraph" w:customStyle="1" w:styleId="CIRSideComment">
    <w:name w:val="CIR Side Comment"/>
    <w:basedOn w:val="CIRMaster"/>
    <w:next w:val="CIRBodyText"/>
    <w:pPr>
      <w:framePr w:w="3168" w:hSpace="187" w:vSpace="187" w:wrap="auto" w:vAnchor="text" w:hAnchor="page" w:x="1009" w:y="1"/>
      <w:spacing w:after="240"/>
    </w:pPr>
    <w:rPr>
      <w:b/>
      <w:color w:val="002D72"/>
      <w:sz w:val="16"/>
      <w:szCs w:val="16"/>
    </w:rPr>
  </w:style>
  <w:style w:type="paragraph" w:customStyle="1" w:styleId="CIRSourceNote">
    <w:name w:val="CIR Source Note"/>
    <w:basedOn w:val="CIRMaster"/>
    <w:next w:val="CIRBodyText"/>
    <w:pPr>
      <w:spacing w:before="60" w:after="60" w:line="240" w:lineRule="auto"/>
    </w:pPr>
    <w:rPr>
      <w:rFonts w:ascii="Arial Narrow" w:hAnsi="Arial Narrow" w:cs="Arial Narrow"/>
      <w:sz w:val="16"/>
      <w:szCs w:val="16"/>
    </w:rPr>
  </w:style>
  <w:style w:type="paragraph" w:customStyle="1" w:styleId="CIRSourceNoteLinked">
    <w:name w:val="CIR Source Note Linked"/>
    <w:basedOn w:val="CIRSourceNote"/>
    <w:next w:val="CIRBodyText"/>
    <w:pPr>
      <w:pBdr>
        <w:bottom w:val="single" w:sz="8" w:space="4" w:color="002D72"/>
      </w:pBdr>
      <w:spacing w:after="180"/>
    </w:pPr>
  </w:style>
  <w:style w:type="paragraph" w:customStyle="1" w:styleId="CIRSubCaption">
    <w:name w:val="CIR Sub Caption"/>
    <w:basedOn w:val="CIRCaption"/>
    <w:pPr>
      <w:spacing w:before="0"/>
    </w:pPr>
    <w:rPr>
      <w:b w:val="0"/>
      <w:szCs w:val="19"/>
    </w:rPr>
  </w:style>
  <w:style w:type="paragraph" w:customStyle="1" w:styleId="CIRSubHeadline">
    <w:name w:val="CIR Sub Headline"/>
    <w:basedOn w:val="CIRHeadline"/>
    <w:pPr>
      <w:spacing w:after="0"/>
    </w:pPr>
    <w:rPr>
      <w:rFonts w:cs="Times New Roman"/>
      <w:b w:val="0"/>
      <w:szCs w:val="26"/>
    </w:rPr>
  </w:style>
  <w:style w:type="paragraph" w:customStyle="1" w:styleId="CIRSub-brandingLabel">
    <w:name w:val="CIR Sub-branding Label"/>
    <w:basedOn w:val="CIRMaster"/>
    <w:pPr>
      <w:jc w:val="right"/>
    </w:pPr>
    <w:rPr>
      <w:color w:val="FFFFFF"/>
      <w:sz w:val="28"/>
      <w:szCs w:val="24"/>
    </w:rPr>
  </w:style>
  <w:style w:type="character" w:customStyle="1" w:styleId="CIRSuperscript">
    <w:name w:val="CIR Superscript"/>
    <w:basedOn w:val="DefaultParagraphFont"/>
    <w:uiPriority w:val="1"/>
    <w:rPr>
      <w:vertAlign w:val="superscript"/>
    </w:rPr>
  </w:style>
  <w:style w:type="table" w:customStyle="1" w:styleId="CIRTable">
    <w:name w:val="CIR Table"/>
    <w:basedOn w:val="CIRTableNoLines"/>
    <w:pPr>
      <w:spacing w:line="160" w:lineRule="atLeast"/>
    </w:pPr>
    <w:rPr>
      <w:rFonts w:eastAsia="MS PGothic" w:cs="Arial Narrow"/>
      <w:sz w:val="20"/>
      <w:szCs w:val="20"/>
      <w:lang w:eastAsia="zh-TW"/>
    </w:rPr>
    <w:tblPr>
      <w:tblInd w:w="0" w:type="dxa"/>
      <w:tblBorders>
        <w:top w:val="single" w:sz="24" w:space="0" w:color="002D72"/>
        <w:bottom w:val="single" w:sz="8" w:space="0" w:color="002D72"/>
      </w:tblBorders>
      <w:tblCellMar>
        <w:top w:w="0" w:type="dxa"/>
        <w:left w:w="0" w:type="dxa"/>
        <w:bottom w:w="0" w:type="dxa"/>
        <w:right w:w="0" w:type="dxa"/>
      </w:tblCellMar>
    </w:tblPr>
    <w:tcPr>
      <w:shd w:val="clear" w:color="auto" w:fill="auto"/>
    </w:tcPr>
    <w:tblStylePr w:type="firstRow">
      <w:tblPr/>
      <w:tcPr>
        <w:tcBorders>
          <w:top w:val="single" w:sz="24" w:space="0" w:color="002D72"/>
          <w:left w:val="nil"/>
          <w:bottom w:val="nil"/>
          <w:right w:val="nil"/>
          <w:insideH w:val="nil"/>
          <w:insideV w:val="nil"/>
          <w:tl2br w:val="nil"/>
          <w:tr2bl w:val="nil"/>
        </w:tcBorders>
      </w:tcPr>
    </w:tblStylePr>
    <w:tblStylePr w:type="lastRow">
      <w:pPr>
        <w:wordWrap/>
        <w:spacing w:afterLines="30" w:after="0" w:afterAutospacing="0"/>
      </w:pPr>
      <w:rPr>
        <w:sz w:val="16"/>
        <w:szCs w:val="16"/>
      </w:rPr>
      <w:tblPr/>
      <w:tcPr>
        <w:tcBorders>
          <w:top w:val="nil"/>
          <w:left w:val="nil"/>
          <w:bottom w:val="single" w:sz="8" w:space="0" w:color="002D72"/>
          <w:right w:val="nil"/>
          <w:insideH w:val="nil"/>
          <w:insideV w:val="nil"/>
          <w:tl2br w:val="nil"/>
          <w:tr2bl w:val="nil"/>
        </w:tcBorders>
        <w:tcMar>
          <w:top w:w="0" w:type="dxa"/>
          <w:left w:w="0" w:type="nil"/>
          <w:bottom w:w="0" w:type="dxa"/>
          <w:right w:w="0" w:type="nil"/>
        </w:tcMar>
      </w:tcPr>
    </w:tblStylePr>
  </w:style>
  <w:style w:type="table" w:customStyle="1" w:styleId="CIRTableNoLines">
    <w:name w:val="CIR Table No Lines"/>
    <w:basedOn w:val="TableNormal"/>
    <w:pPr>
      <w:spacing w:after="0" w:line="160" w:lineRule="exact"/>
    </w:pPr>
    <w:rPr>
      <w:rFonts w:ascii="Arial Narrow" w:eastAsia="MS Mincho" w:hAnsi="Arial Narrow" w:cs="Times New Roman"/>
      <w:kern w:val="18"/>
      <w:sz w:val="16"/>
      <w:szCs w:val="16"/>
    </w:rPr>
    <w:tblPr>
      <w:tblInd w:w="0" w:type="dxa"/>
      <w:tblCellMar>
        <w:top w:w="0" w:type="dxa"/>
        <w:left w:w="0" w:type="dxa"/>
        <w:bottom w:w="0" w:type="dxa"/>
        <w:right w:w="0" w:type="dxa"/>
      </w:tblCellMar>
    </w:tblPr>
    <w:tblStylePr w:type="firstRow">
      <w:tblPr/>
      <w:tcPr>
        <w:tcBorders>
          <w:top w:val="nil"/>
          <w:left w:val="nil"/>
          <w:bottom w:val="nil"/>
          <w:right w:val="nil"/>
          <w:insideH w:val="nil"/>
          <w:insideV w:val="nil"/>
          <w:tl2br w:val="nil"/>
          <w:tr2bl w:val="nil"/>
        </w:tcBorders>
      </w:tcPr>
    </w:tblStylePr>
    <w:tblStylePr w:type="lastRow">
      <w:pPr>
        <w:wordWrap/>
        <w:spacing w:afterLines="0" w:after="0" w:afterAutospacing="0"/>
      </w:pPr>
      <w:tblPr/>
      <w:tcPr>
        <w:tcBorders>
          <w:top w:val="nil"/>
          <w:left w:val="nil"/>
          <w:bottom w:val="nil"/>
          <w:right w:val="nil"/>
          <w:insideH w:val="nil"/>
          <w:insideV w:val="nil"/>
          <w:tl2br w:val="nil"/>
          <w:tr2bl w:val="nil"/>
        </w:tcBorders>
      </w:tcPr>
    </w:tblStylePr>
  </w:style>
  <w:style w:type="table" w:customStyle="1" w:styleId="CIRTableTopBorder">
    <w:name w:val="CIR Table Top Border"/>
    <w:basedOn w:val="CIRTable"/>
    <w:tblPr>
      <w:tblInd w:w="0" w:type="dxa"/>
      <w:tblBorders>
        <w:top w:val="single" w:sz="24" w:space="0" w:color="002D72"/>
      </w:tblBorders>
      <w:tblCellMar>
        <w:top w:w="0" w:type="dxa"/>
        <w:left w:w="0" w:type="dxa"/>
        <w:bottom w:w="0" w:type="dxa"/>
        <w:right w:w="0" w:type="dxa"/>
      </w:tblCellMar>
    </w:tblPr>
    <w:tcPr>
      <w:shd w:val="clear" w:color="auto" w:fill="auto"/>
    </w:tcPr>
    <w:tblStylePr w:type="firstRow">
      <w:tblPr/>
      <w:tcPr>
        <w:tcBorders>
          <w:top w:val="single" w:sz="24" w:space="0" w:color="002D72"/>
          <w:left w:val="nil"/>
          <w:bottom w:val="nil"/>
          <w:right w:val="nil"/>
          <w:insideH w:val="nil"/>
          <w:insideV w:val="nil"/>
          <w:tl2br w:val="nil"/>
          <w:tr2bl w:val="nil"/>
        </w:tcBorders>
      </w:tcPr>
    </w:tblStylePr>
    <w:tblStylePr w:type="lastRow">
      <w:pPr>
        <w:wordWrap/>
        <w:spacing w:afterLines="30" w:after="30" w:afterAutospacing="0"/>
      </w:pPr>
      <w:rPr>
        <w:sz w:val="16"/>
        <w:szCs w:val="16"/>
      </w:rPr>
      <w:tblPr/>
      <w:tcPr>
        <w:tcBorders>
          <w:top w:val="nil"/>
          <w:left w:val="nil"/>
          <w:bottom w:val="single" w:sz="8" w:space="0" w:color="002D72"/>
          <w:right w:val="nil"/>
          <w:insideH w:val="nil"/>
          <w:insideV w:val="nil"/>
          <w:tl2br w:val="nil"/>
          <w:tr2bl w:val="nil"/>
        </w:tcBorders>
        <w:tcMar>
          <w:top w:w="115" w:type="dxa"/>
          <w:left w:w="0" w:type="nil"/>
          <w:bottom w:w="0" w:type="nil"/>
          <w:right w:w="0" w:type="nil"/>
        </w:tcMar>
      </w:tcPr>
    </w:tblStylePr>
  </w:style>
  <w:style w:type="paragraph" w:customStyle="1" w:styleId="CIRT-Bullet">
    <w:name w:val="CIR T-Bullet"/>
    <w:basedOn w:val="CIRT-Left"/>
    <w:pPr>
      <w:numPr>
        <w:numId w:val="16"/>
      </w:numPr>
    </w:pPr>
  </w:style>
  <w:style w:type="paragraph" w:customStyle="1" w:styleId="CIRT-Center">
    <w:name w:val="CIR T-Center"/>
    <w:basedOn w:val="CIRT-Left"/>
    <w:pPr>
      <w:jc w:val="center"/>
    </w:pPr>
  </w:style>
  <w:style w:type="paragraph" w:customStyle="1" w:styleId="CIRT-CenterBold">
    <w:name w:val="CIR T-Center Bold"/>
    <w:basedOn w:val="CIRT-Center"/>
    <w:pPr>
      <w:spacing w:before="60"/>
    </w:pPr>
    <w:rPr>
      <w:b/>
      <w:bCs/>
    </w:rPr>
  </w:style>
  <w:style w:type="paragraph" w:customStyle="1" w:styleId="CIRT-CenterBoldMerged">
    <w:name w:val="CIR T-Center Bold Merged"/>
    <w:basedOn w:val="CIRT-CenterBold"/>
    <w:pPr>
      <w:pBdr>
        <w:bottom w:val="single" w:sz="6" w:space="0" w:color="002D72"/>
      </w:pBdr>
      <w:ind w:left="230" w:right="58"/>
    </w:pPr>
  </w:style>
  <w:style w:type="paragraph" w:customStyle="1" w:styleId="CIRTextBullet">
    <w:name w:val="CIR Text Bullet"/>
    <w:basedOn w:val="CIRBodyText"/>
    <w:pPr>
      <w:numPr>
        <w:numId w:val="18"/>
      </w:numPr>
    </w:pPr>
    <w:rPr>
      <w:szCs w:val="19"/>
    </w:rPr>
  </w:style>
  <w:style w:type="paragraph" w:customStyle="1" w:styleId="CIRTextBulletLevel2">
    <w:name w:val="CIR Text Bullet Level 2"/>
    <w:basedOn w:val="CIRMaster"/>
    <w:pPr>
      <w:numPr>
        <w:ilvl w:val="1"/>
        <w:numId w:val="18"/>
      </w:numPr>
      <w:spacing w:after="200"/>
    </w:pPr>
    <w:rPr>
      <w:szCs w:val="19"/>
    </w:rPr>
  </w:style>
  <w:style w:type="paragraph" w:customStyle="1" w:styleId="CIRTitle">
    <w:name w:val="CIR Title"/>
    <w:basedOn w:val="CIRMaster"/>
    <w:pPr>
      <w:outlineLvl w:val="0"/>
    </w:pPr>
    <w:rPr>
      <w:rFonts w:ascii="Arial Narrow" w:hAnsi="Arial Narrow" w:cs="Arial Narrow"/>
      <w:b/>
      <w:bCs/>
      <w:color w:val="002D72"/>
      <w:sz w:val="38"/>
      <w:szCs w:val="40"/>
    </w:rPr>
  </w:style>
  <w:style w:type="paragraph" w:customStyle="1" w:styleId="CIRT-Left">
    <w:name w:val="CIR T-Left"/>
    <w:basedOn w:val="CIRMaster"/>
    <w:pPr>
      <w:keepNext/>
      <w:spacing w:before="40" w:line="160" w:lineRule="exact"/>
    </w:pPr>
    <w:rPr>
      <w:rFonts w:ascii="Arial Narrow" w:hAnsi="Arial Narrow" w:cs="Arial Narrow"/>
      <w:sz w:val="16"/>
      <w:szCs w:val="16"/>
    </w:rPr>
  </w:style>
  <w:style w:type="paragraph" w:customStyle="1" w:styleId="CIRT-LeftBold">
    <w:name w:val="CIR T-Left Bold"/>
    <w:basedOn w:val="CIRT-Left"/>
    <w:pPr>
      <w:spacing w:before="60"/>
    </w:pPr>
    <w:rPr>
      <w:b/>
      <w:bCs/>
    </w:rPr>
  </w:style>
  <w:style w:type="paragraph" w:customStyle="1" w:styleId="CIRT-LeftSpace">
    <w:name w:val="CIR T-Left+Space"/>
    <w:basedOn w:val="CIRT-Left"/>
    <w:pPr>
      <w:spacing w:after="120"/>
    </w:pPr>
  </w:style>
  <w:style w:type="paragraph" w:customStyle="1" w:styleId="CIRTOCTitle">
    <w:name w:val="CIR TOC Title"/>
    <w:basedOn w:val="CIRChapter"/>
    <w:next w:val="CIRBodyText"/>
    <w:pPr>
      <w:pageBreakBefore w:val="0"/>
      <w:framePr w:wrap="around" w:y="879"/>
    </w:pPr>
  </w:style>
  <w:style w:type="paragraph" w:customStyle="1" w:styleId="CIRT-Right">
    <w:name w:val="CIR T-Right"/>
    <w:basedOn w:val="CIRT-Left"/>
    <w:pPr>
      <w:ind w:right="43"/>
      <w:jc w:val="right"/>
    </w:pPr>
  </w:style>
  <w:style w:type="paragraph" w:customStyle="1" w:styleId="CIRT-RightBold">
    <w:name w:val="CIR T-Right Bold"/>
    <w:basedOn w:val="CIRT-Right"/>
    <w:next w:val="CIRT-Right"/>
    <w:pPr>
      <w:spacing w:before="60"/>
    </w:pPr>
    <w:rPr>
      <w:b/>
      <w:bCs/>
    </w:rPr>
  </w:style>
  <w:style w:type="paragraph" w:customStyle="1" w:styleId="CIRT-RightSpace">
    <w:name w:val="CIR T-Right+Space"/>
    <w:basedOn w:val="CIRT-LeftSpace"/>
    <w:pPr>
      <w:ind w:right="43"/>
      <w:jc w:val="right"/>
    </w:pPr>
  </w:style>
  <w:style w:type="paragraph" w:customStyle="1" w:styleId="CIRVideoImage">
    <w:name w:val="CIR Video Image"/>
    <w:basedOn w:val="CIRBodyText"/>
    <w:next w:val="CIRVideoLink"/>
    <w:pPr>
      <w:pBdr>
        <w:bottom w:val="single" w:sz="8" w:space="3" w:color="002D72"/>
      </w:pBdr>
      <w:spacing w:after="0"/>
    </w:pPr>
    <w:rPr>
      <w:rFonts w:ascii="Arial Narrow" w:hAnsi="Arial Narrow"/>
    </w:rPr>
  </w:style>
  <w:style w:type="paragraph" w:customStyle="1" w:styleId="CIRVideoLink">
    <w:name w:val="CIR Video Link"/>
    <w:basedOn w:val="CIRBodyText"/>
    <w:pPr>
      <w:spacing w:before="120" w:after="0"/>
    </w:pPr>
    <w:rPr>
      <w:rFonts w:ascii="Arial Narrow" w:hAnsi="Arial Narrow"/>
      <w:color w:val="009FDA"/>
    </w:rPr>
  </w:style>
  <w:style w:type="paragraph" w:customStyle="1" w:styleId="DisclosureHiddenText">
    <w:name w:val="DisclosureHiddenText"/>
    <w:basedOn w:val="CIRMaster"/>
    <w:pPr>
      <w:spacing w:line="14" w:lineRule="auto"/>
    </w:pPr>
    <w:rPr>
      <w:rFonts w:ascii="Courier New" w:eastAsia="MS Gothic" w:hAnsi="Courier New"/>
      <w:vanish/>
      <w:color w:val="FFFFFF"/>
      <w:sz w:val="2"/>
      <w:szCs w:val="2"/>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rPr>
      <w:vertAlign w:val="superscript"/>
    </w:rPr>
  </w:style>
  <w:style w:type="paragraph" w:styleId="FootnoteText">
    <w:name w:val="footnote text"/>
    <w:basedOn w:val="CIRDisclosureBlock"/>
    <w:link w:val="FootnoteTextChar"/>
    <w:rPr>
      <w:sz w:val="16"/>
      <w:szCs w:val="20"/>
    </w:rPr>
  </w:style>
  <w:style w:type="character" w:customStyle="1" w:styleId="FootnoteTextChar">
    <w:name w:val="Footnote Text Char"/>
    <w:basedOn w:val="DefaultParagraphFont"/>
    <w:link w:val="FootnoteText"/>
    <w:rPr>
      <w:rFonts w:ascii="Arial Narrow" w:eastAsia="MS PGothic" w:hAnsi="Arial Narrow" w:cs="Arial"/>
      <w:kern w:val="18"/>
      <w:sz w:val="16"/>
      <w:szCs w:val="20"/>
    </w:rPr>
  </w:style>
  <w:style w:type="character" w:customStyle="1" w:styleId="Heading1Char">
    <w:name w:val="Heading 1 Char"/>
    <w:basedOn w:val="DefaultParagraphFont"/>
    <w:link w:val="Heading1"/>
    <w:rPr>
      <w:rFonts w:ascii="Arial" w:eastAsia="MS PGothic" w:hAnsi="Arial" w:cs="Arial Narrow"/>
      <w:b/>
      <w:bCs/>
      <w:kern w:val="18"/>
      <w:sz w:val="30"/>
      <w:szCs w:val="32"/>
    </w:rPr>
  </w:style>
  <w:style w:type="character" w:customStyle="1" w:styleId="Heading2Char">
    <w:name w:val="Heading 2 Char"/>
    <w:basedOn w:val="DefaultParagraphFont"/>
    <w:link w:val="Heading2"/>
    <w:rPr>
      <w:rFonts w:ascii="Arial" w:eastAsia="MS PGothic" w:hAnsi="Arial" w:cs="Arial Narrow"/>
      <w:b/>
      <w:bCs/>
      <w:kern w:val="18"/>
      <w:sz w:val="24"/>
      <w:szCs w:val="24"/>
    </w:rPr>
  </w:style>
  <w:style w:type="character" w:customStyle="1" w:styleId="Heading3Char">
    <w:name w:val="Heading 3 Char"/>
    <w:basedOn w:val="DefaultParagraphFont"/>
    <w:link w:val="Heading3"/>
    <w:rPr>
      <w:rFonts w:ascii="Arial" w:eastAsia="MS PGothic" w:hAnsi="Arial" w:cs="Arial"/>
      <w:b/>
      <w:bCs/>
      <w:kern w:val="18"/>
      <w:sz w:val="20"/>
      <w:szCs w:val="20"/>
    </w:rPr>
  </w:style>
  <w:style w:type="character" w:customStyle="1" w:styleId="Heading4Char">
    <w:name w:val="Heading 4 Char"/>
    <w:basedOn w:val="DefaultParagraphFont"/>
    <w:link w:val="Heading4"/>
    <w:rPr>
      <w:rFonts w:ascii="Arial" w:eastAsia="MS PGothic" w:hAnsi="Arial" w:cs="Arial"/>
      <w:bCs/>
      <w:kern w:val="18"/>
      <w:sz w:val="20"/>
      <w:szCs w:val="20"/>
    </w:rPr>
  </w:style>
  <w:style w:type="character" w:customStyle="1" w:styleId="Heading5Char">
    <w:name w:val="Heading 5 Char"/>
    <w:basedOn w:val="DefaultParagraphFont"/>
    <w:link w:val="Heading5"/>
    <w:rPr>
      <w:rFonts w:ascii="Arial" w:eastAsia="MS PGothic" w:hAnsi="Arial" w:cs="Arial"/>
      <w:b/>
      <w:bCs/>
      <w:i/>
      <w:iCs/>
      <w:kern w:val="18"/>
      <w:sz w:val="26"/>
      <w:szCs w:val="26"/>
    </w:rPr>
  </w:style>
  <w:style w:type="character" w:styleId="Hyperlink">
    <w:name w:val="Hyperlink"/>
    <w:basedOn w:val="DefaultParagraphFont"/>
    <w:uiPriority w:val="99"/>
    <w:unhideWhenUsed/>
    <w:rPr>
      <w:color w:val="0000FF" w:themeColor="hyperlink"/>
      <w:u w:val="single"/>
    </w:rPr>
  </w:style>
  <w:style w:type="character" w:styleId="PageNumber">
    <w:name w:val="page number"/>
    <w:basedOn w:val="DefaultParagraphFont"/>
    <w:rPr>
      <w:rFonts w:ascii="Arial" w:eastAsia="MS PGothic" w:hAnsi="Arial" w:hint="eastAsia"/>
      <w:color w:val="002D72"/>
      <w:sz w:val="18"/>
    </w:rPr>
  </w:style>
  <w:style w:type="paragraph" w:customStyle="1" w:styleId="RatingDate">
    <w:name w:val="Rating_Date"/>
    <w:basedOn w:val="CIRMaster"/>
    <w:unhideWhenUsed/>
    <w:pPr>
      <w:spacing w:line="240" w:lineRule="auto"/>
    </w:pPr>
    <w:rPr>
      <w:rFonts w:ascii="Arial Narrow" w:hAnsi="Arial Narrow" w:cs="Arial Narrow"/>
      <w:b/>
      <w:bCs/>
      <w:i/>
      <w:iCs/>
      <w:noProof/>
      <w:szCs w:val="17"/>
    </w:rPr>
  </w:style>
  <w:style w:type="paragraph" w:customStyle="1" w:styleId="RatingHeading1">
    <w:name w:val="Rating_Heading1"/>
    <w:basedOn w:val="CIRMaster"/>
    <w:unhideWhenUsed/>
    <w:pPr>
      <w:spacing w:line="240" w:lineRule="auto"/>
      <w:jc w:val="center"/>
    </w:pPr>
    <w:rPr>
      <w:rFonts w:ascii="Arial Narrow" w:hAnsi="Arial Narrow" w:cs="Arial Narrow"/>
      <w:b/>
      <w:bCs/>
      <w:noProof/>
      <w:szCs w:val="17"/>
    </w:rPr>
  </w:style>
  <w:style w:type="paragraph" w:customStyle="1" w:styleId="RatingHeadingTitle">
    <w:name w:val="Rating_HeadingTitle"/>
    <w:basedOn w:val="RatingHeading1"/>
    <w:unhideWhenUsed/>
    <w:pPr>
      <w:jc w:val="left"/>
    </w:pPr>
    <w:rPr>
      <w:noProof w:val="0"/>
    </w:rPr>
  </w:style>
  <w:style w:type="paragraph" w:customStyle="1" w:styleId="RatingNumbers">
    <w:name w:val="Rating_Numbers"/>
    <w:basedOn w:val="CIRMaster"/>
    <w:unhideWhenUsed/>
    <w:pPr>
      <w:spacing w:line="240" w:lineRule="auto"/>
      <w:jc w:val="right"/>
    </w:pPr>
    <w:rPr>
      <w:rFonts w:ascii="Arial Narrow" w:hAnsi="Arial Narrow" w:cs="Arial Narrow"/>
      <w:noProof/>
      <w:szCs w:val="17"/>
    </w:rPr>
  </w:style>
  <w:style w:type="paragraph" w:customStyle="1" w:styleId="RatingText">
    <w:name w:val="Rating_Text"/>
    <w:basedOn w:val="CIRMaster"/>
    <w:unhideWhenUsed/>
    <w:pPr>
      <w:spacing w:line="240" w:lineRule="auto"/>
    </w:pPr>
    <w:rPr>
      <w:rFonts w:ascii="Arial Narrow" w:hAnsi="Arial Narrow" w:cs="Arial Narrow"/>
      <w:noProof/>
      <w:szCs w:val="17"/>
    </w:rPr>
  </w:style>
  <w:style w:type="paragraph" w:customStyle="1" w:styleId="RatingText2">
    <w:name w:val="Rating_Text2"/>
    <w:basedOn w:val="RatingText"/>
    <w:unhideWhenUsed/>
    <w:pPr>
      <w:ind w:left="158"/>
    </w:pPr>
    <w:rPr>
      <w:i/>
      <w:iCs/>
    </w:rPr>
  </w:style>
  <w:style w:type="paragraph" w:customStyle="1" w:styleId="Ratings">
    <w:name w:val="Ratings"/>
    <w:basedOn w:val="RatingHeading1"/>
    <w:unhideWhenUsed/>
    <w:pPr>
      <w:jc w:val="right"/>
    </w:pPr>
  </w:style>
  <w:style w:type="paragraph" w:customStyle="1" w:styleId="SSBCharts">
    <w:name w:val="SSB_Charts"/>
    <w:basedOn w:val="CIRMaster"/>
    <w:unhideWhenUsed/>
    <w:pPr>
      <w:spacing w:after="40" w:line="240" w:lineRule="auto"/>
    </w:pPr>
    <w:rPr>
      <w:rFonts w:ascii="Arial Narrow" w:hAnsi="Arial Narrow" w:cs="Arial Narrow"/>
      <w:noProof/>
      <w:color w:val="000000"/>
      <w:szCs w:val="17"/>
    </w:rPr>
  </w:style>
  <w:style w:type="paragraph" w:customStyle="1" w:styleId="SSBDisclaimer">
    <w:name w:val="SSB_Disclaimer"/>
    <w:basedOn w:val="CIRMaster"/>
    <w:unhideWhenUsed/>
    <w:pPr>
      <w:pBdr>
        <w:bottom w:val="single" w:sz="4" w:space="1" w:color="auto"/>
        <w:between w:val="single" w:sz="4" w:space="1" w:color="auto"/>
      </w:pBdr>
      <w:spacing w:after="40" w:line="240" w:lineRule="auto"/>
    </w:pPr>
    <w:rPr>
      <w:rFonts w:ascii="Arial Narrow" w:hAnsi="Arial Narrow" w:cs="Arial Narrow"/>
      <w:noProof/>
      <w:color w:val="000000"/>
      <w:szCs w:val="17"/>
    </w:rPr>
  </w:style>
  <w:style w:type="paragraph" w:styleId="TOC1">
    <w:name w:val="toc 1"/>
    <w:basedOn w:val="CIRMaster"/>
    <w:pPr>
      <w:tabs>
        <w:tab w:val="right" w:pos="6696"/>
      </w:tabs>
      <w:spacing w:before="60" w:line="240" w:lineRule="auto"/>
      <w:ind w:right="576"/>
    </w:pPr>
    <w:rPr>
      <w:b/>
      <w:bCs/>
      <w:noProof/>
      <w:sz w:val="22"/>
      <w:szCs w:val="24"/>
    </w:rPr>
  </w:style>
  <w:style w:type="paragraph" w:styleId="TOC2">
    <w:name w:val="toc 2"/>
    <w:basedOn w:val="CIRMaster"/>
    <w:pPr>
      <w:tabs>
        <w:tab w:val="right" w:pos="6696"/>
      </w:tabs>
      <w:spacing w:before="40"/>
      <w:ind w:right="576"/>
    </w:pPr>
    <w:rPr>
      <w:b/>
      <w:sz w:val="20"/>
      <w:szCs w:val="20"/>
    </w:rPr>
  </w:style>
  <w:style w:type="paragraph" w:styleId="TOC3">
    <w:name w:val="toc 3"/>
    <w:basedOn w:val="CIRMaster"/>
    <w:pPr>
      <w:tabs>
        <w:tab w:val="right" w:pos="6696"/>
      </w:tabs>
      <w:ind w:left="360" w:right="576"/>
    </w:pPr>
  </w:style>
  <w:style w:type="paragraph" w:styleId="TOC4">
    <w:name w:val="toc 4"/>
    <w:basedOn w:val="CIRMaster"/>
    <w:pPr>
      <w:tabs>
        <w:tab w:val="right" w:pos="6696"/>
      </w:tabs>
      <w:ind w:left="720" w:right="576"/>
    </w:pPr>
  </w:style>
  <w:style w:type="paragraph" w:styleId="TOC5">
    <w:name w:val="toc 5"/>
    <w:basedOn w:val="CIRMaster"/>
    <w:pPr>
      <w:pBdr>
        <w:top w:val="single" w:sz="2" w:space="0" w:color="FFFFFF"/>
        <w:left w:val="single" w:sz="2" w:space="0" w:color="FFFFFF"/>
        <w:bottom w:val="single" w:sz="2" w:space="0" w:color="FFFFFF"/>
        <w:right w:val="single" w:sz="2" w:space="31" w:color="FFFFFF"/>
      </w:pBdr>
      <w:shd w:val="clear" w:color="auto" w:fill="E6E6E6"/>
      <w:tabs>
        <w:tab w:val="right" w:pos="6696"/>
      </w:tabs>
      <w:spacing w:before="60"/>
      <w:ind w:right="576"/>
    </w:pPr>
    <w:rPr>
      <w:b/>
      <w:sz w:val="28"/>
      <w:szCs w:val="28"/>
    </w:rPr>
  </w:style>
  <w:style w:type="paragraph" w:styleId="TOC6">
    <w:name w:val="toc 6"/>
    <w:basedOn w:val="CIRMaster"/>
    <w:pPr>
      <w:ind w:left="1200"/>
    </w:pPr>
  </w:style>
  <w:style w:type="paragraph" w:styleId="TOC7">
    <w:name w:val="toc 7"/>
    <w:basedOn w:val="CIRMaster"/>
    <w:pPr>
      <w:ind w:left="1440"/>
    </w:pPr>
  </w:style>
  <w:style w:type="paragraph" w:styleId="TOC8">
    <w:name w:val="toc 8"/>
    <w:basedOn w:val="CIRMaster"/>
    <w:pPr>
      <w:ind w:left="1680"/>
    </w:pPr>
    <w:rPr>
      <w:szCs w:val="19"/>
    </w:rPr>
  </w:style>
  <w:style w:type="paragraph" w:styleId="TOC9">
    <w:name w:val="toc 9"/>
    <w:basedOn w:val="CIRMaster"/>
    <w:pPr>
      <w:ind w:left="1920"/>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kern w:val="18"/>
      <w:sz w:val="18"/>
      <w:szCs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18"/>
      <w:sz w:val="18"/>
      <w:szCs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18"/>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18"/>
      <w:sz w:val="20"/>
      <w:szCs w:val="20"/>
    </w:rPr>
  </w:style>
  <w:style w:type="paragraph" w:styleId="TableofFigures">
    <w:name w:val="table of figures"/>
    <w:basedOn w:val="CIRMaster"/>
    <w:next w:val="Normal"/>
    <w:uiPriority w:val="99"/>
    <w:semiHidden/>
    <w:unhideWhenUsed/>
  </w:style>
  <w:style w:type="paragraph" w:styleId="Header">
    <w:name w:val="header"/>
    <w:basedOn w:val="Normal"/>
    <w:link w:val="HeaderChar"/>
    <w:pPr>
      <w:tabs>
        <w:tab w:val="center" w:pos="4680"/>
        <w:tab w:val="right" w:pos="9360"/>
      </w:tabs>
      <w:spacing w:line="240" w:lineRule="auto"/>
    </w:pPr>
    <w:rPr>
      <w:rFonts w:ascii="Calibri" w:eastAsia="PMingLiU" w:hAnsi="Calibri" w:cs="Times New Roman"/>
    </w:rPr>
  </w:style>
  <w:style w:type="character" w:customStyle="1" w:styleId="HeaderChar">
    <w:name w:val="Header Char"/>
    <w:basedOn w:val="DefaultParagraphFont"/>
    <w:link w:val="Header"/>
    <w:rPr>
      <w:rFonts w:ascii="Calibri" w:eastAsia="PMingLiU" w:hAnsi="Calibri" w:cs="Times New Roman"/>
    </w:rPr>
  </w:style>
  <w:style w:type="numbering" w:styleId="1ai">
    <w:name w:val="Outline List 1"/>
    <w:basedOn w:val="NoList"/>
    <w:pPr>
      <w:numPr>
        <w:numId w:val="19"/>
      </w:numPr>
    </w:pPr>
  </w:style>
  <w:style w:type="paragraph" w:styleId="ListBullet">
    <w:name w:val="List Bullet"/>
    <w:basedOn w:val="Normal"/>
    <w:pPr>
      <w:numPr>
        <w:numId w:val="20"/>
      </w:numPr>
      <w:contextualSpacing/>
    </w:pPr>
    <w:rPr>
      <w:rFonts w:ascii="Calibri" w:eastAsia="PMingLiU" w:hAnsi="Calibri" w:cs="Times New Roman"/>
    </w:rPr>
  </w:style>
  <w:style w:type="character" w:styleId="PlaceholderText">
    <w:name w:val="Placeholder Text"/>
    <w:basedOn w:val="DefaultParagraphFont"/>
    <w:uiPriority w:val="99"/>
    <w:semiHidden/>
    <w:rPr>
      <w:color w:val="808080"/>
    </w:rPr>
  </w:style>
  <w:style w:type="paragraph" w:customStyle="1" w:styleId="CIRDisclosureHeading2">
    <w:name w:val="CIR Disclosure Heading 2"/>
    <w:basedOn w:val="Normal"/>
    <w:pPr>
      <w:pBdr>
        <w:bottom w:val="single" w:sz="8" w:space="1" w:color="auto"/>
      </w:pBdr>
      <w:spacing w:before="240" w:after="155"/>
      <w:outlineLvl w:val="1"/>
    </w:pPr>
    <w:rPr>
      <w:rFonts w:eastAsia="Arial Unicode MS" w:cs="Arial"/>
      <w:b/>
      <w:spacing w:val="2"/>
      <w:sz w:val="24"/>
      <w:szCs w:val="18"/>
    </w:rPr>
  </w:style>
  <w:style w:type="paragraph" w:customStyle="1" w:styleId="RatingTextCenter">
    <w:name w:val="Rating_Text_Center"/>
    <w:basedOn w:val="RatingText"/>
    <w:pPr>
      <w:jc w:val="center"/>
    </w:pPr>
  </w:style>
  <w:style w:type="paragraph" w:customStyle="1" w:styleId="RatingTextCenterNew">
    <w:name w:val="Rating_Text_Center_New"/>
    <w:basedOn w:val="RatingTextCenter"/>
    <w:next w:val="RatingTextCenter"/>
    <w:pPr>
      <w:pBdr>
        <w:top w:val="single" w:sz="4" w:space="1" w:color="auto"/>
      </w:pBdr>
    </w:pPr>
  </w:style>
  <w:style w:type="paragraph" w:customStyle="1" w:styleId="RatingHeading1Underline">
    <w:name w:val="Rating_Heading1_Underline"/>
    <w:basedOn w:val="RatingHeading1"/>
    <w:pPr>
      <w:pBdr>
        <w:bottom w:val="single" w:sz="4" w:space="1" w:color="auto"/>
      </w:pBdr>
    </w:pPr>
  </w:style>
  <w:style w:type="paragraph" w:customStyle="1" w:styleId="CIRHeading2">
    <w:name w:val="CIR Heading 2"/>
    <w:basedOn w:val="CIRMaster"/>
    <w:next w:val="CIRBodyText"/>
    <w:pPr>
      <w:keepNext/>
      <w:spacing w:after="155"/>
      <w:outlineLvl w:val="1"/>
    </w:pPr>
    <w:rPr>
      <w:b/>
      <w:bCs/>
      <w:sz w:val="24"/>
      <w:szCs w:val="24"/>
    </w:rPr>
  </w:style>
  <w:style w:type="paragraph" w:customStyle="1" w:styleId="CIRTitleMC">
    <w:name w:val="CIR Title MC"/>
    <w:basedOn w:val="CIRTitle"/>
    <w:pPr>
      <w:shd w:val="clear" w:color="auto" w:fill="002D72"/>
      <w:tabs>
        <w:tab w:val="left" w:pos="1"/>
        <w:tab w:val="left" w:pos="1008"/>
      </w:tabs>
      <w:ind w:left="-1008" w:right="3276"/>
    </w:pPr>
    <w:rPr>
      <w:color w:val="FFFFFF"/>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Arial" w:hAnsi="Arial"/>
      <w:sz w:val="18"/>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rmalWeb">
    <w:name w:val="Normal (Web)"/>
    <w:basedOn w:val="Normal"/>
    <w:uiPriority w:val="99"/>
    <w:unhideWhenUsed/>
    <w:rsid w:val="007F3ED6"/>
    <w:pPr>
      <w:spacing w:before="100" w:beforeAutospacing="1" w:after="100" w:afterAutospacing="1" w:line="240" w:lineRule="auto"/>
    </w:pPr>
    <w:rPr>
      <w:rFonts w:ascii="Times New Roman" w:hAnsi="Times New Roman" w:cs="Times New Roman"/>
      <w:sz w:val="24"/>
      <w:szCs w:val="24"/>
    </w:rPr>
  </w:style>
  <w:style w:type="character" w:customStyle="1" w:styleId="CIRBodyTextChar">
    <w:name w:val="CIR Body Text Char"/>
    <w:basedOn w:val="DefaultParagraphFont"/>
    <w:link w:val="CIRBodyText"/>
    <w:locked/>
    <w:rsid w:val="007F3ED6"/>
    <w:rPr>
      <w:rFonts w:ascii="Arial" w:eastAsia="MS PGothic" w:hAnsi="Arial" w:cs="Arial"/>
      <w:kern w:val="18"/>
      <w:sz w:val="18"/>
      <w:szCs w:val="18"/>
    </w:rPr>
  </w:style>
  <w:style w:type="table" w:styleId="TableGrid">
    <w:name w:val="Table Grid"/>
    <w:basedOn w:val="TableNormal"/>
    <w:rsid w:val="007F3ED6"/>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F3ED6"/>
    <w:pPr>
      <w:spacing w:after="0" w:line="240" w:lineRule="auto"/>
    </w:pPr>
    <w:rPr>
      <w:rFonts w:ascii="Arial" w:hAnsi="Arial"/>
      <w:sz w:val="18"/>
    </w:rPr>
  </w:style>
  <w:style w:type="character" w:customStyle="1" w:styleId="CIRMasterChar">
    <w:name w:val="CIR Master Char"/>
    <w:basedOn w:val="DefaultParagraphFont"/>
    <w:link w:val="CIRMaster"/>
    <w:rsid w:val="007F3ED6"/>
    <w:rPr>
      <w:rFonts w:ascii="Arial" w:eastAsia="MS PGothic" w:hAnsi="Arial" w:cs="Arial"/>
      <w:kern w:val="18"/>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tLeast"/>
    </w:pPr>
    <w:rPr>
      <w:rFonts w:ascii="Arial" w:hAnsi="Arial"/>
      <w:sz w:val="18"/>
    </w:rPr>
  </w:style>
  <w:style w:type="paragraph" w:styleId="Heading1">
    <w:name w:val="heading 1"/>
    <w:basedOn w:val="CIRMaster"/>
    <w:next w:val="CIRBodyText"/>
    <w:link w:val="Heading1Char"/>
    <w:qFormat/>
    <w:pPr>
      <w:keepNext/>
      <w:spacing w:before="240" w:after="155"/>
      <w:outlineLvl w:val="0"/>
    </w:pPr>
    <w:rPr>
      <w:rFonts w:cs="Arial Narrow"/>
      <w:b/>
      <w:bCs/>
      <w:sz w:val="30"/>
      <w:szCs w:val="32"/>
    </w:rPr>
  </w:style>
  <w:style w:type="paragraph" w:styleId="Heading2">
    <w:name w:val="heading 2"/>
    <w:basedOn w:val="CIRMaster"/>
    <w:next w:val="CIRBodyText"/>
    <w:link w:val="Heading2Char"/>
    <w:qFormat/>
    <w:pPr>
      <w:keepNext/>
      <w:spacing w:after="155"/>
      <w:outlineLvl w:val="1"/>
    </w:pPr>
    <w:rPr>
      <w:rFonts w:cs="Arial Narrow"/>
      <w:b/>
      <w:bCs/>
      <w:sz w:val="24"/>
      <w:szCs w:val="24"/>
    </w:rPr>
  </w:style>
  <w:style w:type="paragraph" w:styleId="Heading3">
    <w:name w:val="heading 3"/>
    <w:basedOn w:val="CIRMaster"/>
    <w:next w:val="CIRBodyText"/>
    <w:link w:val="Heading3Char"/>
    <w:qFormat/>
    <w:pPr>
      <w:keepNext/>
      <w:spacing w:after="155"/>
      <w:outlineLvl w:val="2"/>
    </w:pPr>
    <w:rPr>
      <w:b/>
      <w:bCs/>
      <w:sz w:val="20"/>
      <w:szCs w:val="20"/>
    </w:rPr>
  </w:style>
  <w:style w:type="paragraph" w:styleId="Heading4">
    <w:name w:val="heading 4"/>
    <w:basedOn w:val="CIRMaster"/>
    <w:next w:val="CIRBodyText"/>
    <w:link w:val="Heading4Char"/>
    <w:qFormat/>
    <w:pPr>
      <w:keepNext/>
      <w:spacing w:after="155"/>
      <w:outlineLvl w:val="3"/>
    </w:pPr>
    <w:rPr>
      <w:bCs/>
      <w:sz w:val="20"/>
      <w:szCs w:val="20"/>
    </w:rPr>
  </w:style>
  <w:style w:type="paragraph" w:styleId="Heading5">
    <w:name w:val="heading 5"/>
    <w:basedOn w:val="CIRMaster"/>
    <w:next w:val="CIRBodyText"/>
    <w:link w:val="Heading5Char"/>
    <w:qFormat/>
    <w:pPr>
      <w:spacing w:before="240" w:after="60"/>
      <w:outlineLvl w:val="4"/>
    </w:pPr>
    <w:rPr>
      <w:b/>
      <w:bCs/>
      <w:i/>
      <w:iCs/>
      <w:sz w:val="26"/>
      <w:szCs w:val="26"/>
    </w:rPr>
  </w:style>
  <w:style w:type="paragraph" w:styleId="Heading6">
    <w:name w:val="heading 6"/>
    <w:basedOn w:val="CIRMaster"/>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CIRMaster"/>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CIRMaster"/>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CIRMaster"/>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RMaster">
    <w:name w:val="CIR Master"/>
    <w:link w:val="CIRMasterChar"/>
    <w:pPr>
      <w:spacing w:after="0" w:line="240" w:lineRule="atLeast"/>
    </w:pPr>
    <w:rPr>
      <w:rFonts w:ascii="Arial" w:eastAsia="MS PGothic" w:hAnsi="Arial" w:cs="Arial"/>
      <w:kern w:val="18"/>
      <w:sz w:val="18"/>
      <w:szCs w:val="18"/>
    </w:rPr>
  </w:style>
  <w:style w:type="paragraph" w:customStyle="1" w:styleId="CIRAnalystCert">
    <w:name w:val="CIR Analyst Cert"/>
    <w:basedOn w:val="CIRDisclosureBlock"/>
    <w:next w:val="CIRDisclosureBlock"/>
    <w:rPr>
      <w:b/>
      <w:bCs/>
    </w:rPr>
  </w:style>
  <w:style w:type="paragraph" w:customStyle="1" w:styleId="CIRAnalystNote">
    <w:name w:val="CIR Analyst Note"/>
    <w:basedOn w:val="CIRMaster"/>
    <w:pPr>
      <w:spacing w:before="40" w:after="80"/>
      <w:ind w:right="-3528"/>
      <w:jc w:val="both"/>
    </w:pPr>
    <w:rPr>
      <w:rFonts w:ascii="Arial Narrow" w:hAnsi="Arial Narrow"/>
      <w:b/>
      <w:bCs/>
      <w:noProof/>
      <w:color w:val="002D72"/>
    </w:rPr>
  </w:style>
  <w:style w:type="paragraph" w:customStyle="1" w:styleId="CIRAuthorCity">
    <w:name w:val="CIR Author City"/>
    <w:basedOn w:val="CIRAuthorNamePrimary"/>
    <w:next w:val="CIRAuthorName"/>
    <w:rPr>
      <w:i/>
      <w:iCs/>
    </w:rPr>
  </w:style>
  <w:style w:type="paragraph" w:customStyle="1" w:styleId="CIRAuthorData">
    <w:name w:val="CIR Author Data"/>
    <w:basedOn w:val="CIRAuthorName"/>
    <w:pPr>
      <w:spacing w:before="0"/>
    </w:pPr>
    <w:rPr>
      <w:sz w:val="16"/>
      <w:szCs w:val="16"/>
    </w:rPr>
  </w:style>
  <w:style w:type="paragraph" w:customStyle="1" w:styleId="CIRAuthorName">
    <w:name w:val="CIR Author Name"/>
    <w:basedOn w:val="CIRMaster"/>
    <w:next w:val="CIRBodyText"/>
    <w:pPr>
      <w:spacing w:before="120" w:line="220" w:lineRule="atLeast"/>
    </w:pPr>
    <w:rPr>
      <w:rFonts w:ascii="Arial Narrow" w:hAnsi="Arial Narrow" w:cs="Arial Narrow"/>
      <w:noProof/>
    </w:rPr>
  </w:style>
  <w:style w:type="paragraph" w:customStyle="1" w:styleId="CIRAuthorNamePrimary">
    <w:name w:val="CIR Author Name Primary"/>
    <w:basedOn w:val="CIRAuthorName"/>
    <w:rPr>
      <w:b/>
      <w:bCs/>
    </w:rPr>
  </w:style>
  <w:style w:type="paragraph" w:customStyle="1" w:styleId="CIRAuthorRegionCountrySectorHeading">
    <w:name w:val="CIR Author Region/Country/Sector Heading"/>
    <w:basedOn w:val="CIRAuthorCity"/>
  </w:style>
  <w:style w:type="paragraph" w:customStyle="1" w:styleId="CIRAuthorTeamHeading">
    <w:name w:val="CIR Author Team Heading"/>
    <w:basedOn w:val="CIRAuthorNamePrimary"/>
  </w:style>
  <w:style w:type="paragraph" w:customStyle="1" w:styleId="CIRBannerText">
    <w:name w:val="CIR Banner Text"/>
    <w:basedOn w:val="CIRMaster"/>
    <w:next w:val="CIRBodyText"/>
    <w:pPr>
      <w:spacing w:before="440" w:after="180"/>
    </w:pPr>
    <w:rPr>
      <w:b/>
      <w:bCs/>
      <w:color w:val="FFFFFF"/>
      <w:sz w:val="28"/>
      <w:szCs w:val="28"/>
    </w:rPr>
  </w:style>
  <w:style w:type="paragraph" w:customStyle="1" w:styleId="CIRBodyText">
    <w:name w:val="CIR Body Text"/>
    <w:basedOn w:val="CIRMaster"/>
    <w:link w:val="CIRBodyTextChar"/>
    <w:qFormat/>
    <w:pPr>
      <w:spacing w:after="200"/>
    </w:pPr>
  </w:style>
  <w:style w:type="paragraph" w:customStyle="1" w:styleId="CIRBodyTextBold">
    <w:name w:val="CIR Body Text Bold"/>
    <w:basedOn w:val="CIRBodyText"/>
    <w:rPr>
      <w:rFonts w:ascii="Arial Narrow" w:hAnsi="Arial Narrow"/>
      <w:b/>
      <w:bCs/>
    </w:rPr>
  </w:style>
  <w:style w:type="numbering" w:customStyle="1" w:styleId="CIRBullets">
    <w:name w:val="CIR Bullets"/>
    <w:pPr>
      <w:numPr>
        <w:numId w:val="1"/>
      </w:numPr>
    </w:pPr>
  </w:style>
  <w:style w:type="paragraph" w:customStyle="1" w:styleId="CIRByline">
    <w:name w:val="CIR Byline"/>
    <w:basedOn w:val="CIRMaster"/>
    <w:pPr>
      <w:spacing w:after="200"/>
    </w:pPr>
    <w:rPr>
      <w:i/>
      <w:iCs/>
    </w:rPr>
  </w:style>
  <w:style w:type="paragraph" w:customStyle="1" w:styleId="CIRCaption">
    <w:name w:val="CIR Caption"/>
    <w:basedOn w:val="CIRMaster"/>
    <w:next w:val="CIRBodyText"/>
    <w:pPr>
      <w:keepNext/>
      <w:spacing w:before="60" w:after="120"/>
    </w:pPr>
    <w:rPr>
      <w:rFonts w:ascii="Arial Narrow" w:hAnsi="Arial Narrow" w:cs="Arial Narrow"/>
      <w:b/>
      <w:bCs/>
    </w:rPr>
  </w:style>
  <w:style w:type="paragraph" w:customStyle="1" w:styleId="CIRCaptionLinked">
    <w:name w:val="CIR Caption Linked"/>
    <w:basedOn w:val="CIRCaption"/>
    <w:next w:val="CIRFigure"/>
    <w:pPr>
      <w:pBdr>
        <w:top w:val="single" w:sz="24" w:space="3" w:color="002D72"/>
      </w:pBdr>
      <w:spacing w:before="0"/>
    </w:pPr>
  </w:style>
  <w:style w:type="paragraph" w:customStyle="1" w:styleId="CIRChapter">
    <w:name w:val="CIR Chapter"/>
    <w:basedOn w:val="CIRMaster"/>
    <w:next w:val="CIRBodyText"/>
    <w:pPr>
      <w:keepNext/>
      <w:pageBreakBefore/>
      <w:framePr w:w="6696" w:wrap="around" w:vAnchor="page" w:hAnchor="text" w:y="1196" w:anchorLock="1"/>
      <w:spacing w:after="60"/>
      <w:outlineLvl w:val="0"/>
    </w:pPr>
    <w:rPr>
      <w:rFonts w:ascii="Arial Narrow" w:hAnsi="Arial Narrow" w:cs="Arial Narrow"/>
      <w:b/>
      <w:bCs/>
      <w:sz w:val="38"/>
      <w:szCs w:val="40"/>
    </w:rPr>
  </w:style>
  <w:style w:type="paragraph" w:customStyle="1" w:styleId="CIRChapterCont">
    <w:name w:val="CIR Chapter Cont"/>
    <w:basedOn w:val="CIRChapter"/>
    <w:next w:val="CIRBodyText"/>
    <w:pPr>
      <w:framePr w:wrap="around"/>
      <w:outlineLvl w:val="9"/>
    </w:pPr>
    <w:rPr>
      <w:szCs w:val="38"/>
    </w:rPr>
  </w:style>
  <w:style w:type="paragraph" w:customStyle="1" w:styleId="CIRCompanyHeadline">
    <w:name w:val="CIR Company Headline"/>
    <w:basedOn w:val="CIRMaster"/>
    <w:next w:val="CIRBodyText"/>
    <w:pPr>
      <w:spacing w:after="240"/>
    </w:pPr>
    <w:rPr>
      <w:b/>
      <w:bCs/>
    </w:rPr>
  </w:style>
  <w:style w:type="paragraph" w:customStyle="1" w:styleId="CIRCompanyName">
    <w:name w:val="CIR Company Name"/>
    <w:basedOn w:val="CIRMaster"/>
    <w:pPr>
      <w:spacing w:after="120"/>
    </w:pPr>
    <w:rPr>
      <w:b/>
      <w:bCs/>
      <w:color w:val="002D72"/>
      <w:sz w:val="32"/>
      <w:szCs w:val="32"/>
    </w:rPr>
  </w:style>
  <w:style w:type="paragraph" w:customStyle="1" w:styleId="CIRDate">
    <w:name w:val="CIR Date"/>
    <w:basedOn w:val="CIRMaster"/>
    <w:next w:val="CIRBodyText"/>
    <w:pPr>
      <w:tabs>
        <w:tab w:val="right" w:pos="10224"/>
      </w:tabs>
      <w:ind w:right="-3528"/>
    </w:pPr>
  </w:style>
  <w:style w:type="paragraph" w:customStyle="1" w:styleId="CIRDepartment">
    <w:name w:val="CIR Department"/>
    <w:basedOn w:val="CIRSub-brandingLabel"/>
    <w:pPr>
      <w:spacing w:before="96" w:after="160" w:line="240" w:lineRule="auto"/>
    </w:pPr>
    <w:rPr>
      <w:b/>
      <w:sz w:val="22"/>
    </w:rPr>
  </w:style>
  <w:style w:type="paragraph" w:customStyle="1" w:styleId="CIRDisclosureBlock">
    <w:name w:val="CIR Disclosure Block"/>
    <w:basedOn w:val="CIRMaster"/>
    <w:pPr>
      <w:spacing w:after="60" w:line="240" w:lineRule="auto"/>
    </w:pPr>
    <w:rPr>
      <w:rFonts w:ascii="Arial Narrow" w:hAnsi="Arial Narrow"/>
      <w:szCs w:val="17"/>
    </w:rPr>
  </w:style>
  <w:style w:type="paragraph" w:customStyle="1" w:styleId="CIRDisclosureBlockHeading">
    <w:name w:val="CIR Disclosure Block Heading"/>
    <w:basedOn w:val="CIRMaster"/>
    <w:next w:val="CIRDisclosureBlock"/>
    <w:pPr>
      <w:keepNext/>
      <w:spacing w:after="155"/>
    </w:pPr>
    <w:rPr>
      <w:b/>
      <w:bCs/>
      <w:caps/>
      <w:sz w:val="24"/>
      <w:szCs w:val="24"/>
    </w:rPr>
  </w:style>
  <w:style w:type="paragraph" w:customStyle="1" w:styleId="CIRDisclosureSubtitle">
    <w:name w:val="CIR Disclosure Subtitle"/>
    <w:basedOn w:val="CIRMaster"/>
    <w:pPr>
      <w:keepNext/>
      <w:spacing w:before="60" w:after="120"/>
    </w:pPr>
    <w:rPr>
      <w:rFonts w:ascii="Arial Narrow" w:hAnsi="Arial Narrow" w:cs="Arial Narrow"/>
      <w:b/>
      <w:bCs/>
    </w:rPr>
  </w:style>
  <w:style w:type="paragraph" w:customStyle="1" w:styleId="CIRDivider">
    <w:name w:val="CIR Divider"/>
    <w:basedOn w:val="CIRChapter"/>
    <w:next w:val="CIRChapter"/>
    <w:pPr>
      <w:framePr w:w="0" w:wrap="auto" w:vAnchor="margin" w:yAlign="inline"/>
      <w:pBdr>
        <w:top w:val="single" w:sz="24" w:space="12" w:color="002D72"/>
        <w:bottom w:val="single" w:sz="8" w:space="24" w:color="002D72"/>
      </w:pBdr>
      <w:spacing w:before="4320"/>
      <w:ind w:left="-1800" w:right="1800"/>
      <w:jc w:val="center"/>
    </w:pPr>
    <w:rPr>
      <w:sz w:val="52"/>
      <w:szCs w:val="52"/>
    </w:rPr>
  </w:style>
  <w:style w:type="paragraph" w:customStyle="1" w:styleId="CIRFigure">
    <w:name w:val="CIR Figure"/>
    <w:basedOn w:val="CIRMaster"/>
    <w:next w:val="CIRBodyText"/>
    <w:pPr>
      <w:keepNext/>
      <w:jc w:val="center"/>
    </w:pPr>
    <w:rPr>
      <w:rFonts w:ascii="Arial Narrow" w:hAnsi="Arial Narrow" w:cs="Arial Narrow"/>
    </w:rPr>
  </w:style>
  <w:style w:type="paragraph" w:customStyle="1" w:styleId="CIRFooter">
    <w:name w:val="CIR Footer"/>
    <w:basedOn w:val="CIRMaster"/>
    <w:pPr>
      <w:tabs>
        <w:tab w:val="right" w:pos="10080"/>
      </w:tabs>
      <w:jc w:val="right"/>
    </w:pPr>
    <w:rPr>
      <w:b/>
      <w:noProof/>
      <w:szCs w:val="24"/>
    </w:rPr>
  </w:style>
  <w:style w:type="paragraph" w:customStyle="1" w:styleId="CIRFooterFirstPage">
    <w:name w:val="CIR Footer First Page"/>
    <w:basedOn w:val="CIRFooter"/>
    <w:pPr>
      <w:tabs>
        <w:tab w:val="clear" w:pos="10080"/>
      </w:tabs>
      <w:ind w:left="3456" w:right="-3528"/>
    </w:pPr>
  </w:style>
  <w:style w:type="paragraph" w:customStyle="1" w:styleId="CIRFooterLastPage">
    <w:name w:val="CIR Footer Last Page"/>
    <w:basedOn w:val="CIRFooter"/>
    <w:pPr>
      <w:jc w:val="left"/>
    </w:pPr>
  </w:style>
  <w:style w:type="character" w:customStyle="1" w:styleId="CIRFPBanner">
    <w:name w:val="CIR FP Banner"/>
    <w:basedOn w:val="DefaultParagraphFont"/>
    <w:rPr>
      <w:b/>
    </w:rPr>
  </w:style>
  <w:style w:type="paragraph" w:customStyle="1" w:styleId="CIRFPBullet">
    <w:name w:val="CIR FP Bullet"/>
    <w:basedOn w:val="CIRMaster"/>
    <w:pPr>
      <w:numPr>
        <w:numId w:val="13"/>
      </w:numPr>
      <w:spacing w:after="200"/>
      <w:jc w:val="both"/>
    </w:pPr>
  </w:style>
  <w:style w:type="paragraph" w:customStyle="1" w:styleId="CIRFPBulletLevel2">
    <w:name w:val="CIR FP Bullet Level 2"/>
    <w:basedOn w:val="CIRTextBulletLevel2"/>
    <w:pPr>
      <w:numPr>
        <w:numId w:val="13"/>
      </w:numPr>
      <w:jc w:val="both"/>
    </w:pPr>
  </w:style>
  <w:style w:type="numbering" w:customStyle="1" w:styleId="CIRFPBullets">
    <w:name w:val="CIR FP Bullets"/>
    <w:basedOn w:val="NoList"/>
    <w:pPr>
      <w:numPr>
        <w:numId w:val="2"/>
      </w:numPr>
    </w:pPr>
  </w:style>
  <w:style w:type="paragraph" w:customStyle="1" w:styleId="CIRFPDisclosure">
    <w:name w:val="CIR FP Disclosure"/>
    <w:basedOn w:val="CIRFooter"/>
    <w:pPr>
      <w:spacing w:line="180" w:lineRule="exact"/>
      <w:ind w:right="-3528"/>
      <w:jc w:val="both"/>
    </w:pPr>
    <w:rPr>
      <w:rFonts w:ascii="Arial Narrow" w:hAnsi="Arial Narrow" w:cs="Arial Narrow"/>
      <w:b w:val="0"/>
      <w:spacing w:val="-4"/>
      <w:szCs w:val="18"/>
    </w:rPr>
  </w:style>
  <w:style w:type="paragraph" w:customStyle="1" w:styleId="CIRFPText">
    <w:name w:val="CIR FP Text"/>
    <w:basedOn w:val="CIRMaster"/>
    <w:pPr>
      <w:jc w:val="both"/>
    </w:pPr>
  </w:style>
  <w:style w:type="paragraph" w:customStyle="1" w:styleId="CIRHeader">
    <w:name w:val="CIR Header"/>
    <w:basedOn w:val="CIRMaster"/>
    <w:pPr>
      <w:tabs>
        <w:tab w:val="left" w:pos="72"/>
        <w:tab w:val="center" w:pos="4320"/>
        <w:tab w:val="right" w:pos="8640"/>
      </w:tabs>
      <w:spacing w:line="240" w:lineRule="auto"/>
    </w:pPr>
    <w:rPr>
      <w:sz w:val="16"/>
    </w:rPr>
  </w:style>
  <w:style w:type="paragraph" w:customStyle="1" w:styleId="CIRHeadline">
    <w:name w:val="CIR Headline"/>
    <w:basedOn w:val="CIRTitle"/>
    <w:next w:val="CIRFPBullet"/>
    <w:pPr>
      <w:spacing w:before="120" w:after="160"/>
    </w:pPr>
    <w:rPr>
      <w:sz w:val="26"/>
      <w:szCs w:val="28"/>
    </w:rPr>
  </w:style>
  <w:style w:type="paragraph" w:customStyle="1" w:styleId="CIRIndustrySector">
    <w:name w:val="CIR IndustrySector"/>
    <w:basedOn w:val="CIRDate"/>
    <w:next w:val="CIRBodyText"/>
    <w:rPr>
      <w:bCs/>
    </w:rPr>
  </w:style>
  <w:style w:type="paragraph" w:customStyle="1" w:styleId="CIRNumberedList">
    <w:name w:val="CIR Numbered List"/>
    <w:basedOn w:val="CIRMaster"/>
    <w:pPr>
      <w:numPr>
        <w:numId w:val="14"/>
      </w:numPr>
      <w:spacing w:after="200"/>
    </w:pPr>
    <w:rPr>
      <w:szCs w:val="19"/>
    </w:rPr>
  </w:style>
  <w:style w:type="paragraph" w:customStyle="1" w:styleId="CIRQualifierActive">
    <w:name w:val="CIR Qualifier Active"/>
    <w:basedOn w:val="CIRMaster"/>
    <w:pPr>
      <w:numPr>
        <w:numId w:val="15"/>
      </w:numPr>
      <w:spacing w:line="200" w:lineRule="exact"/>
    </w:pPr>
    <w:rPr>
      <w:rFonts w:ascii="Arial Narrow" w:hAnsi="Arial Narrow"/>
      <w:b/>
      <w:bCs/>
      <w:color w:val="002D72"/>
      <w:sz w:val="16"/>
      <w:szCs w:val="16"/>
    </w:rPr>
  </w:style>
  <w:style w:type="paragraph" w:customStyle="1" w:styleId="CIRRating">
    <w:name w:val="CIR Rating"/>
    <w:basedOn w:val="CIRMaster"/>
    <w:rPr>
      <w:rFonts w:ascii="Arial Narrow" w:hAnsi="Arial Narrow" w:cs="Arial Narrow"/>
      <w:szCs w:val="19"/>
    </w:rPr>
  </w:style>
  <w:style w:type="paragraph" w:customStyle="1" w:styleId="CIRRatinglastrow">
    <w:name w:val="CIR Rating last row"/>
    <w:basedOn w:val="CIRRating"/>
    <w:pPr>
      <w:spacing w:after="60"/>
    </w:pPr>
  </w:style>
  <w:style w:type="paragraph" w:customStyle="1" w:styleId="CIRRatingLineAbove">
    <w:name w:val="CIR Rating Line Above"/>
    <w:basedOn w:val="CIRRating"/>
    <w:pPr>
      <w:pBdr>
        <w:top w:val="single" w:sz="8" w:space="1" w:color="002D72"/>
      </w:pBdr>
      <w:jc w:val="right"/>
    </w:pPr>
    <w:rPr>
      <w:b/>
      <w:bCs/>
    </w:rPr>
  </w:style>
  <w:style w:type="paragraph" w:customStyle="1" w:styleId="CIRRatingPrevious">
    <w:name w:val="CIR Rating Previous"/>
    <w:basedOn w:val="CIRRating"/>
    <w:pPr>
      <w:ind w:left="288"/>
    </w:pPr>
  </w:style>
  <w:style w:type="paragraph" w:customStyle="1" w:styleId="CIRRatingTitle">
    <w:name w:val="CIR Rating Title"/>
    <w:basedOn w:val="CIRRating"/>
    <w:pPr>
      <w:spacing w:before="60"/>
    </w:pPr>
    <w:rPr>
      <w:b/>
      <w:bCs/>
    </w:rPr>
  </w:style>
  <w:style w:type="paragraph" w:customStyle="1" w:styleId="CIRRegionCountry">
    <w:name w:val="CIR RegionCountry"/>
    <w:basedOn w:val="CIRMaster"/>
    <w:next w:val="CIRBodyText"/>
    <w:pPr>
      <w:spacing w:after="240"/>
      <w:ind w:right="-3528"/>
      <w:jc w:val="right"/>
    </w:pPr>
    <w:rPr>
      <w:b/>
      <w:szCs w:val="19"/>
    </w:rPr>
  </w:style>
  <w:style w:type="paragraph" w:customStyle="1" w:styleId="CIRSideComment">
    <w:name w:val="CIR Side Comment"/>
    <w:basedOn w:val="CIRMaster"/>
    <w:next w:val="CIRBodyText"/>
    <w:pPr>
      <w:framePr w:w="3168" w:hSpace="187" w:vSpace="187" w:wrap="auto" w:vAnchor="text" w:hAnchor="page" w:x="1009" w:y="1"/>
      <w:spacing w:after="240"/>
    </w:pPr>
    <w:rPr>
      <w:b/>
      <w:color w:val="002D72"/>
      <w:sz w:val="16"/>
      <w:szCs w:val="16"/>
    </w:rPr>
  </w:style>
  <w:style w:type="paragraph" w:customStyle="1" w:styleId="CIRSourceNote">
    <w:name w:val="CIR Source Note"/>
    <w:basedOn w:val="CIRMaster"/>
    <w:next w:val="CIRBodyText"/>
    <w:pPr>
      <w:spacing w:before="60" w:after="60" w:line="240" w:lineRule="auto"/>
    </w:pPr>
    <w:rPr>
      <w:rFonts w:ascii="Arial Narrow" w:hAnsi="Arial Narrow" w:cs="Arial Narrow"/>
      <w:sz w:val="16"/>
      <w:szCs w:val="16"/>
    </w:rPr>
  </w:style>
  <w:style w:type="paragraph" w:customStyle="1" w:styleId="CIRSourceNoteLinked">
    <w:name w:val="CIR Source Note Linked"/>
    <w:basedOn w:val="CIRSourceNote"/>
    <w:next w:val="CIRBodyText"/>
    <w:pPr>
      <w:pBdr>
        <w:bottom w:val="single" w:sz="8" w:space="4" w:color="002D72"/>
      </w:pBdr>
      <w:spacing w:after="180"/>
    </w:pPr>
  </w:style>
  <w:style w:type="paragraph" w:customStyle="1" w:styleId="CIRSubCaption">
    <w:name w:val="CIR Sub Caption"/>
    <w:basedOn w:val="CIRCaption"/>
    <w:pPr>
      <w:spacing w:before="0"/>
    </w:pPr>
    <w:rPr>
      <w:b w:val="0"/>
      <w:szCs w:val="19"/>
    </w:rPr>
  </w:style>
  <w:style w:type="paragraph" w:customStyle="1" w:styleId="CIRSubHeadline">
    <w:name w:val="CIR Sub Headline"/>
    <w:basedOn w:val="CIRHeadline"/>
    <w:pPr>
      <w:spacing w:after="0"/>
    </w:pPr>
    <w:rPr>
      <w:rFonts w:cs="Times New Roman"/>
      <w:b w:val="0"/>
      <w:szCs w:val="26"/>
    </w:rPr>
  </w:style>
  <w:style w:type="paragraph" w:customStyle="1" w:styleId="CIRSub-brandingLabel">
    <w:name w:val="CIR Sub-branding Label"/>
    <w:basedOn w:val="CIRMaster"/>
    <w:pPr>
      <w:jc w:val="right"/>
    </w:pPr>
    <w:rPr>
      <w:color w:val="FFFFFF"/>
      <w:sz w:val="28"/>
      <w:szCs w:val="24"/>
    </w:rPr>
  </w:style>
  <w:style w:type="character" w:customStyle="1" w:styleId="CIRSuperscript">
    <w:name w:val="CIR Superscript"/>
    <w:basedOn w:val="DefaultParagraphFont"/>
    <w:uiPriority w:val="1"/>
    <w:rPr>
      <w:vertAlign w:val="superscript"/>
    </w:rPr>
  </w:style>
  <w:style w:type="table" w:customStyle="1" w:styleId="CIRTable">
    <w:name w:val="CIR Table"/>
    <w:basedOn w:val="CIRTableNoLines"/>
    <w:pPr>
      <w:spacing w:line="160" w:lineRule="atLeast"/>
    </w:pPr>
    <w:rPr>
      <w:rFonts w:eastAsia="MS PGothic" w:cs="Arial Narrow"/>
      <w:sz w:val="20"/>
      <w:szCs w:val="20"/>
      <w:lang w:eastAsia="zh-TW"/>
    </w:rPr>
    <w:tblPr>
      <w:tblInd w:w="0" w:type="dxa"/>
      <w:tblBorders>
        <w:top w:val="single" w:sz="24" w:space="0" w:color="002D72"/>
        <w:bottom w:val="single" w:sz="8" w:space="0" w:color="002D72"/>
      </w:tblBorders>
      <w:tblCellMar>
        <w:top w:w="0" w:type="dxa"/>
        <w:left w:w="0" w:type="dxa"/>
        <w:bottom w:w="0" w:type="dxa"/>
        <w:right w:w="0" w:type="dxa"/>
      </w:tblCellMar>
    </w:tblPr>
    <w:tcPr>
      <w:shd w:val="clear" w:color="auto" w:fill="auto"/>
    </w:tcPr>
    <w:tblStylePr w:type="firstRow">
      <w:tblPr/>
      <w:tcPr>
        <w:tcBorders>
          <w:top w:val="single" w:sz="24" w:space="0" w:color="002D72"/>
          <w:left w:val="nil"/>
          <w:bottom w:val="nil"/>
          <w:right w:val="nil"/>
          <w:insideH w:val="nil"/>
          <w:insideV w:val="nil"/>
          <w:tl2br w:val="nil"/>
          <w:tr2bl w:val="nil"/>
        </w:tcBorders>
      </w:tcPr>
    </w:tblStylePr>
    <w:tblStylePr w:type="lastRow">
      <w:pPr>
        <w:wordWrap/>
        <w:spacing w:afterLines="30" w:after="0" w:afterAutospacing="0"/>
      </w:pPr>
      <w:rPr>
        <w:sz w:val="16"/>
        <w:szCs w:val="16"/>
      </w:rPr>
      <w:tblPr/>
      <w:tcPr>
        <w:tcBorders>
          <w:top w:val="nil"/>
          <w:left w:val="nil"/>
          <w:bottom w:val="single" w:sz="8" w:space="0" w:color="002D72"/>
          <w:right w:val="nil"/>
          <w:insideH w:val="nil"/>
          <w:insideV w:val="nil"/>
          <w:tl2br w:val="nil"/>
          <w:tr2bl w:val="nil"/>
        </w:tcBorders>
        <w:tcMar>
          <w:top w:w="0" w:type="dxa"/>
          <w:left w:w="0" w:type="nil"/>
          <w:bottom w:w="0" w:type="dxa"/>
          <w:right w:w="0" w:type="nil"/>
        </w:tcMar>
      </w:tcPr>
    </w:tblStylePr>
  </w:style>
  <w:style w:type="table" w:customStyle="1" w:styleId="CIRTableNoLines">
    <w:name w:val="CIR Table No Lines"/>
    <w:basedOn w:val="TableNormal"/>
    <w:pPr>
      <w:spacing w:after="0" w:line="160" w:lineRule="exact"/>
    </w:pPr>
    <w:rPr>
      <w:rFonts w:ascii="Arial Narrow" w:eastAsia="MS Mincho" w:hAnsi="Arial Narrow" w:cs="Times New Roman"/>
      <w:kern w:val="18"/>
      <w:sz w:val="16"/>
      <w:szCs w:val="16"/>
    </w:rPr>
    <w:tblPr>
      <w:tblInd w:w="0" w:type="dxa"/>
      <w:tblCellMar>
        <w:top w:w="0" w:type="dxa"/>
        <w:left w:w="0" w:type="dxa"/>
        <w:bottom w:w="0" w:type="dxa"/>
        <w:right w:w="0" w:type="dxa"/>
      </w:tblCellMar>
    </w:tblPr>
    <w:tblStylePr w:type="firstRow">
      <w:tblPr/>
      <w:tcPr>
        <w:tcBorders>
          <w:top w:val="nil"/>
          <w:left w:val="nil"/>
          <w:bottom w:val="nil"/>
          <w:right w:val="nil"/>
          <w:insideH w:val="nil"/>
          <w:insideV w:val="nil"/>
          <w:tl2br w:val="nil"/>
          <w:tr2bl w:val="nil"/>
        </w:tcBorders>
      </w:tcPr>
    </w:tblStylePr>
    <w:tblStylePr w:type="lastRow">
      <w:pPr>
        <w:wordWrap/>
        <w:spacing w:afterLines="0" w:after="0" w:afterAutospacing="0"/>
      </w:pPr>
      <w:tblPr/>
      <w:tcPr>
        <w:tcBorders>
          <w:top w:val="nil"/>
          <w:left w:val="nil"/>
          <w:bottom w:val="nil"/>
          <w:right w:val="nil"/>
          <w:insideH w:val="nil"/>
          <w:insideV w:val="nil"/>
          <w:tl2br w:val="nil"/>
          <w:tr2bl w:val="nil"/>
        </w:tcBorders>
      </w:tcPr>
    </w:tblStylePr>
  </w:style>
  <w:style w:type="table" w:customStyle="1" w:styleId="CIRTableTopBorder">
    <w:name w:val="CIR Table Top Border"/>
    <w:basedOn w:val="CIRTable"/>
    <w:tblPr>
      <w:tblInd w:w="0" w:type="dxa"/>
      <w:tblBorders>
        <w:top w:val="single" w:sz="24" w:space="0" w:color="002D72"/>
      </w:tblBorders>
      <w:tblCellMar>
        <w:top w:w="0" w:type="dxa"/>
        <w:left w:w="0" w:type="dxa"/>
        <w:bottom w:w="0" w:type="dxa"/>
        <w:right w:w="0" w:type="dxa"/>
      </w:tblCellMar>
    </w:tblPr>
    <w:tcPr>
      <w:shd w:val="clear" w:color="auto" w:fill="auto"/>
    </w:tcPr>
    <w:tblStylePr w:type="firstRow">
      <w:tblPr/>
      <w:tcPr>
        <w:tcBorders>
          <w:top w:val="single" w:sz="24" w:space="0" w:color="002D72"/>
          <w:left w:val="nil"/>
          <w:bottom w:val="nil"/>
          <w:right w:val="nil"/>
          <w:insideH w:val="nil"/>
          <w:insideV w:val="nil"/>
          <w:tl2br w:val="nil"/>
          <w:tr2bl w:val="nil"/>
        </w:tcBorders>
      </w:tcPr>
    </w:tblStylePr>
    <w:tblStylePr w:type="lastRow">
      <w:pPr>
        <w:wordWrap/>
        <w:spacing w:afterLines="30" w:after="30" w:afterAutospacing="0"/>
      </w:pPr>
      <w:rPr>
        <w:sz w:val="16"/>
        <w:szCs w:val="16"/>
      </w:rPr>
      <w:tblPr/>
      <w:tcPr>
        <w:tcBorders>
          <w:top w:val="nil"/>
          <w:left w:val="nil"/>
          <w:bottom w:val="single" w:sz="8" w:space="0" w:color="002D72"/>
          <w:right w:val="nil"/>
          <w:insideH w:val="nil"/>
          <w:insideV w:val="nil"/>
          <w:tl2br w:val="nil"/>
          <w:tr2bl w:val="nil"/>
        </w:tcBorders>
        <w:tcMar>
          <w:top w:w="115" w:type="dxa"/>
          <w:left w:w="0" w:type="nil"/>
          <w:bottom w:w="0" w:type="nil"/>
          <w:right w:w="0" w:type="nil"/>
        </w:tcMar>
      </w:tcPr>
    </w:tblStylePr>
  </w:style>
  <w:style w:type="paragraph" w:customStyle="1" w:styleId="CIRT-Bullet">
    <w:name w:val="CIR T-Bullet"/>
    <w:basedOn w:val="CIRT-Left"/>
    <w:pPr>
      <w:numPr>
        <w:numId w:val="16"/>
      </w:numPr>
    </w:pPr>
  </w:style>
  <w:style w:type="paragraph" w:customStyle="1" w:styleId="CIRT-Center">
    <w:name w:val="CIR T-Center"/>
    <w:basedOn w:val="CIRT-Left"/>
    <w:pPr>
      <w:jc w:val="center"/>
    </w:pPr>
  </w:style>
  <w:style w:type="paragraph" w:customStyle="1" w:styleId="CIRT-CenterBold">
    <w:name w:val="CIR T-Center Bold"/>
    <w:basedOn w:val="CIRT-Center"/>
    <w:pPr>
      <w:spacing w:before="60"/>
    </w:pPr>
    <w:rPr>
      <w:b/>
      <w:bCs/>
    </w:rPr>
  </w:style>
  <w:style w:type="paragraph" w:customStyle="1" w:styleId="CIRT-CenterBoldMerged">
    <w:name w:val="CIR T-Center Bold Merged"/>
    <w:basedOn w:val="CIRT-CenterBold"/>
    <w:pPr>
      <w:pBdr>
        <w:bottom w:val="single" w:sz="6" w:space="0" w:color="002D72"/>
      </w:pBdr>
      <w:ind w:left="230" w:right="58"/>
    </w:pPr>
  </w:style>
  <w:style w:type="paragraph" w:customStyle="1" w:styleId="CIRTextBullet">
    <w:name w:val="CIR Text Bullet"/>
    <w:basedOn w:val="CIRBodyText"/>
    <w:pPr>
      <w:numPr>
        <w:numId w:val="18"/>
      </w:numPr>
    </w:pPr>
    <w:rPr>
      <w:szCs w:val="19"/>
    </w:rPr>
  </w:style>
  <w:style w:type="paragraph" w:customStyle="1" w:styleId="CIRTextBulletLevel2">
    <w:name w:val="CIR Text Bullet Level 2"/>
    <w:basedOn w:val="CIRMaster"/>
    <w:pPr>
      <w:numPr>
        <w:ilvl w:val="1"/>
        <w:numId w:val="18"/>
      </w:numPr>
      <w:spacing w:after="200"/>
    </w:pPr>
    <w:rPr>
      <w:szCs w:val="19"/>
    </w:rPr>
  </w:style>
  <w:style w:type="paragraph" w:customStyle="1" w:styleId="CIRTitle">
    <w:name w:val="CIR Title"/>
    <w:basedOn w:val="CIRMaster"/>
    <w:pPr>
      <w:outlineLvl w:val="0"/>
    </w:pPr>
    <w:rPr>
      <w:rFonts w:ascii="Arial Narrow" w:hAnsi="Arial Narrow" w:cs="Arial Narrow"/>
      <w:b/>
      <w:bCs/>
      <w:color w:val="002D72"/>
      <w:sz w:val="38"/>
      <w:szCs w:val="40"/>
    </w:rPr>
  </w:style>
  <w:style w:type="paragraph" w:customStyle="1" w:styleId="CIRT-Left">
    <w:name w:val="CIR T-Left"/>
    <w:basedOn w:val="CIRMaster"/>
    <w:pPr>
      <w:keepNext/>
      <w:spacing w:before="40" w:line="160" w:lineRule="exact"/>
    </w:pPr>
    <w:rPr>
      <w:rFonts w:ascii="Arial Narrow" w:hAnsi="Arial Narrow" w:cs="Arial Narrow"/>
      <w:sz w:val="16"/>
      <w:szCs w:val="16"/>
    </w:rPr>
  </w:style>
  <w:style w:type="paragraph" w:customStyle="1" w:styleId="CIRT-LeftBold">
    <w:name w:val="CIR T-Left Bold"/>
    <w:basedOn w:val="CIRT-Left"/>
    <w:pPr>
      <w:spacing w:before="60"/>
    </w:pPr>
    <w:rPr>
      <w:b/>
      <w:bCs/>
    </w:rPr>
  </w:style>
  <w:style w:type="paragraph" w:customStyle="1" w:styleId="CIRT-LeftSpace">
    <w:name w:val="CIR T-Left+Space"/>
    <w:basedOn w:val="CIRT-Left"/>
    <w:pPr>
      <w:spacing w:after="120"/>
    </w:pPr>
  </w:style>
  <w:style w:type="paragraph" w:customStyle="1" w:styleId="CIRTOCTitle">
    <w:name w:val="CIR TOC Title"/>
    <w:basedOn w:val="CIRChapter"/>
    <w:next w:val="CIRBodyText"/>
    <w:pPr>
      <w:pageBreakBefore w:val="0"/>
      <w:framePr w:wrap="around" w:y="879"/>
    </w:pPr>
  </w:style>
  <w:style w:type="paragraph" w:customStyle="1" w:styleId="CIRT-Right">
    <w:name w:val="CIR T-Right"/>
    <w:basedOn w:val="CIRT-Left"/>
    <w:pPr>
      <w:ind w:right="43"/>
      <w:jc w:val="right"/>
    </w:pPr>
  </w:style>
  <w:style w:type="paragraph" w:customStyle="1" w:styleId="CIRT-RightBold">
    <w:name w:val="CIR T-Right Bold"/>
    <w:basedOn w:val="CIRT-Right"/>
    <w:next w:val="CIRT-Right"/>
    <w:pPr>
      <w:spacing w:before="60"/>
    </w:pPr>
    <w:rPr>
      <w:b/>
      <w:bCs/>
    </w:rPr>
  </w:style>
  <w:style w:type="paragraph" w:customStyle="1" w:styleId="CIRT-RightSpace">
    <w:name w:val="CIR T-Right+Space"/>
    <w:basedOn w:val="CIRT-LeftSpace"/>
    <w:pPr>
      <w:ind w:right="43"/>
      <w:jc w:val="right"/>
    </w:pPr>
  </w:style>
  <w:style w:type="paragraph" w:customStyle="1" w:styleId="CIRVideoImage">
    <w:name w:val="CIR Video Image"/>
    <w:basedOn w:val="CIRBodyText"/>
    <w:next w:val="CIRVideoLink"/>
    <w:pPr>
      <w:pBdr>
        <w:bottom w:val="single" w:sz="8" w:space="3" w:color="002D72"/>
      </w:pBdr>
      <w:spacing w:after="0"/>
    </w:pPr>
    <w:rPr>
      <w:rFonts w:ascii="Arial Narrow" w:hAnsi="Arial Narrow"/>
    </w:rPr>
  </w:style>
  <w:style w:type="paragraph" w:customStyle="1" w:styleId="CIRVideoLink">
    <w:name w:val="CIR Video Link"/>
    <w:basedOn w:val="CIRBodyText"/>
    <w:pPr>
      <w:spacing w:before="120" w:after="0"/>
    </w:pPr>
    <w:rPr>
      <w:rFonts w:ascii="Arial Narrow" w:hAnsi="Arial Narrow"/>
      <w:color w:val="009FDA"/>
    </w:rPr>
  </w:style>
  <w:style w:type="paragraph" w:customStyle="1" w:styleId="DisclosureHiddenText">
    <w:name w:val="DisclosureHiddenText"/>
    <w:basedOn w:val="CIRMaster"/>
    <w:pPr>
      <w:spacing w:line="14" w:lineRule="auto"/>
    </w:pPr>
    <w:rPr>
      <w:rFonts w:ascii="Courier New" w:eastAsia="MS Gothic" w:hAnsi="Courier New"/>
      <w:vanish/>
      <w:color w:val="FFFFFF"/>
      <w:sz w:val="2"/>
      <w:szCs w:val="2"/>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rPr>
      <w:vertAlign w:val="superscript"/>
    </w:rPr>
  </w:style>
  <w:style w:type="paragraph" w:styleId="FootnoteText">
    <w:name w:val="footnote text"/>
    <w:basedOn w:val="CIRDisclosureBlock"/>
    <w:link w:val="FootnoteTextChar"/>
    <w:rPr>
      <w:sz w:val="16"/>
      <w:szCs w:val="20"/>
    </w:rPr>
  </w:style>
  <w:style w:type="character" w:customStyle="1" w:styleId="FootnoteTextChar">
    <w:name w:val="Footnote Text Char"/>
    <w:basedOn w:val="DefaultParagraphFont"/>
    <w:link w:val="FootnoteText"/>
    <w:rPr>
      <w:rFonts w:ascii="Arial Narrow" w:eastAsia="MS PGothic" w:hAnsi="Arial Narrow" w:cs="Arial"/>
      <w:kern w:val="18"/>
      <w:sz w:val="16"/>
      <w:szCs w:val="20"/>
    </w:rPr>
  </w:style>
  <w:style w:type="character" w:customStyle="1" w:styleId="Heading1Char">
    <w:name w:val="Heading 1 Char"/>
    <w:basedOn w:val="DefaultParagraphFont"/>
    <w:link w:val="Heading1"/>
    <w:rPr>
      <w:rFonts w:ascii="Arial" w:eastAsia="MS PGothic" w:hAnsi="Arial" w:cs="Arial Narrow"/>
      <w:b/>
      <w:bCs/>
      <w:kern w:val="18"/>
      <w:sz w:val="30"/>
      <w:szCs w:val="32"/>
    </w:rPr>
  </w:style>
  <w:style w:type="character" w:customStyle="1" w:styleId="Heading2Char">
    <w:name w:val="Heading 2 Char"/>
    <w:basedOn w:val="DefaultParagraphFont"/>
    <w:link w:val="Heading2"/>
    <w:rPr>
      <w:rFonts w:ascii="Arial" w:eastAsia="MS PGothic" w:hAnsi="Arial" w:cs="Arial Narrow"/>
      <w:b/>
      <w:bCs/>
      <w:kern w:val="18"/>
      <w:sz w:val="24"/>
      <w:szCs w:val="24"/>
    </w:rPr>
  </w:style>
  <w:style w:type="character" w:customStyle="1" w:styleId="Heading3Char">
    <w:name w:val="Heading 3 Char"/>
    <w:basedOn w:val="DefaultParagraphFont"/>
    <w:link w:val="Heading3"/>
    <w:rPr>
      <w:rFonts w:ascii="Arial" w:eastAsia="MS PGothic" w:hAnsi="Arial" w:cs="Arial"/>
      <w:b/>
      <w:bCs/>
      <w:kern w:val="18"/>
      <w:sz w:val="20"/>
      <w:szCs w:val="20"/>
    </w:rPr>
  </w:style>
  <w:style w:type="character" w:customStyle="1" w:styleId="Heading4Char">
    <w:name w:val="Heading 4 Char"/>
    <w:basedOn w:val="DefaultParagraphFont"/>
    <w:link w:val="Heading4"/>
    <w:rPr>
      <w:rFonts w:ascii="Arial" w:eastAsia="MS PGothic" w:hAnsi="Arial" w:cs="Arial"/>
      <w:bCs/>
      <w:kern w:val="18"/>
      <w:sz w:val="20"/>
      <w:szCs w:val="20"/>
    </w:rPr>
  </w:style>
  <w:style w:type="character" w:customStyle="1" w:styleId="Heading5Char">
    <w:name w:val="Heading 5 Char"/>
    <w:basedOn w:val="DefaultParagraphFont"/>
    <w:link w:val="Heading5"/>
    <w:rPr>
      <w:rFonts w:ascii="Arial" w:eastAsia="MS PGothic" w:hAnsi="Arial" w:cs="Arial"/>
      <w:b/>
      <w:bCs/>
      <w:i/>
      <w:iCs/>
      <w:kern w:val="18"/>
      <w:sz w:val="26"/>
      <w:szCs w:val="26"/>
    </w:rPr>
  </w:style>
  <w:style w:type="character" w:styleId="Hyperlink">
    <w:name w:val="Hyperlink"/>
    <w:basedOn w:val="DefaultParagraphFont"/>
    <w:uiPriority w:val="99"/>
    <w:unhideWhenUsed/>
    <w:rPr>
      <w:color w:val="0000FF" w:themeColor="hyperlink"/>
      <w:u w:val="single"/>
    </w:rPr>
  </w:style>
  <w:style w:type="character" w:styleId="PageNumber">
    <w:name w:val="page number"/>
    <w:basedOn w:val="DefaultParagraphFont"/>
    <w:rPr>
      <w:rFonts w:ascii="Arial" w:eastAsia="MS PGothic" w:hAnsi="Arial" w:hint="eastAsia"/>
      <w:color w:val="002D72"/>
      <w:sz w:val="18"/>
    </w:rPr>
  </w:style>
  <w:style w:type="paragraph" w:customStyle="1" w:styleId="RatingDate">
    <w:name w:val="Rating_Date"/>
    <w:basedOn w:val="CIRMaster"/>
    <w:unhideWhenUsed/>
    <w:pPr>
      <w:spacing w:line="240" w:lineRule="auto"/>
    </w:pPr>
    <w:rPr>
      <w:rFonts w:ascii="Arial Narrow" w:hAnsi="Arial Narrow" w:cs="Arial Narrow"/>
      <w:b/>
      <w:bCs/>
      <w:i/>
      <w:iCs/>
      <w:noProof/>
      <w:szCs w:val="17"/>
    </w:rPr>
  </w:style>
  <w:style w:type="paragraph" w:customStyle="1" w:styleId="RatingHeading1">
    <w:name w:val="Rating_Heading1"/>
    <w:basedOn w:val="CIRMaster"/>
    <w:unhideWhenUsed/>
    <w:pPr>
      <w:spacing w:line="240" w:lineRule="auto"/>
      <w:jc w:val="center"/>
    </w:pPr>
    <w:rPr>
      <w:rFonts w:ascii="Arial Narrow" w:hAnsi="Arial Narrow" w:cs="Arial Narrow"/>
      <w:b/>
      <w:bCs/>
      <w:noProof/>
      <w:szCs w:val="17"/>
    </w:rPr>
  </w:style>
  <w:style w:type="paragraph" w:customStyle="1" w:styleId="RatingHeadingTitle">
    <w:name w:val="Rating_HeadingTitle"/>
    <w:basedOn w:val="RatingHeading1"/>
    <w:unhideWhenUsed/>
    <w:pPr>
      <w:jc w:val="left"/>
    </w:pPr>
    <w:rPr>
      <w:noProof w:val="0"/>
    </w:rPr>
  </w:style>
  <w:style w:type="paragraph" w:customStyle="1" w:styleId="RatingNumbers">
    <w:name w:val="Rating_Numbers"/>
    <w:basedOn w:val="CIRMaster"/>
    <w:unhideWhenUsed/>
    <w:pPr>
      <w:spacing w:line="240" w:lineRule="auto"/>
      <w:jc w:val="right"/>
    </w:pPr>
    <w:rPr>
      <w:rFonts w:ascii="Arial Narrow" w:hAnsi="Arial Narrow" w:cs="Arial Narrow"/>
      <w:noProof/>
      <w:szCs w:val="17"/>
    </w:rPr>
  </w:style>
  <w:style w:type="paragraph" w:customStyle="1" w:styleId="RatingText">
    <w:name w:val="Rating_Text"/>
    <w:basedOn w:val="CIRMaster"/>
    <w:unhideWhenUsed/>
    <w:pPr>
      <w:spacing w:line="240" w:lineRule="auto"/>
    </w:pPr>
    <w:rPr>
      <w:rFonts w:ascii="Arial Narrow" w:hAnsi="Arial Narrow" w:cs="Arial Narrow"/>
      <w:noProof/>
      <w:szCs w:val="17"/>
    </w:rPr>
  </w:style>
  <w:style w:type="paragraph" w:customStyle="1" w:styleId="RatingText2">
    <w:name w:val="Rating_Text2"/>
    <w:basedOn w:val="RatingText"/>
    <w:unhideWhenUsed/>
    <w:pPr>
      <w:ind w:left="158"/>
    </w:pPr>
    <w:rPr>
      <w:i/>
      <w:iCs/>
    </w:rPr>
  </w:style>
  <w:style w:type="paragraph" w:customStyle="1" w:styleId="Ratings">
    <w:name w:val="Ratings"/>
    <w:basedOn w:val="RatingHeading1"/>
    <w:unhideWhenUsed/>
    <w:pPr>
      <w:jc w:val="right"/>
    </w:pPr>
  </w:style>
  <w:style w:type="paragraph" w:customStyle="1" w:styleId="SSBCharts">
    <w:name w:val="SSB_Charts"/>
    <w:basedOn w:val="CIRMaster"/>
    <w:unhideWhenUsed/>
    <w:pPr>
      <w:spacing w:after="40" w:line="240" w:lineRule="auto"/>
    </w:pPr>
    <w:rPr>
      <w:rFonts w:ascii="Arial Narrow" w:hAnsi="Arial Narrow" w:cs="Arial Narrow"/>
      <w:noProof/>
      <w:color w:val="000000"/>
      <w:szCs w:val="17"/>
    </w:rPr>
  </w:style>
  <w:style w:type="paragraph" w:customStyle="1" w:styleId="SSBDisclaimer">
    <w:name w:val="SSB_Disclaimer"/>
    <w:basedOn w:val="CIRMaster"/>
    <w:unhideWhenUsed/>
    <w:pPr>
      <w:pBdr>
        <w:bottom w:val="single" w:sz="4" w:space="1" w:color="auto"/>
        <w:between w:val="single" w:sz="4" w:space="1" w:color="auto"/>
      </w:pBdr>
      <w:spacing w:after="40" w:line="240" w:lineRule="auto"/>
    </w:pPr>
    <w:rPr>
      <w:rFonts w:ascii="Arial Narrow" w:hAnsi="Arial Narrow" w:cs="Arial Narrow"/>
      <w:noProof/>
      <w:color w:val="000000"/>
      <w:szCs w:val="17"/>
    </w:rPr>
  </w:style>
  <w:style w:type="paragraph" w:styleId="TOC1">
    <w:name w:val="toc 1"/>
    <w:basedOn w:val="CIRMaster"/>
    <w:pPr>
      <w:tabs>
        <w:tab w:val="right" w:pos="6696"/>
      </w:tabs>
      <w:spacing w:before="60" w:line="240" w:lineRule="auto"/>
      <w:ind w:right="576"/>
    </w:pPr>
    <w:rPr>
      <w:b/>
      <w:bCs/>
      <w:noProof/>
      <w:sz w:val="22"/>
      <w:szCs w:val="24"/>
    </w:rPr>
  </w:style>
  <w:style w:type="paragraph" w:styleId="TOC2">
    <w:name w:val="toc 2"/>
    <w:basedOn w:val="CIRMaster"/>
    <w:pPr>
      <w:tabs>
        <w:tab w:val="right" w:pos="6696"/>
      </w:tabs>
      <w:spacing w:before="40"/>
      <w:ind w:right="576"/>
    </w:pPr>
    <w:rPr>
      <w:b/>
      <w:sz w:val="20"/>
      <w:szCs w:val="20"/>
    </w:rPr>
  </w:style>
  <w:style w:type="paragraph" w:styleId="TOC3">
    <w:name w:val="toc 3"/>
    <w:basedOn w:val="CIRMaster"/>
    <w:pPr>
      <w:tabs>
        <w:tab w:val="right" w:pos="6696"/>
      </w:tabs>
      <w:ind w:left="360" w:right="576"/>
    </w:pPr>
  </w:style>
  <w:style w:type="paragraph" w:styleId="TOC4">
    <w:name w:val="toc 4"/>
    <w:basedOn w:val="CIRMaster"/>
    <w:pPr>
      <w:tabs>
        <w:tab w:val="right" w:pos="6696"/>
      </w:tabs>
      <w:ind w:left="720" w:right="576"/>
    </w:pPr>
  </w:style>
  <w:style w:type="paragraph" w:styleId="TOC5">
    <w:name w:val="toc 5"/>
    <w:basedOn w:val="CIRMaster"/>
    <w:pPr>
      <w:pBdr>
        <w:top w:val="single" w:sz="2" w:space="0" w:color="FFFFFF"/>
        <w:left w:val="single" w:sz="2" w:space="0" w:color="FFFFFF"/>
        <w:bottom w:val="single" w:sz="2" w:space="0" w:color="FFFFFF"/>
        <w:right w:val="single" w:sz="2" w:space="31" w:color="FFFFFF"/>
      </w:pBdr>
      <w:shd w:val="clear" w:color="auto" w:fill="E6E6E6"/>
      <w:tabs>
        <w:tab w:val="right" w:pos="6696"/>
      </w:tabs>
      <w:spacing w:before="60"/>
      <w:ind w:right="576"/>
    </w:pPr>
    <w:rPr>
      <w:b/>
      <w:sz w:val="28"/>
      <w:szCs w:val="28"/>
    </w:rPr>
  </w:style>
  <w:style w:type="paragraph" w:styleId="TOC6">
    <w:name w:val="toc 6"/>
    <w:basedOn w:val="CIRMaster"/>
    <w:pPr>
      <w:ind w:left="1200"/>
    </w:pPr>
  </w:style>
  <w:style w:type="paragraph" w:styleId="TOC7">
    <w:name w:val="toc 7"/>
    <w:basedOn w:val="CIRMaster"/>
    <w:pPr>
      <w:ind w:left="1440"/>
    </w:pPr>
  </w:style>
  <w:style w:type="paragraph" w:styleId="TOC8">
    <w:name w:val="toc 8"/>
    <w:basedOn w:val="CIRMaster"/>
    <w:pPr>
      <w:ind w:left="1680"/>
    </w:pPr>
    <w:rPr>
      <w:szCs w:val="19"/>
    </w:rPr>
  </w:style>
  <w:style w:type="paragraph" w:styleId="TOC9">
    <w:name w:val="toc 9"/>
    <w:basedOn w:val="CIRMaster"/>
    <w:pPr>
      <w:ind w:left="1920"/>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kern w:val="18"/>
      <w:sz w:val="18"/>
      <w:szCs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18"/>
      <w:sz w:val="18"/>
      <w:szCs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18"/>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18"/>
      <w:sz w:val="20"/>
      <w:szCs w:val="20"/>
    </w:rPr>
  </w:style>
  <w:style w:type="paragraph" w:styleId="TableofFigures">
    <w:name w:val="table of figures"/>
    <w:basedOn w:val="CIRMaster"/>
    <w:next w:val="Normal"/>
    <w:uiPriority w:val="99"/>
    <w:semiHidden/>
    <w:unhideWhenUsed/>
  </w:style>
  <w:style w:type="paragraph" w:styleId="Header">
    <w:name w:val="header"/>
    <w:basedOn w:val="Normal"/>
    <w:link w:val="HeaderChar"/>
    <w:pPr>
      <w:tabs>
        <w:tab w:val="center" w:pos="4680"/>
        <w:tab w:val="right" w:pos="9360"/>
      </w:tabs>
      <w:spacing w:line="240" w:lineRule="auto"/>
    </w:pPr>
    <w:rPr>
      <w:rFonts w:ascii="Calibri" w:eastAsia="PMingLiU" w:hAnsi="Calibri" w:cs="Times New Roman"/>
    </w:rPr>
  </w:style>
  <w:style w:type="character" w:customStyle="1" w:styleId="HeaderChar">
    <w:name w:val="Header Char"/>
    <w:basedOn w:val="DefaultParagraphFont"/>
    <w:link w:val="Header"/>
    <w:rPr>
      <w:rFonts w:ascii="Calibri" w:eastAsia="PMingLiU" w:hAnsi="Calibri" w:cs="Times New Roman"/>
    </w:rPr>
  </w:style>
  <w:style w:type="numbering" w:styleId="1ai">
    <w:name w:val="Outline List 1"/>
    <w:basedOn w:val="NoList"/>
    <w:pPr>
      <w:numPr>
        <w:numId w:val="19"/>
      </w:numPr>
    </w:pPr>
  </w:style>
  <w:style w:type="paragraph" w:styleId="ListBullet">
    <w:name w:val="List Bullet"/>
    <w:basedOn w:val="Normal"/>
    <w:pPr>
      <w:numPr>
        <w:numId w:val="20"/>
      </w:numPr>
      <w:contextualSpacing/>
    </w:pPr>
    <w:rPr>
      <w:rFonts w:ascii="Calibri" w:eastAsia="PMingLiU" w:hAnsi="Calibri" w:cs="Times New Roman"/>
    </w:rPr>
  </w:style>
  <w:style w:type="character" w:styleId="PlaceholderText">
    <w:name w:val="Placeholder Text"/>
    <w:basedOn w:val="DefaultParagraphFont"/>
    <w:uiPriority w:val="99"/>
    <w:semiHidden/>
    <w:rPr>
      <w:color w:val="808080"/>
    </w:rPr>
  </w:style>
  <w:style w:type="paragraph" w:customStyle="1" w:styleId="CIRDisclosureHeading2">
    <w:name w:val="CIR Disclosure Heading 2"/>
    <w:basedOn w:val="Normal"/>
    <w:pPr>
      <w:pBdr>
        <w:bottom w:val="single" w:sz="8" w:space="1" w:color="auto"/>
      </w:pBdr>
      <w:spacing w:before="240" w:after="155"/>
      <w:outlineLvl w:val="1"/>
    </w:pPr>
    <w:rPr>
      <w:rFonts w:eastAsia="Arial Unicode MS" w:cs="Arial"/>
      <w:b/>
      <w:spacing w:val="2"/>
      <w:sz w:val="24"/>
      <w:szCs w:val="18"/>
    </w:rPr>
  </w:style>
  <w:style w:type="paragraph" w:customStyle="1" w:styleId="RatingTextCenter">
    <w:name w:val="Rating_Text_Center"/>
    <w:basedOn w:val="RatingText"/>
    <w:pPr>
      <w:jc w:val="center"/>
    </w:pPr>
  </w:style>
  <w:style w:type="paragraph" w:customStyle="1" w:styleId="RatingTextCenterNew">
    <w:name w:val="Rating_Text_Center_New"/>
    <w:basedOn w:val="RatingTextCenter"/>
    <w:next w:val="RatingTextCenter"/>
    <w:pPr>
      <w:pBdr>
        <w:top w:val="single" w:sz="4" w:space="1" w:color="auto"/>
      </w:pBdr>
    </w:pPr>
  </w:style>
  <w:style w:type="paragraph" w:customStyle="1" w:styleId="RatingHeading1Underline">
    <w:name w:val="Rating_Heading1_Underline"/>
    <w:basedOn w:val="RatingHeading1"/>
    <w:pPr>
      <w:pBdr>
        <w:bottom w:val="single" w:sz="4" w:space="1" w:color="auto"/>
      </w:pBdr>
    </w:pPr>
  </w:style>
  <w:style w:type="paragraph" w:customStyle="1" w:styleId="CIRHeading2">
    <w:name w:val="CIR Heading 2"/>
    <w:basedOn w:val="CIRMaster"/>
    <w:next w:val="CIRBodyText"/>
    <w:pPr>
      <w:keepNext/>
      <w:spacing w:after="155"/>
      <w:outlineLvl w:val="1"/>
    </w:pPr>
    <w:rPr>
      <w:b/>
      <w:bCs/>
      <w:sz w:val="24"/>
      <w:szCs w:val="24"/>
    </w:rPr>
  </w:style>
  <w:style w:type="paragraph" w:customStyle="1" w:styleId="CIRTitleMC">
    <w:name w:val="CIR Title MC"/>
    <w:basedOn w:val="CIRTitle"/>
    <w:pPr>
      <w:shd w:val="clear" w:color="auto" w:fill="002D72"/>
      <w:tabs>
        <w:tab w:val="left" w:pos="1"/>
        <w:tab w:val="left" w:pos="1008"/>
      </w:tabs>
      <w:ind w:left="-1008" w:right="3276"/>
    </w:pPr>
    <w:rPr>
      <w:color w:val="FFFFFF"/>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Arial" w:hAnsi="Arial"/>
      <w:sz w:val="18"/>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rmalWeb">
    <w:name w:val="Normal (Web)"/>
    <w:basedOn w:val="Normal"/>
    <w:uiPriority w:val="99"/>
    <w:unhideWhenUsed/>
    <w:rsid w:val="007F3ED6"/>
    <w:pPr>
      <w:spacing w:before="100" w:beforeAutospacing="1" w:after="100" w:afterAutospacing="1" w:line="240" w:lineRule="auto"/>
    </w:pPr>
    <w:rPr>
      <w:rFonts w:ascii="Times New Roman" w:hAnsi="Times New Roman" w:cs="Times New Roman"/>
      <w:sz w:val="24"/>
      <w:szCs w:val="24"/>
    </w:rPr>
  </w:style>
  <w:style w:type="character" w:customStyle="1" w:styleId="CIRBodyTextChar">
    <w:name w:val="CIR Body Text Char"/>
    <w:basedOn w:val="DefaultParagraphFont"/>
    <w:link w:val="CIRBodyText"/>
    <w:locked/>
    <w:rsid w:val="007F3ED6"/>
    <w:rPr>
      <w:rFonts w:ascii="Arial" w:eastAsia="MS PGothic" w:hAnsi="Arial" w:cs="Arial"/>
      <w:kern w:val="18"/>
      <w:sz w:val="18"/>
      <w:szCs w:val="18"/>
    </w:rPr>
  </w:style>
  <w:style w:type="table" w:styleId="TableGrid">
    <w:name w:val="Table Grid"/>
    <w:basedOn w:val="TableNormal"/>
    <w:rsid w:val="007F3ED6"/>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F3ED6"/>
    <w:pPr>
      <w:spacing w:after="0" w:line="240" w:lineRule="auto"/>
    </w:pPr>
    <w:rPr>
      <w:rFonts w:ascii="Arial" w:hAnsi="Arial"/>
      <w:sz w:val="18"/>
    </w:rPr>
  </w:style>
  <w:style w:type="character" w:customStyle="1" w:styleId="CIRMasterChar">
    <w:name w:val="CIR Master Char"/>
    <w:basedOn w:val="DefaultParagraphFont"/>
    <w:link w:val="CIRMaster"/>
    <w:rsid w:val="007F3ED6"/>
    <w:rPr>
      <w:rFonts w:ascii="Arial" w:eastAsia="MS PGothic" w:hAnsi="Arial" w:cs="Arial"/>
      <w:kern w:val="1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8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117" Type="http://schemas.openxmlformats.org/officeDocument/2006/relationships/header" Target="header7.xml"/><Relationship Id="rId21" Type="http://schemas.openxmlformats.org/officeDocument/2006/relationships/footer" Target="footer3.xml"/><Relationship Id="rId42" Type="http://schemas.openxmlformats.org/officeDocument/2006/relationships/image" Target="media/image18.emf"/><Relationship Id="rId47" Type="http://schemas.openxmlformats.org/officeDocument/2006/relationships/oleObject" Target="file:///\\ldnvnaseqr0006\eqr_erpharma\MEDTECH\MedTech%20Stock%20Prices.xlsx!Stock%20Prices%20YTD!%5bMedTech%20Stock%20Prices.xlsx%5dStock%20Prices%20YTD%20Chart%209" TargetMode="External"/><Relationship Id="rId63" Type="http://schemas.openxmlformats.org/officeDocument/2006/relationships/image" Target="media/image27.emf"/><Relationship Id="rId68" Type="http://schemas.openxmlformats.org/officeDocument/2006/relationships/oleObject" Target="file:///\\ldnvnaseqr0006\eqr_erpharma\MEDTECH\Market%20models%20&amp;%20data\Hearing\Hearing%20Aid%20Market%20Model%20(Citi).xlsx!HA%20market!%5bHearing%20Aid%20Market%20Model%20(Citi).xlsx%5dHA%20market%20Chart%204%20(3)" TargetMode="External"/><Relationship Id="rId84" Type="http://schemas.openxmlformats.org/officeDocument/2006/relationships/image" Target="media/image37.emf"/><Relationship Id="rId89" Type="http://schemas.openxmlformats.org/officeDocument/2006/relationships/oleObject" Target="file:///\\ldnvnaseqr0006\eqr_erpharma\MEDTECH\Models\Live%20Models\GN%20Store%20Nord%20model%20(Citi).xlsm!Charts!%5bGN%20Store%20Nord%20model%20(Citi).xlsm%5dCharts%20Chart%204-3" TargetMode="External"/><Relationship Id="rId112" Type="http://schemas.openxmlformats.org/officeDocument/2006/relationships/hyperlink" Target="https://uat.citivelocity.com/cvr/eppublic/citi_research_disclosures" TargetMode="External"/><Relationship Id="rId16" Type="http://schemas.openxmlformats.org/officeDocument/2006/relationships/image" Target="media/image7.png"/><Relationship Id="rId107" Type="http://schemas.openxmlformats.org/officeDocument/2006/relationships/image" Target="media/image47.emf"/><Relationship Id="rId11" Type="http://schemas.openxmlformats.org/officeDocument/2006/relationships/image" Target="media/image1.pn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file:///\\ldnvnaseqr0006\eqr_erpharma\MEDTECH\Market%20models%20&amp;%20data\Hearing\Hearing%20Aid%20Market%20Model%20(Citi).xlsx!HA%20market!%5bHearing%20Aid%20Market%20Model%20(Citi).xlsx%5dHA%20market%20Chart%2016" TargetMode="External"/><Relationship Id="rId40" Type="http://schemas.openxmlformats.org/officeDocument/2006/relationships/image" Target="media/image17.emf"/><Relationship Id="rId45" Type="http://schemas.openxmlformats.org/officeDocument/2006/relationships/oleObject" Target="file:///\\ldnvnaseqr0006\eqr_erpharma\MEDTECH\MedTech%20EPS%20Revisions%20Sheet.xlsx!EPS%20Charts!%5bMedTech%20EPS%20Revisions%20Sheet.xlsx%5dEPS%20Charts%20Chart%2016" TargetMode="External"/><Relationship Id="rId53" Type="http://schemas.openxmlformats.org/officeDocument/2006/relationships/image" Target="media/image22.emf"/><Relationship Id="rId58" Type="http://schemas.openxmlformats.org/officeDocument/2006/relationships/oleObject" Target="file:///\\ldnvnaseqr0006\eqr_erpharma\MEDTECH\Models\Live%20Models\GN%20Store%20Nord%20model%20(Citi).xlsm!Charts!%5bGN%20Store%20Nord%20model%20(Citi).xlsm%5dCharts%20Chart%206-4" TargetMode="External"/><Relationship Id="rId66" Type="http://schemas.openxmlformats.org/officeDocument/2006/relationships/oleObject" Target="file:///\\ldnvnaseqr0006\eqr_erpharma\MEDTECH\Market%20models%20&amp;%20data\Hearing\Hearing%20Aid%20Market%20Model%20(Citi).xlsx!HA%20market!%5bHearing%20Aid%20Market%20Model%20(Citi).xlsx%5dHA%20market%20Chart%2016" TargetMode="External"/><Relationship Id="rId74" Type="http://schemas.openxmlformats.org/officeDocument/2006/relationships/oleObject" Target="file:///\\ldnvnaseqr0006\eqr_erpharma\MEDTECH\Market%20models%20&amp;%20data\Hearing\Hearing%20Aid%20Market%20Model%20(Citi).xlsx!Diagnostics!%5bHearing%20Aid%20Market%20Model%20(Citi).xlsx%5dDiagnostics%20Chart%2016" TargetMode="External"/><Relationship Id="rId79" Type="http://schemas.openxmlformats.org/officeDocument/2006/relationships/chart" Target="charts/chart4.xml"/><Relationship Id="rId87" Type="http://schemas.openxmlformats.org/officeDocument/2006/relationships/oleObject" Target="file:///\\ldnvnaseqr0006\eqr_erpharma\MEDTECH\Models\Live%20Models\GN%20Store%20Nord%20model%20(Citi).xlsm!Charts!%5bGN%20Store%20Nord%20model%20(Citi).xlsm%5dCharts%20Chart%204-2" TargetMode="External"/><Relationship Id="rId102" Type="http://schemas.openxmlformats.org/officeDocument/2006/relationships/image" Target="media/image45.emf"/><Relationship Id="rId110" Type="http://schemas.openxmlformats.org/officeDocument/2006/relationships/image" Target="media/image48.png"/><Relationship Id="rId115" Type="http://schemas.openxmlformats.org/officeDocument/2006/relationships/hyperlink" Target="http://www.citivelocity.com" TargetMode="External"/><Relationship Id="rId5" Type="http://schemas.openxmlformats.org/officeDocument/2006/relationships/styles" Target="styles.xml"/><Relationship Id="rId61" Type="http://schemas.openxmlformats.org/officeDocument/2006/relationships/image" Target="media/image26.emf"/><Relationship Id="rId82" Type="http://schemas.openxmlformats.org/officeDocument/2006/relationships/image" Target="media/image36.emf"/><Relationship Id="rId90" Type="http://schemas.openxmlformats.org/officeDocument/2006/relationships/chart" Target="charts/chart5.xml"/><Relationship Id="rId95" Type="http://schemas.openxmlformats.org/officeDocument/2006/relationships/image" Target="media/image42.emf"/><Relationship Id="rId19" Type="http://schemas.openxmlformats.org/officeDocument/2006/relationships/footer" Target="footer2.xml"/><Relationship Id="rId14" Type="http://schemas.openxmlformats.org/officeDocument/2006/relationships/header" Target="header1.xml"/><Relationship Id="rId22" Type="http://schemas.openxmlformats.org/officeDocument/2006/relationships/image" Target="media/image8.emf"/><Relationship Id="rId27" Type="http://schemas.openxmlformats.org/officeDocument/2006/relationships/oleObject" Target="file:///\\ldnvnaseqr0006\eqr_erpharma\MEDTECH\Market%20models%20&amp;%20data\Headsets\Headset%20Market%20Model%20(Citi).xlsx!UC!%5bHeadset%20Market%20Model%20(Citi).xlsx%5dUC%20Chart%206" TargetMode="External"/><Relationship Id="rId30" Type="http://schemas.openxmlformats.org/officeDocument/2006/relationships/image" Target="media/image12.emf"/><Relationship Id="rId35" Type="http://schemas.openxmlformats.org/officeDocument/2006/relationships/oleObject" Target="file:///\\ldnvnaseqr0006\eqr_erpharma\MEDTECH\Models\Live%20Models\GN%20Store%20Nord%20model%20(Citi).xlsm!Charts!%5bGN%20Store%20Nord%20model%20(Citi).xlsm%5dCharts%20_NG_96bd7" TargetMode="External"/><Relationship Id="rId43" Type="http://schemas.openxmlformats.org/officeDocument/2006/relationships/oleObject" Target="file:///\\ldnvnaseqr0006\eqr_erpharma\MEDTECH\MedTech%205yr%20PE%20Sheet%20(Citi).xlsx!PE%20Charts!%5bMedTech%205yr%20PE%20Sheet%20(Citi).xlsx%5dPE%20Charts%20Chart%2033" TargetMode="External"/><Relationship Id="rId48" Type="http://schemas.openxmlformats.org/officeDocument/2006/relationships/header" Target="header4.xml"/><Relationship Id="rId56" Type="http://schemas.openxmlformats.org/officeDocument/2006/relationships/oleObject" Target="file:///\\ldnvnaseqr0006\eqr_erpharma\MEDTECH\Models\Live%20Models\GN%20Store%20Nord%20model%20(Citi).xlsm!Charts!%5bGN%20Store%20Nord%20model%20(Citi).xlsm%5dCharts%20Chart%206" TargetMode="External"/><Relationship Id="rId64" Type="http://schemas.openxmlformats.org/officeDocument/2006/relationships/oleObject" Target="file:///\\ldnvnaseqr0006\eqr_erpharma\MEDTECH\Models\Live%20Models\GN%20Store%20Nord%20model%20(Citi).xlsm!Charts!%5bGN%20Store%20Nord%20model%20(Citi).xlsm%5dCharts%20Chart%206-5" TargetMode="External"/><Relationship Id="rId69" Type="http://schemas.openxmlformats.org/officeDocument/2006/relationships/image" Target="media/image30.emf"/><Relationship Id="rId77" Type="http://schemas.openxmlformats.org/officeDocument/2006/relationships/image" Target="media/image34.jpeg"/><Relationship Id="rId100" Type="http://schemas.openxmlformats.org/officeDocument/2006/relationships/image" Target="media/image44.emf"/><Relationship Id="rId105" Type="http://schemas.openxmlformats.org/officeDocument/2006/relationships/image" Target="media/image46.wmf"/><Relationship Id="rId113" Type="http://schemas.openxmlformats.org/officeDocument/2006/relationships/hyperlink" Target="http://dis.kofia.or.kr/fs/dis2/fundMgr/DISFundMgrAnalystPop.jsp?companyCd2=A03030&amp;pageDiv=02" TargetMode="External"/><Relationship Id="rId118"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footer" Target="footer5.xml"/><Relationship Id="rId72" Type="http://schemas.openxmlformats.org/officeDocument/2006/relationships/oleObject" Target="file:///\\ldnvnaseqr0006\eqr_erpharma\MEDTECH\Market%20models%20&amp;%20data\Hearing\VA\VA%20DATA.xlsx!Other%20Graphs!%5bVA%20DATA.xlsx%5dOther%20Graphs%20Chart%205" TargetMode="External"/><Relationship Id="rId80" Type="http://schemas.openxmlformats.org/officeDocument/2006/relationships/image" Target="media/image35.emf"/><Relationship Id="rId85" Type="http://schemas.openxmlformats.org/officeDocument/2006/relationships/oleObject" Target="file:///\\ldnvnaseqr0006\eqr_erpharma\MEDTECH\Models\Live%20Models\GN%20Store%20Nord%20model%20(Citi).xlsm!Charts!%5bGN%20Store%20Nord%20model%20(Citi).xlsm%5dCharts%20Chart%206-8" TargetMode="External"/><Relationship Id="rId93" Type="http://schemas.openxmlformats.org/officeDocument/2006/relationships/image" Target="media/image41.emf"/><Relationship Id="rId98" Type="http://schemas.openxmlformats.org/officeDocument/2006/relationships/oleObject" Target="file:///\\ldnvnaseqr0006\eqr_erpharma\MEDTECH\Market%20models%20&amp;%20data\Headsets\Headset%20Market%20Model%20(Citi).xlsx!Plantronics%20Details!%5bHeadset%20Market%20Model%20(Citi).xlsx%5dPlantronics%20Details%20Chart%203" TargetMode="Externa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hyperlink" Target="https://ir.citi.com/f00GW%2bvUDr0rkBEPUVrWOKbMaU5Xj1JESy9eJUXbikbUxo4LkYymrt6hPl7OKIdoyErKKC77YbUpF1sAI8l8yA%3d%3d" TargetMode="External"/><Relationship Id="rId25" Type="http://schemas.openxmlformats.org/officeDocument/2006/relationships/oleObject" Target="file:///\\ldnvnaseqr0006\eqr_erpharma\MEDTECH\Models\Live%20Models\GN%20Store%20Nord%20model%20(Citi).xlsm!Charts!%5bGN%20Store%20Nord%20model%20(Citi).xlsm%5dCharts%20Chart%206-4" TargetMode="External"/><Relationship Id="rId33" Type="http://schemas.openxmlformats.org/officeDocument/2006/relationships/oleObject" Target="file:///\\ldnvnaseqr0006\eqr_erpharma\MEDTECH\Models\Live%20Models\GN%20Store%20Nord%20model%20(Citi).xlsm!Charts!%5bGN%20Store%20Nord%20model%20(Citi).xlsm%5dCharts%20Chart%206-6" TargetMode="External"/><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chart" Target="charts/chart1.xml"/><Relationship Id="rId67" Type="http://schemas.openxmlformats.org/officeDocument/2006/relationships/image" Target="media/image29.emf"/><Relationship Id="rId103" Type="http://schemas.openxmlformats.org/officeDocument/2006/relationships/oleObject" Target="file:///\\ldnvnaseqr0006\eqr_erpharma\MEDTECH\Models\Live%20Models\GN%20Store%20Nord%20model%20(Citi).xlsm!Charts!%5bGN%20Store%20Nord%20model%20(Citi).xlsm%5dCharts%20Chart%206-7" TargetMode="External"/><Relationship Id="rId108" Type="http://schemas.openxmlformats.org/officeDocument/2006/relationships/oleObject" Target="file:///\\ldnvnaseqr0006\eqr_erpharma\MEDTECH\Models\Live%20Models\GN%20Store%20Nord%20model%20(Citi).xlsm!Charts!%5bGN%20Store%20Nord%20model%20(Citi).xlsm%5dCharts%20Chart%2039" TargetMode="External"/><Relationship Id="rId116" Type="http://schemas.openxmlformats.org/officeDocument/2006/relationships/image" Target="media/image50.png"/><Relationship Id="rId20" Type="http://schemas.openxmlformats.org/officeDocument/2006/relationships/header" Target="header3.xml"/><Relationship Id="rId41" Type="http://schemas.openxmlformats.org/officeDocument/2006/relationships/oleObject" Target="file:///\\ldnvnaseqr0006\eqr_erpharma\MEDTECH\MedTech%205yr%20PE%20Sheet%20(Citi).xlsx!PE%20Charts!%5bMedTech%205yr%20PE%20Sheet%20(Citi).xlsx%5dPE%20Charts%20Chart%2014" TargetMode="External"/><Relationship Id="rId54" Type="http://schemas.openxmlformats.org/officeDocument/2006/relationships/image" Target="media/image23.emf"/><Relationship Id="rId62" Type="http://schemas.openxmlformats.org/officeDocument/2006/relationships/oleObject" Target="file:///\\ldnvnaseqr0006\eqr_erpharma\MEDTECH\Models\Live%20Models\GN%20Store%20Nord%20model%20(Citi).xlsm!Charts!%5bGN%20Store%20Nord%20model%20(Citi).xlsm%5dCharts%20Chart%206-2" TargetMode="External"/><Relationship Id="rId70" Type="http://schemas.openxmlformats.org/officeDocument/2006/relationships/oleObject" Target="file:///\\ldnvnaseqr0006\eqr_erpharma\MEDTECH\Models\Live%20Models\GN%20Store%20Nord%20model%20(Citi).xlsm!Charts!%5bGN%20Store%20Nord%20model%20(Citi).xlsm%5dCharts%20_NG_96bd7" TargetMode="External"/><Relationship Id="rId75" Type="http://schemas.openxmlformats.org/officeDocument/2006/relationships/image" Target="media/image33.emf"/><Relationship Id="rId83" Type="http://schemas.openxmlformats.org/officeDocument/2006/relationships/oleObject" Target="file:///\\ldnvnaseqr0006\eqr_erpharma\MEDTECH\Models\Live%20Models\GN%20Store%20Nord%20model%20(Citi).xlsm!Charts!%5bGN%20Store%20Nord%20model%20(Citi).xlsm%5dCharts%20Chart%206-6" TargetMode="External"/><Relationship Id="rId88" Type="http://schemas.openxmlformats.org/officeDocument/2006/relationships/image" Target="media/image39.emf"/><Relationship Id="rId91" Type="http://schemas.openxmlformats.org/officeDocument/2006/relationships/image" Target="media/image40.emf"/><Relationship Id="rId96" Type="http://schemas.openxmlformats.org/officeDocument/2006/relationships/oleObject" Target="file:///\\ldnvnaseqr0006\eqr_erpharma\MEDTECH\Market%20models%20&amp;%20data\Headsets\Headset%20Market%20Model%20(Citi).xlsx!UC!%5bHeadset%20Market%20Model%20(Citi).xlsx%5dUC%20Chart%206-1" TargetMode="External"/><Relationship Id="rId111" Type="http://schemas.openxmlformats.org/officeDocument/2006/relationships/image" Target="media/image49.png"/><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oleObject" Target="file:///\\ldnvnaseqr0006\eqr_erpharma\MEDTECH\Models\Live%20Models\GN%20Store%20Nord%20model%20(Citi).xlsm!Charts!%5bGN%20Store%20Nord%20model%20(Citi).xlsm%5dCharts%20Chart%206" TargetMode="External"/><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footer" Target="footer4.xml"/><Relationship Id="rId57" Type="http://schemas.openxmlformats.org/officeDocument/2006/relationships/image" Target="media/image25.emf"/><Relationship Id="rId106" Type="http://schemas.openxmlformats.org/officeDocument/2006/relationships/oleObject" Target="file:///\\ldnvnaseqr0006\eqr_erpharma\MEDTECH\Models\Live%20Models\GN%20Store%20Nord%20model%20(Citi).xlsm!Charts!%5bGN%20Store%20Nord%20model%20(Citi).xlsm%5dCharts%20Chart%2040" TargetMode="External"/><Relationship Id="rId114" Type="http://schemas.openxmlformats.org/officeDocument/2006/relationships/hyperlink" Target="https://www.citivelocity.com/cvr/eppublic/citi_research_disclosures" TargetMode="External"/><Relationship Id="rId119" Type="http://schemas.openxmlformats.org/officeDocument/2006/relationships/glossaryDocument" Target="glossary/document.xml"/><Relationship Id="rId10" Type="http://schemas.openxmlformats.org/officeDocument/2006/relationships/endnotes" Target="endnotes.xml"/><Relationship Id="rId31" Type="http://schemas.openxmlformats.org/officeDocument/2006/relationships/oleObject" Target="file:///\\ldnvnaseqr0006\eqr_erpharma\MEDTECH\Models\Live%20Models\GN%20Store%20Nord%20model%20(Citi).xlsm!Charts!%5bGN%20Store%20Nord%20model%20(Citi).xlsm%5dCharts%20Chart%206-1" TargetMode="External"/><Relationship Id="rId44" Type="http://schemas.openxmlformats.org/officeDocument/2006/relationships/image" Target="media/image19.emf"/><Relationship Id="rId52" Type="http://schemas.openxmlformats.org/officeDocument/2006/relationships/image" Target="media/image21.emf"/><Relationship Id="rId60" Type="http://schemas.openxmlformats.org/officeDocument/2006/relationships/chart" Target="charts/chart2.xml"/><Relationship Id="rId65" Type="http://schemas.openxmlformats.org/officeDocument/2006/relationships/image" Target="media/image28.emf"/><Relationship Id="rId73" Type="http://schemas.openxmlformats.org/officeDocument/2006/relationships/image" Target="media/image32.emf"/><Relationship Id="rId78" Type="http://schemas.openxmlformats.org/officeDocument/2006/relationships/chart" Target="charts/chart3.xml"/><Relationship Id="rId81" Type="http://schemas.openxmlformats.org/officeDocument/2006/relationships/oleObject" Target="file:///\\ldnvnaseqr0006\eqr_erpharma\MEDTECH\Models\Live%20Models\GN%20Store%20Nord%20model%20(Citi).xlsm!Charts!%5bGN%20Store%20Nord%20model%20(Citi).xlsm%5dCharts%20Chart%206-1" TargetMode="External"/><Relationship Id="rId86" Type="http://schemas.openxmlformats.org/officeDocument/2006/relationships/image" Target="media/image38.emf"/><Relationship Id="rId94" Type="http://schemas.openxmlformats.org/officeDocument/2006/relationships/oleObject" Target="file:///\\ldnvnaseqr0006\eqr_erpharma\MEDTECH\Market%20models%20&amp;%20data\Headsets\Headset%20Market%20Model%20(Citi).xlsx!UC!%5bHeadset%20Market%20Model%20(Citi).xlsx%5dUC%20Chart%206" TargetMode="External"/><Relationship Id="rId99" Type="http://schemas.openxmlformats.org/officeDocument/2006/relationships/chart" Target="charts/chart6.xml"/><Relationship Id="rId101" Type="http://schemas.openxmlformats.org/officeDocument/2006/relationships/oleObject" Target="file:///\\ldnvnaseqr0006\eqr_erpharma\MEDTECH\Market%20models%20&amp;%20data\Headsets\Headset%20Market%20Model%20(Citi).xlsx!Charts!%5bHeadset%20Market%20Model%20(Citi).xlsx%5dCharts%20Chart%207-1"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image" Target="media/image3.gif"/><Relationship Id="rId18" Type="http://schemas.openxmlformats.org/officeDocument/2006/relationships/header" Target="header2.xml"/><Relationship Id="rId39" Type="http://schemas.openxmlformats.org/officeDocument/2006/relationships/oleObject" Target="file:///\\ldnvnaseqr0006\eqr_erpharma\MEDTECH\Market%20models%20&amp;%20data\Hearing\Hearing%20Aid%20Market%20Model%20(Citi).xlsx!HA%20market!%5bHearing%20Aid%20Market%20Model%20(Citi).xlsx%5dHA%20market%20Chart%204%20(3)" TargetMode="External"/><Relationship Id="rId109" Type="http://schemas.openxmlformats.org/officeDocument/2006/relationships/header" Target="header6.xml"/><Relationship Id="rId34" Type="http://schemas.openxmlformats.org/officeDocument/2006/relationships/image" Target="media/image14.emf"/><Relationship Id="rId50" Type="http://schemas.openxmlformats.org/officeDocument/2006/relationships/header" Target="header5.xml"/><Relationship Id="rId55" Type="http://schemas.openxmlformats.org/officeDocument/2006/relationships/image" Target="media/image24.emf"/><Relationship Id="rId76" Type="http://schemas.openxmlformats.org/officeDocument/2006/relationships/oleObject" Target="file:///\\ldnvnaseqr0006\eqr_erpharma\MEDTECH\Market%20models%20&amp;%20data\Hearing\Hearing%20Aid%20Market%20Model%20(Citi).xlsx!Diagnostics!%5bHearing%20Aid%20Market%20Model%20(Citi).xlsx%5dDiagnostics%20Chart%204%20(4)" TargetMode="External"/><Relationship Id="rId97" Type="http://schemas.openxmlformats.org/officeDocument/2006/relationships/image" Target="media/image43.emf"/><Relationship Id="rId104" Type="http://schemas.openxmlformats.org/officeDocument/2006/relationships/hyperlink" Target="https://ir.citi.com/4NSxJJ79UPwVu%2fFonuvgraW5bkcHI%2fwNZfjOOSkxQvV05j2%2fYBPgtYZC3rQn0dH6pwTj%2brudLbQ%3d" TargetMode="External"/><Relationship Id="rId120"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image" Target="media/image31.emf"/><Relationship Id="rId92" Type="http://schemas.openxmlformats.org/officeDocument/2006/relationships/oleObject" Target="file:///\\ldnvnaseqr0006\eqr_erpharma\MEDTECH\Market%20models%20&amp;%20data\Headsets\Headset%20Market%20Model%20(Citi).xlsx!Charts!%5bHeadset%20Market%20Model%20(Citi).xlsx%5dCharts%20Chart%207" TargetMode="External"/><Relationship Id="rId2" Type="http://schemas.openxmlformats.org/officeDocument/2006/relationships/customXml" Target="../customXml/item2.xml"/><Relationship Id="rId29" Type="http://schemas.openxmlformats.org/officeDocument/2006/relationships/oleObject" Target="file:///\\ldnvnaseqr0006\eqr_erpharma\MEDTECH\Market%20models%20&amp;%20data\Headsets\Headset%20Market%20Model%20(Citi).xlsx!UC!%5bHeadset%20Market%20Model%20(Citi).xlsx%5dUC%20Chart%206-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73265\AppData\Roaming\Microsoft\Templates\Company.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ldnvnaseqr0006\eqr_erpharma\MEDTECH\Models\Live%20Models\GN%20Store%20Nord%20model%20(Citi).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dnvnaseqr0006\eqr_erpharma\MEDTECH\Models\Live%20Models\GN%20Store%20Nord%20model%20(Citi).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ldnvnaseqr0006\eqr_erpharma\MEDTECH\Models\Live%20Models\GN%20Store%20Nord%20model%20(Citi).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ldnvnaseqr0006\eqr_erpharma\MEDTECH\Models\Live%20Models\GN%20Store%20Nord%20model%20(Citi).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ldnvnaseqr0006\eqr_erpharma\MEDTECH\Market%20models%20&amp;%20data\Headsets\Headset%20Market%20Model%20(Cit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ldnvnaseqr0006\eqr_erpharma\MEDTECH\Market%20models%20&amp;%20data\Headsets\Headset%20Market%20Model%20(Cit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695652173913045"/>
          <c:y val="0.17823639774859287"/>
          <c:w val="0.65043478260869569"/>
          <c:h val="0.70168855534709196"/>
        </c:manualLayout>
      </c:layout>
      <c:pieChart>
        <c:varyColors val="1"/>
        <c:ser>
          <c:idx val="0"/>
          <c:order val="0"/>
          <c:spPr>
            <a:solidFill>
              <a:srgbClr val="002D72"/>
            </a:solidFill>
            <a:ln w="25400">
              <a:noFill/>
            </a:ln>
          </c:spPr>
          <c:dPt>
            <c:idx val="0"/>
            <c:bubble3D val="0"/>
          </c:dPt>
          <c:dPt>
            <c:idx val="1"/>
            <c:bubble3D val="0"/>
            <c:spPr>
              <a:solidFill>
                <a:srgbClr val="00BDF2"/>
              </a:solidFill>
              <a:ln w="25400">
                <a:noFill/>
              </a:ln>
            </c:spPr>
          </c:dPt>
          <c:dPt>
            <c:idx val="2"/>
            <c:bubble3D val="0"/>
            <c:spPr>
              <a:solidFill>
                <a:srgbClr val="99ABC7"/>
              </a:solidFill>
              <a:ln w="25400">
                <a:noFill/>
              </a:ln>
            </c:spPr>
          </c:dPt>
          <c:dPt>
            <c:idx val="3"/>
            <c:bubble3D val="0"/>
            <c:spPr>
              <a:solidFill>
                <a:srgbClr val="CCF2FC"/>
              </a:solidFill>
              <a:ln w="25400">
                <a:noFill/>
              </a:ln>
            </c:spPr>
          </c:dPt>
          <c:dPt>
            <c:idx val="4"/>
            <c:bubble3D val="0"/>
            <c:spPr>
              <a:solidFill>
                <a:srgbClr val="00B0B9"/>
              </a:solidFill>
              <a:ln w="25400">
                <a:noFill/>
              </a:ln>
            </c:spPr>
          </c:dPt>
          <c:dLbls>
            <c:numFmt formatCode="0%" sourceLinked="0"/>
            <c:spPr>
              <a:noFill/>
              <a:ln w="25400">
                <a:noFill/>
              </a:ln>
            </c:spPr>
            <c:dLblPos val="outEnd"/>
            <c:showLegendKey val="0"/>
            <c:showVal val="0"/>
            <c:showCatName val="1"/>
            <c:showSerName val="0"/>
            <c:showPercent val="1"/>
            <c:showBubbleSize val="0"/>
            <c:showLeaderLines val="1"/>
          </c:dLbls>
          <c:cat>
            <c:strRef>
              <c:f>Charts!$B$46:$B$47</c:f>
              <c:strCache>
                <c:ptCount val="2"/>
                <c:pt idx="0">
                  <c:v>Hearing aids</c:v>
                </c:pt>
                <c:pt idx="1">
                  <c:v>Hearing Diagnostics</c:v>
                </c:pt>
              </c:strCache>
            </c:strRef>
          </c:cat>
          <c:val>
            <c:numRef>
              <c:f>Charts!$D$46:$D$47</c:f>
              <c:numCache>
                <c:formatCode>#,##0</c:formatCode>
                <c:ptCount val="2"/>
                <c:pt idx="0">
                  <c:v>3636</c:v>
                </c:pt>
                <c:pt idx="1">
                  <c:v>543</c:v>
                </c:pt>
              </c:numCache>
            </c:numRef>
          </c:val>
        </c:ser>
        <c:dLbls>
          <c:showLegendKey val="0"/>
          <c:showVal val="0"/>
          <c:showCatName val="0"/>
          <c:showSerName val="0"/>
          <c:showPercent val="0"/>
          <c:showBubbleSize val="0"/>
          <c:showLeaderLines val="1"/>
        </c:dLbls>
        <c:firstSliceAng val="0"/>
      </c:pieChart>
      <c:spPr>
        <a:noFill/>
        <a:ln w="25400">
          <a:noFill/>
        </a:ln>
      </c:spPr>
    </c:plotArea>
    <c:plotVisOnly val="1"/>
    <c:dispBlanksAs val="zero"/>
    <c:showDLblsOverMax val="0"/>
  </c:chart>
  <c:spPr>
    <a:solidFill>
      <a:srgbClr val="FFFFFF"/>
    </a:solidFill>
    <a:ln w="9525">
      <a:noFill/>
    </a:ln>
  </c:spPr>
  <c:txPr>
    <a:bodyPr/>
    <a:lstStyle/>
    <a:p>
      <a:pPr>
        <a:defRPr sz="700" b="0" i="0" u="none" strike="noStrike" baseline="0">
          <a:solidFill>
            <a:sysClr val="windowText" lastClr="000000"/>
          </a:solidFill>
          <a:latin typeface="Arial Narrow" panose="020B0606020202030204" pitchFamily="34" charset="0"/>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695652173913045"/>
          <c:y val="0.17823639774859287"/>
          <c:w val="0.65043478260869569"/>
          <c:h val="0.70168855534709196"/>
        </c:manualLayout>
      </c:layout>
      <c:pieChart>
        <c:varyColors val="1"/>
        <c:ser>
          <c:idx val="0"/>
          <c:order val="0"/>
          <c:spPr>
            <a:solidFill>
              <a:srgbClr val="002D72"/>
            </a:solidFill>
            <a:ln w="25400">
              <a:noFill/>
            </a:ln>
          </c:spPr>
          <c:dPt>
            <c:idx val="0"/>
            <c:bubble3D val="0"/>
          </c:dPt>
          <c:dPt>
            <c:idx val="1"/>
            <c:bubble3D val="0"/>
            <c:spPr>
              <a:solidFill>
                <a:srgbClr val="00BDF2"/>
              </a:solidFill>
              <a:ln w="25400">
                <a:noFill/>
              </a:ln>
            </c:spPr>
          </c:dPt>
          <c:dPt>
            <c:idx val="2"/>
            <c:bubble3D val="0"/>
            <c:spPr>
              <a:solidFill>
                <a:srgbClr val="99ABC7"/>
              </a:solidFill>
              <a:ln w="25400">
                <a:noFill/>
              </a:ln>
            </c:spPr>
          </c:dPt>
          <c:dPt>
            <c:idx val="3"/>
            <c:bubble3D val="0"/>
            <c:spPr>
              <a:solidFill>
                <a:srgbClr val="CCF2FC"/>
              </a:solidFill>
              <a:ln w="25400">
                <a:noFill/>
              </a:ln>
            </c:spPr>
          </c:dPt>
          <c:dPt>
            <c:idx val="4"/>
            <c:bubble3D val="0"/>
            <c:spPr>
              <a:solidFill>
                <a:srgbClr val="00B0B9"/>
              </a:solidFill>
              <a:ln w="25400">
                <a:noFill/>
              </a:ln>
            </c:spPr>
          </c:dPt>
          <c:dLbls>
            <c:numFmt formatCode="0%" sourceLinked="0"/>
            <c:spPr>
              <a:noFill/>
              <a:ln w="25400">
                <a:noFill/>
              </a:ln>
            </c:spPr>
            <c:dLblPos val="outEnd"/>
            <c:showLegendKey val="0"/>
            <c:showVal val="0"/>
            <c:showCatName val="1"/>
            <c:showSerName val="0"/>
            <c:showPercent val="1"/>
            <c:showBubbleSize val="0"/>
            <c:showLeaderLines val="1"/>
          </c:dLbls>
          <c:cat>
            <c:strRef>
              <c:f>Charts!$K$46:$K$48</c:f>
              <c:strCache>
                <c:ptCount val="3"/>
                <c:pt idx="0">
                  <c:v>Europe</c:v>
                </c:pt>
                <c:pt idx="1">
                  <c:v>North America</c:v>
                </c:pt>
                <c:pt idx="2">
                  <c:v>Rest of World</c:v>
                </c:pt>
              </c:strCache>
            </c:strRef>
          </c:cat>
          <c:val>
            <c:numRef>
              <c:f>Charts!$L$46:$L$48</c:f>
              <c:numCache>
                <c:formatCode>#,##0</c:formatCode>
                <c:ptCount val="3"/>
                <c:pt idx="0">
                  <c:v>1295.49</c:v>
                </c:pt>
                <c:pt idx="1">
                  <c:v>1922.3400000000001</c:v>
                </c:pt>
                <c:pt idx="2">
                  <c:v>961.17000000000007</c:v>
                </c:pt>
              </c:numCache>
            </c:numRef>
          </c:val>
        </c:ser>
        <c:dLbls>
          <c:showLegendKey val="0"/>
          <c:showVal val="0"/>
          <c:showCatName val="0"/>
          <c:showSerName val="0"/>
          <c:showPercent val="0"/>
          <c:showBubbleSize val="0"/>
          <c:showLeaderLines val="1"/>
        </c:dLbls>
        <c:firstSliceAng val="0"/>
      </c:pieChart>
      <c:spPr>
        <a:noFill/>
        <a:ln w="25400">
          <a:noFill/>
        </a:ln>
      </c:spPr>
    </c:plotArea>
    <c:plotVisOnly val="1"/>
    <c:dispBlanksAs val="zero"/>
    <c:showDLblsOverMax val="0"/>
  </c:chart>
  <c:spPr>
    <a:solidFill>
      <a:srgbClr val="FFFFFF"/>
    </a:solidFill>
    <a:ln w="9525">
      <a:noFill/>
    </a:ln>
  </c:spPr>
  <c:txPr>
    <a:bodyPr/>
    <a:lstStyle/>
    <a:p>
      <a:pPr>
        <a:defRPr sz="700" b="0" i="0" u="none" strike="noStrike" baseline="0">
          <a:solidFill>
            <a:sysClr val="windowText" lastClr="000000"/>
          </a:solidFill>
          <a:latin typeface="Arial Narrow" panose="020B0606020202030204" pitchFamily="34" charset="0"/>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373265513593594"/>
          <c:y val="0.11924807266599596"/>
          <c:w val="0.65043478260869569"/>
          <c:h val="0.70168855534709196"/>
        </c:manualLayout>
      </c:layout>
      <c:pieChart>
        <c:varyColors val="1"/>
        <c:ser>
          <c:idx val="0"/>
          <c:order val="0"/>
          <c:spPr>
            <a:solidFill>
              <a:srgbClr val="002D72"/>
            </a:solidFill>
            <a:ln w="25400">
              <a:noFill/>
            </a:ln>
          </c:spPr>
          <c:dPt>
            <c:idx val="0"/>
            <c:bubble3D val="0"/>
          </c:dPt>
          <c:dPt>
            <c:idx val="1"/>
            <c:bubble3D val="0"/>
            <c:spPr>
              <a:solidFill>
                <a:srgbClr val="00BDF2"/>
              </a:solidFill>
              <a:ln w="25400">
                <a:noFill/>
              </a:ln>
            </c:spPr>
          </c:dPt>
          <c:dPt>
            <c:idx val="2"/>
            <c:bubble3D val="0"/>
            <c:spPr>
              <a:solidFill>
                <a:srgbClr val="99ABC7"/>
              </a:solidFill>
              <a:ln w="25400">
                <a:noFill/>
              </a:ln>
            </c:spPr>
          </c:dPt>
          <c:dPt>
            <c:idx val="3"/>
            <c:bubble3D val="0"/>
            <c:spPr>
              <a:solidFill>
                <a:srgbClr val="CCF2FC"/>
              </a:solidFill>
              <a:ln w="25400">
                <a:noFill/>
              </a:ln>
            </c:spPr>
          </c:dPt>
          <c:dPt>
            <c:idx val="4"/>
            <c:bubble3D val="0"/>
            <c:spPr>
              <a:solidFill>
                <a:srgbClr val="00B0B9"/>
              </a:solidFill>
              <a:ln w="25400">
                <a:noFill/>
              </a:ln>
            </c:spPr>
          </c:dPt>
          <c:dLbls>
            <c:numFmt formatCode="0%" sourceLinked="0"/>
            <c:spPr>
              <a:noFill/>
              <a:ln w="25400">
                <a:noFill/>
              </a:ln>
            </c:spPr>
            <c:dLblPos val="outEnd"/>
            <c:showLegendKey val="0"/>
            <c:showVal val="0"/>
            <c:showCatName val="1"/>
            <c:showSerName val="0"/>
            <c:showPercent val="1"/>
            <c:showBubbleSize val="0"/>
            <c:showLeaderLines val="1"/>
          </c:dLbls>
          <c:cat>
            <c:strRef>
              <c:f>Charts!$B$38:$B$40</c:f>
              <c:strCache>
                <c:ptCount val="3"/>
                <c:pt idx="0">
                  <c:v>Unified Comms. (CC&amp;O)</c:v>
                </c:pt>
                <c:pt idx="1">
                  <c:v>Traditional CC&amp;O</c:v>
                </c:pt>
                <c:pt idx="2">
                  <c:v>Mobile Headsets</c:v>
                </c:pt>
              </c:strCache>
            </c:strRef>
          </c:cat>
          <c:val>
            <c:numRef>
              <c:f>Charts!$C$38:$C$40</c:f>
              <c:numCache>
                <c:formatCode>#,##0</c:formatCode>
                <c:ptCount val="3"/>
                <c:pt idx="0">
                  <c:v>246</c:v>
                </c:pt>
                <c:pt idx="1">
                  <c:v>184</c:v>
                </c:pt>
                <c:pt idx="2">
                  <c:v>222</c:v>
                </c:pt>
              </c:numCache>
            </c:numRef>
          </c:val>
        </c:ser>
        <c:dLbls>
          <c:showLegendKey val="0"/>
          <c:showVal val="0"/>
          <c:showCatName val="0"/>
          <c:showSerName val="0"/>
          <c:showPercent val="0"/>
          <c:showBubbleSize val="0"/>
          <c:showLeaderLines val="1"/>
        </c:dLbls>
        <c:firstSliceAng val="0"/>
      </c:pieChart>
      <c:spPr>
        <a:noFill/>
        <a:ln w="25400">
          <a:noFill/>
        </a:ln>
      </c:spPr>
    </c:plotArea>
    <c:plotVisOnly val="1"/>
    <c:dispBlanksAs val="zero"/>
    <c:showDLblsOverMax val="0"/>
  </c:chart>
  <c:spPr>
    <a:solidFill>
      <a:srgbClr val="FFFFFF"/>
    </a:solidFill>
    <a:ln w="9525">
      <a:noFill/>
    </a:ln>
  </c:spPr>
  <c:txPr>
    <a:bodyPr/>
    <a:lstStyle/>
    <a:p>
      <a:pPr>
        <a:defRPr sz="700" b="0" i="0" u="none" strike="noStrike" baseline="0">
          <a:solidFill>
            <a:sysClr val="windowText" lastClr="000000"/>
          </a:solidFill>
          <a:latin typeface="Arial Narrow" panose="020B0606020202030204" pitchFamily="34" charset="0"/>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581426225408686"/>
          <c:y val="0.142843341350151"/>
          <c:w val="0.65043478260869569"/>
          <c:h val="0.70168855534709196"/>
        </c:manualLayout>
      </c:layout>
      <c:pieChart>
        <c:varyColors val="1"/>
        <c:ser>
          <c:idx val="0"/>
          <c:order val="0"/>
          <c:spPr>
            <a:solidFill>
              <a:srgbClr val="002D72"/>
            </a:solidFill>
            <a:ln w="25400">
              <a:noFill/>
            </a:ln>
          </c:spPr>
          <c:dPt>
            <c:idx val="0"/>
            <c:bubble3D val="0"/>
          </c:dPt>
          <c:dPt>
            <c:idx val="1"/>
            <c:bubble3D val="0"/>
            <c:spPr>
              <a:solidFill>
                <a:srgbClr val="00BDF2"/>
              </a:solidFill>
              <a:ln w="25400">
                <a:noFill/>
              </a:ln>
            </c:spPr>
          </c:dPt>
          <c:dPt>
            <c:idx val="2"/>
            <c:bubble3D val="0"/>
            <c:spPr>
              <a:solidFill>
                <a:srgbClr val="99ABC7"/>
              </a:solidFill>
              <a:ln w="25400">
                <a:noFill/>
              </a:ln>
            </c:spPr>
          </c:dPt>
          <c:dPt>
            <c:idx val="3"/>
            <c:bubble3D val="0"/>
            <c:spPr>
              <a:solidFill>
                <a:srgbClr val="CCF2FC"/>
              </a:solidFill>
              <a:ln w="25400">
                <a:noFill/>
              </a:ln>
            </c:spPr>
          </c:dPt>
          <c:dPt>
            <c:idx val="4"/>
            <c:bubble3D val="0"/>
            <c:spPr>
              <a:solidFill>
                <a:srgbClr val="00B0B9"/>
              </a:solidFill>
              <a:ln w="25400">
                <a:noFill/>
              </a:ln>
            </c:spPr>
          </c:dPt>
          <c:dLbls>
            <c:numFmt formatCode="0%" sourceLinked="0"/>
            <c:spPr>
              <a:noFill/>
              <a:ln w="25400">
                <a:noFill/>
              </a:ln>
            </c:spPr>
            <c:dLblPos val="outEnd"/>
            <c:showLegendKey val="0"/>
            <c:showVal val="0"/>
            <c:showCatName val="1"/>
            <c:showSerName val="0"/>
            <c:showPercent val="1"/>
            <c:showBubbleSize val="0"/>
            <c:showLeaderLines val="1"/>
          </c:dLbls>
          <c:cat>
            <c:strRef>
              <c:f>Charts!$K$31:$K$33</c:f>
              <c:strCache>
                <c:ptCount val="3"/>
                <c:pt idx="0">
                  <c:v>Europe</c:v>
                </c:pt>
                <c:pt idx="1">
                  <c:v>North America</c:v>
                </c:pt>
                <c:pt idx="2">
                  <c:v>Rest of World</c:v>
                </c:pt>
              </c:strCache>
            </c:strRef>
          </c:cat>
          <c:val>
            <c:numRef>
              <c:f>Charts!$L$31:$L$33</c:f>
              <c:numCache>
                <c:formatCode>#,##0</c:formatCode>
                <c:ptCount val="3"/>
                <c:pt idx="0">
                  <c:v>1304.9349999999999</c:v>
                </c:pt>
                <c:pt idx="1">
                  <c:v>835.15840000000003</c:v>
                </c:pt>
                <c:pt idx="2">
                  <c:v>469.77659999999997</c:v>
                </c:pt>
              </c:numCache>
            </c:numRef>
          </c:val>
        </c:ser>
        <c:dLbls>
          <c:showLegendKey val="0"/>
          <c:showVal val="0"/>
          <c:showCatName val="0"/>
          <c:showSerName val="0"/>
          <c:showPercent val="0"/>
          <c:showBubbleSize val="0"/>
          <c:showLeaderLines val="1"/>
        </c:dLbls>
        <c:firstSliceAng val="0"/>
      </c:pieChart>
      <c:spPr>
        <a:noFill/>
        <a:ln w="25400">
          <a:noFill/>
        </a:ln>
      </c:spPr>
    </c:plotArea>
    <c:plotVisOnly val="1"/>
    <c:dispBlanksAs val="zero"/>
    <c:showDLblsOverMax val="0"/>
  </c:chart>
  <c:spPr>
    <a:solidFill>
      <a:srgbClr val="FFFFFF"/>
    </a:solidFill>
    <a:ln w="9525">
      <a:noFill/>
    </a:ln>
  </c:spPr>
  <c:txPr>
    <a:bodyPr/>
    <a:lstStyle/>
    <a:p>
      <a:pPr>
        <a:defRPr sz="700" b="0" i="0" u="none" strike="noStrike" baseline="0">
          <a:solidFill>
            <a:sysClr val="windowText" lastClr="000000"/>
          </a:solidFill>
          <a:latin typeface="Arial Narrow" panose="020B0606020202030204" pitchFamily="34" charset="0"/>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340974375104487"/>
          <c:y val="0.12922330128450166"/>
          <c:w val="0.65043478260869569"/>
          <c:h val="0.70168855534709196"/>
        </c:manualLayout>
      </c:layout>
      <c:pieChart>
        <c:varyColors val="1"/>
        <c:ser>
          <c:idx val="0"/>
          <c:order val="0"/>
          <c:spPr>
            <a:solidFill>
              <a:srgbClr val="002D72"/>
            </a:solidFill>
            <a:ln w="25400">
              <a:noFill/>
            </a:ln>
          </c:spPr>
          <c:dPt>
            <c:idx val="0"/>
            <c:bubble3D val="0"/>
          </c:dPt>
          <c:dPt>
            <c:idx val="1"/>
            <c:bubble3D val="0"/>
            <c:spPr>
              <a:solidFill>
                <a:srgbClr val="00BDF2"/>
              </a:solidFill>
              <a:ln w="25400">
                <a:noFill/>
              </a:ln>
            </c:spPr>
          </c:dPt>
          <c:dPt>
            <c:idx val="2"/>
            <c:bubble3D val="0"/>
            <c:spPr>
              <a:solidFill>
                <a:srgbClr val="99ABC7"/>
              </a:solidFill>
              <a:ln w="25400">
                <a:noFill/>
              </a:ln>
            </c:spPr>
          </c:dPt>
          <c:dPt>
            <c:idx val="3"/>
            <c:bubble3D val="0"/>
            <c:spPr>
              <a:solidFill>
                <a:srgbClr val="CCF2FC"/>
              </a:solidFill>
              <a:ln w="25400">
                <a:noFill/>
              </a:ln>
            </c:spPr>
          </c:dPt>
          <c:dPt>
            <c:idx val="4"/>
            <c:bubble3D val="0"/>
            <c:spPr>
              <a:solidFill>
                <a:srgbClr val="00B0B9"/>
              </a:solidFill>
              <a:ln w="25400">
                <a:noFill/>
              </a:ln>
            </c:spPr>
          </c:dPt>
          <c:dLbls>
            <c:numFmt formatCode="0%" sourceLinked="0"/>
            <c:spPr>
              <a:noFill/>
              <a:ln w="25400">
                <a:noFill/>
              </a:ln>
            </c:spPr>
            <c:dLblPos val="outEnd"/>
            <c:showLegendKey val="0"/>
            <c:showVal val="0"/>
            <c:showCatName val="1"/>
            <c:showSerName val="0"/>
            <c:showPercent val="1"/>
            <c:showBubbleSize val="0"/>
            <c:showLeaderLines val="1"/>
          </c:dLbls>
          <c:cat>
            <c:strRef>
              <c:f>'Market details'!$B$72:$B$74</c:f>
              <c:strCache>
                <c:ptCount val="3"/>
                <c:pt idx="0">
                  <c:v>Plantronics</c:v>
                </c:pt>
                <c:pt idx="1">
                  <c:v>GN Netcom</c:v>
                </c:pt>
                <c:pt idx="2">
                  <c:v>Others</c:v>
                </c:pt>
              </c:strCache>
            </c:strRef>
          </c:cat>
          <c:val>
            <c:numRef>
              <c:f>'Market details'!$C$72:$C$74</c:f>
              <c:numCache>
                <c:formatCode>0%</c:formatCode>
                <c:ptCount val="3"/>
                <c:pt idx="0">
                  <c:v>0.52769454545454542</c:v>
                </c:pt>
                <c:pt idx="1">
                  <c:v>0.25759077042333861</c:v>
                </c:pt>
                <c:pt idx="2">
                  <c:v>0.21471468412211592</c:v>
                </c:pt>
              </c:numCache>
            </c:numRef>
          </c:val>
        </c:ser>
        <c:dLbls>
          <c:showLegendKey val="0"/>
          <c:showVal val="0"/>
          <c:showCatName val="0"/>
          <c:showSerName val="0"/>
          <c:showPercent val="0"/>
          <c:showBubbleSize val="0"/>
          <c:showLeaderLines val="1"/>
        </c:dLbls>
        <c:firstSliceAng val="0"/>
      </c:pieChart>
      <c:spPr>
        <a:noFill/>
        <a:ln w="25400">
          <a:noFill/>
        </a:ln>
      </c:spPr>
    </c:plotArea>
    <c:plotVisOnly val="1"/>
    <c:dispBlanksAs val="zero"/>
    <c:showDLblsOverMax val="0"/>
  </c:chart>
  <c:spPr>
    <a:solidFill>
      <a:srgbClr val="FFFFFF"/>
    </a:solidFill>
    <a:ln w="9525">
      <a:noFill/>
    </a:ln>
  </c:spPr>
  <c:txPr>
    <a:bodyPr/>
    <a:lstStyle/>
    <a:p>
      <a:pPr>
        <a:defRPr sz="600" b="0" i="0" u="none" strike="noStrike" baseline="0">
          <a:solidFill>
            <a:sysClr val="windowText" lastClr="000000"/>
          </a:solidFill>
          <a:latin typeface="Arial Narrow" panose="020B0606020202030204" pitchFamily="34" charset="0"/>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340974375104487"/>
          <c:y val="0.12922330128450166"/>
          <c:w val="0.65043478260869569"/>
          <c:h val="0.70168855534709196"/>
        </c:manualLayout>
      </c:layout>
      <c:pieChart>
        <c:varyColors val="1"/>
        <c:ser>
          <c:idx val="0"/>
          <c:order val="0"/>
          <c:spPr>
            <a:solidFill>
              <a:srgbClr val="002D72"/>
            </a:solidFill>
            <a:ln w="25400">
              <a:noFill/>
            </a:ln>
          </c:spPr>
          <c:dPt>
            <c:idx val="0"/>
            <c:bubble3D val="0"/>
          </c:dPt>
          <c:dPt>
            <c:idx val="1"/>
            <c:bubble3D val="0"/>
            <c:spPr>
              <a:solidFill>
                <a:srgbClr val="00BDF2"/>
              </a:solidFill>
              <a:ln w="25400">
                <a:noFill/>
              </a:ln>
            </c:spPr>
          </c:dPt>
          <c:dPt>
            <c:idx val="2"/>
            <c:bubble3D val="0"/>
            <c:spPr>
              <a:solidFill>
                <a:srgbClr val="99ABC7"/>
              </a:solidFill>
              <a:ln w="25400">
                <a:noFill/>
              </a:ln>
            </c:spPr>
          </c:dPt>
          <c:dPt>
            <c:idx val="3"/>
            <c:bubble3D val="0"/>
            <c:spPr>
              <a:solidFill>
                <a:srgbClr val="CCF2FC"/>
              </a:solidFill>
              <a:ln w="25400">
                <a:noFill/>
              </a:ln>
            </c:spPr>
          </c:dPt>
          <c:dPt>
            <c:idx val="4"/>
            <c:bubble3D val="0"/>
            <c:spPr>
              <a:solidFill>
                <a:srgbClr val="00B0B9"/>
              </a:solidFill>
              <a:ln w="25400">
                <a:noFill/>
              </a:ln>
            </c:spPr>
          </c:dPt>
          <c:dLbls>
            <c:numFmt formatCode="0%" sourceLinked="0"/>
            <c:spPr>
              <a:noFill/>
              <a:ln w="25400">
                <a:noFill/>
              </a:ln>
            </c:spPr>
            <c:dLblPos val="outEnd"/>
            <c:showLegendKey val="0"/>
            <c:showVal val="0"/>
            <c:showCatName val="1"/>
            <c:showSerName val="0"/>
            <c:showPercent val="1"/>
            <c:showBubbleSize val="0"/>
            <c:showLeaderLines val="1"/>
          </c:dLbls>
          <c:cat>
            <c:strRef>
              <c:f>'Market details'!$B$78:$B$80</c:f>
              <c:strCache>
                <c:ptCount val="3"/>
                <c:pt idx="0">
                  <c:v>Plantronics</c:v>
                </c:pt>
                <c:pt idx="1">
                  <c:v>GN Netcom</c:v>
                </c:pt>
                <c:pt idx="2">
                  <c:v>Others (Sony, Nokia, Samsung, Motorola, etc)</c:v>
                </c:pt>
              </c:strCache>
            </c:strRef>
          </c:cat>
          <c:val>
            <c:numRef>
              <c:f>'Market details'!$C$78:$C$80</c:f>
              <c:numCache>
                <c:formatCode>0%</c:formatCode>
                <c:ptCount val="3"/>
                <c:pt idx="0">
                  <c:v>0.14382538461538463</c:v>
                </c:pt>
                <c:pt idx="1">
                  <c:v>0.13972820356047866</c:v>
                </c:pt>
                <c:pt idx="2">
                  <c:v>0.71644641182413671</c:v>
                </c:pt>
              </c:numCache>
            </c:numRef>
          </c:val>
        </c:ser>
        <c:dLbls>
          <c:showLegendKey val="0"/>
          <c:showVal val="0"/>
          <c:showCatName val="0"/>
          <c:showSerName val="0"/>
          <c:showPercent val="0"/>
          <c:showBubbleSize val="0"/>
          <c:showLeaderLines val="1"/>
        </c:dLbls>
        <c:firstSliceAng val="0"/>
      </c:pieChart>
      <c:spPr>
        <a:noFill/>
        <a:ln w="25400">
          <a:noFill/>
        </a:ln>
      </c:spPr>
    </c:plotArea>
    <c:plotVisOnly val="1"/>
    <c:dispBlanksAs val="zero"/>
    <c:showDLblsOverMax val="0"/>
  </c:chart>
  <c:spPr>
    <a:solidFill>
      <a:srgbClr val="FFFFFF"/>
    </a:solidFill>
    <a:ln w="9525">
      <a:noFill/>
    </a:ln>
  </c:spPr>
  <c:txPr>
    <a:bodyPr/>
    <a:lstStyle/>
    <a:p>
      <a:pPr>
        <a:defRPr sz="600" b="0" i="0" u="none" strike="noStrike" baseline="0">
          <a:solidFill>
            <a:sysClr val="windowText" lastClr="000000"/>
          </a:solidFill>
          <a:latin typeface="Arial Narrow" panose="020B0606020202030204" pitchFamily="34" charset="0"/>
          <a:ea typeface="Arial"/>
          <a:cs typeface="Arial"/>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C33595A99F4ACD9D25E97E52EE2CA2"/>
        <w:category>
          <w:name w:val="General"/>
          <w:gallery w:val="placeholder"/>
        </w:category>
        <w:types>
          <w:type w:val="bbPlcHdr"/>
        </w:types>
        <w:behaviors>
          <w:behavior w:val="content"/>
        </w:behaviors>
        <w:guid w:val="{0E26D3AE-454C-42A1-8CDC-5A83469C7EE1}"/>
      </w:docPartPr>
      <w:docPartBody>
        <w:p w:rsidR="00F56273" w:rsidRDefault="00E90966">
          <w:pPr>
            <w:pStyle w:val="23C33595A99F4ACD9D25E97E52EE2CA2"/>
          </w:pPr>
          <w:r>
            <w:rPr>
              <w:rStyle w:val="PlaceholderText"/>
            </w:rPr>
            <w:t xml:space="preserve"> </w:t>
          </w:r>
        </w:p>
      </w:docPartBody>
    </w:docPart>
    <w:docPart>
      <w:docPartPr>
        <w:name w:val="57F9605CD1D1458D906797A4F0285562"/>
        <w:category>
          <w:name w:val="General"/>
          <w:gallery w:val="placeholder"/>
        </w:category>
        <w:types>
          <w:type w:val="bbPlcHdr"/>
        </w:types>
        <w:behaviors>
          <w:behavior w:val="content"/>
        </w:behaviors>
        <w:guid w:val="{F1B9C6B7-2BC8-4E87-9CF7-3B35CFA019F6}"/>
      </w:docPartPr>
      <w:docPartBody>
        <w:p w:rsidR="00F56273" w:rsidRDefault="00E90966">
          <w:pPr>
            <w:pStyle w:val="57F9605CD1D1458D906797A4F0285562"/>
          </w:pPr>
          <w:r>
            <w:rPr>
              <w:rStyle w:val="PlaceholderText"/>
            </w:rPr>
            <w:t xml:space="preserve"> </w:t>
          </w:r>
        </w:p>
      </w:docPartBody>
    </w:docPart>
    <w:docPart>
      <w:docPartPr>
        <w:name w:val="D967E9EEB6494CFB8C0BC4D33B7EDA15"/>
        <w:category>
          <w:name w:val="General"/>
          <w:gallery w:val="placeholder"/>
        </w:category>
        <w:types>
          <w:type w:val="bbPlcHdr"/>
        </w:types>
        <w:behaviors>
          <w:behavior w:val="content"/>
        </w:behaviors>
        <w:guid w:val="{66A7C9E4-8A08-4393-B42C-290C734BE9F3}"/>
      </w:docPartPr>
      <w:docPartBody>
        <w:p w:rsidR="00F56273" w:rsidRDefault="00E90966">
          <w:pPr>
            <w:pStyle w:val="D967E9EEB6494CFB8C0BC4D33B7EDA15"/>
          </w:pPr>
          <w:r>
            <w:rPr>
              <w:rStyle w:val="PlaceholderText"/>
            </w:rPr>
            <w:t xml:space="preserve"> </w:t>
          </w:r>
        </w:p>
      </w:docPartBody>
    </w:docPart>
    <w:docPart>
      <w:docPartPr>
        <w:name w:val="2651084CCA4F48D297FAA22DC3886391"/>
        <w:category>
          <w:name w:val="General"/>
          <w:gallery w:val="placeholder"/>
        </w:category>
        <w:types>
          <w:type w:val="bbPlcHdr"/>
        </w:types>
        <w:behaviors>
          <w:behavior w:val="content"/>
        </w:behaviors>
        <w:guid w:val="{6CEB4DA2-E7D7-4B58-A191-E7F4D1BFA438}"/>
      </w:docPartPr>
      <w:docPartBody>
        <w:p w:rsidR="00F56273" w:rsidRDefault="00E90966">
          <w:r w:rsidRPr="00E54D03">
            <w:rPr>
              <w:rStyle w:val="PlaceholderText"/>
            </w:rPr>
            <w:t xml:space="preserve"> </w:t>
          </w:r>
        </w:p>
      </w:docPartBody>
    </w:docPart>
    <w:docPart>
      <w:docPartPr>
        <w:name w:val="6090439FD6114813BC83F6798A2FAC49"/>
        <w:category>
          <w:name w:val="General"/>
          <w:gallery w:val="placeholder"/>
        </w:category>
        <w:types>
          <w:type w:val="bbPlcHdr"/>
        </w:types>
        <w:behaviors>
          <w:behavior w:val="content"/>
        </w:behaviors>
        <w:guid w:val="{540D7920-FFEE-4C6B-8CFE-068B1977C230}"/>
      </w:docPartPr>
      <w:docPartBody>
        <w:p w:rsidR="00F56273" w:rsidRDefault="00E90966">
          <w:r w:rsidRPr="00E54D03">
            <w:rPr>
              <w:rStyle w:val="PlaceholderText"/>
            </w:rPr>
            <w:t xml:space="preserve"> </w:t>
          </w:r>
        </w:p>
      </w:docPartBody>
    </w:docPart>
    <w:docPart>
      <w:docPartPr>
        <w:name w:val="F497FB9DE1BB43A68A5C1B872A41E0F6"/>
        <w:category>
          <w:name w:val="General"/>
          <w:gallery w:val="placeholder"/>
        </w:category>
        <w:types>
          <w:type w:val="bbPlcHdr"/>
        </w:types>
        <w:behaviors>
          <w:behavior w:val="content"/>
        </w:behaviors>
        <w:guid w:val="{9142BCE7-7C14-44B8-B296-C2E79A582BAE}"/>
      </w:docPartPr>
      <w:docPartBody>
        <w:p w:rsidR="00F56273" w:rsidRDefault="00E90966">
          <w:r w:rsidRPr="00E54D03">
            <w:rPr>
              <w:rStyle w:val="PlaceholderText"/>
            </w:rPr>
            <w:t xml:space="preserve"> </w:t>
          </w:r>
        </w:p>
      </w:docPartBody>
    </w:docPart>
    <w:docPart>
      <w:docPartPr>
        <w:name w:val="DE85D69E2CD54758B73BA6F1391AFAB0"/>
        <w:category>
          <w:name w:val="General"/>
          <w:gallery w:val="placeholder"/>
        </w:category>
        <w:types>
          <w:type w:val="bbPlcHdr"/>
        </w:types>
        <w:behaviors>
          <w:behavior w:val="content"/>
        </w:behaviors>
        <w:guid w:val="{2061F424-4091-42CE-8EAC-4191BC7F744D}"/>
      </w:docPartPr>
      <w:docPartBody>
        <w:p w:rsidR="00F56273" w:rsidRDefault="00E90966">
          <w:r w:rsidRPr="00E54D03">
            <w:rPr>
              <w:rStyle w:val="PlaceholderText"/>
            </w:rPr>
            <w:t xml:space="preserve"> </w:t>
          </w:r>
        </w:p>
      </w:docPartBody>
    </w:docPart>
    <w:docPart>
      <w:docPartPr>
        <w:name w:val="F7EF95DE898540D589C6A5105A05C02C"/>
        <w:category>
          <w:name w:val="General"/>
          <w:gallery w:val="placeholder"/>
        </w:category>
        <w:types>
          <w:type w:val="bbPlcHdr"/>
        </w:types>
        <w:behaviors>
          <w:behavior w:val="content"/>
        </w:behaviors>
        <w:guid w:val="{63FD9A35-DF98-4A69-857B-7056DA927E74}"/>
      </w:docPartPr>
      <w:docPartBody>
        <w:p w:rsidR="00F56273" w:rsidRDefault="00E90966">
          <w:r w:rsidRPr="00E54D03">
            <w:rPr>
              <w:rStyle w:val="PlaceholderText"/>
            </w:rPr>
            <w:t xml:space="preserve"> </w:t>
          </w:r>
        </w:p>
      </w:docPartBody>
    </w:docPart>
    <w:docPart>
      <w:docPartPr>
        <w:name w:val="41D7D8D5022A4F1C904041970FC73514"/>
        <w:category>
          <w:name w:val="General"/>
          <w:gallery w:val="placeholder"/>
        </w:category>
        <w:types>
          <w:type w:val="bbPlcHdr"/>
        </w:types>
        <w:behaviors>
          <w:behavior w:val="content"/>
        </w:behaviors>
        <w:guid w:val="{35DDF0D3-6F1F-4CE5-BCAB-1AFFB3E8976A}"/>
      </w:docPartPr>
      <w:docPartBody>
        <w:p w:rsidR="00F56273" w:rsidRDefault="00E90966">
          <w:r w:rsidRPr="00E54D03">
            <w:rPr>
              <w:rStyle w:val="PlaceholderText"/>
            </w:rPr>
            <w:t xml:space="preserve"> </w:t>
          </w:r>
        </w:p>
      </w:docPartBody>
    </w:docPart>
    <w:docPart>
      <w:docPartPr>
        <w:name w:val="44F181AE31674B2497EC894A0BC267F7"/>
        <w:category>
          <w:name w:val="General"/>
          <w:gallery w:val="placeholder"/>
        </w:category>
        <w:types>
          <w:type w:val="bbPlcHdr"/>
        </w:types>
        <w:behaviors>
          <w:behavior w:val="content"/>
        </w:behaviors>
        <w:guid w:val="{C76BA436-2C7B-4605-B260-06145F622DFD}"/>
      </w:docPartPr>
      <w:docPartBody>
        <w:p w:rsidR="00F56273" w:rsidRDefault="00E90966">
          <w:r w:rsidRPr="00E54D03">
            <w:rPr>
              <w:rStyle w:val="PlaceholderText"/>
            </w:rPr>
            <w:t xml:space="preserve"> </w:t>
          </w:r>
        </w:p>
      </w:docPartBody>
    </w:docPart>
    <w:docPart>
      <w:docPartPr>
        <w:name w:val="8E4C3B1805A640FAB1CC17D73813027A"/>
        <w:category>
          <w:name w:val="General"/>
          <w:gallery w:val="placeholder"/>
        </w:category>
        <w:types>
          <w:type w:val="bbPlcHdr"/>
        </w:types>
        <w:behaviors>
          <w:behavior w:val="content"/>
        </w:behaviors>
        <w:guid w:val="{49E9B3E5-99B4-42A0-A1B8-B837CADA5379}"/>
      </w:docPartPr>
      <w:docPartBody>
        <w:p w:rsidR="00F56273" w:rsidRDefault="00E90966">
          <w:r w:rsidRPr="00E54D03">
            <w:rPr>
              <w:rStyle w:val="PlaceholderText"/>
            </w:rPr>
            <w:t xml:space="preserve"> </w:t>
          </w:r>
        </w:p>
      </w:docPartBody>
    </w:docPart>
    <w:docPart>
      <w:docPartPr>
        <w:name w:val="CC761B2B877C498DBAC80E687DD6AC33"/>
        <w:category>
          <w:name w:val="General"/>
          <w:gallery w:val="placeholder"/>
        </w:category>
        <w:types>
          <w:type w:val="bbPlcHdr"/>
        </w:types>
        <w:behaviors>
          <w:behavior w:val="content"/>
        </w:behaviors>
        <w:guid w:val="{1D016E10-C027-44DC-A2E5-6D58D23DD2F3}"/>
      </w:docPartPr>
      <w:docPartBody>
        <w:p w:rsidR="00F56273" w:rsidRDefault="00E90966">
          <w:r w:rsidRPr="00E54D03">
            <w:rPr>
              <w:rStyle w:val="PlaceholderText"/>
            </w:rPr>
            <w:t xml:space="preserve"> </w:t>
          </w:r>
        </w:p>
      </w:docPartBody>
    </w:docPart>
    <w:docPart>
      <w:docPartPr>
        <w:name w:val="0D054E1213BD4B10859198B5043AD820"/>
        <w:category>
          <w:name w:val="General"/>
          <w:gallery w:val="placeholder"/>
        </w:category>
        <w:types>
          <w:type w:val="bbPlcHdr"/>
        </w:types>
        <w:behaviors>
          <w:behavior w:val="content"/>
        </w:behaviors>
        <w:guid w:val="{A38FA755-909B-407B-B40A-882358AC9D61}"/>
      </w:docPartPr>
      <w:docPartBody>
        <w:p w:rsidR="00F56273" w:rsidRDefault="00E90966">
          <w:r w:rsidRPr="00E54D03">
            <w:rPr>
              <w:rStyle w:val="PlaceholderText"/>
            </w:rPr>
            <w:t xml:space="preserve"> </w:t>
          </w:r>
        </w:p>
      </w:docPartBody>
    </w:docPart>
    <w:docPart>
      <w:docPartPr>
        <w:name w:val="EB64980A7BF14CC188FDBF9D65C6F116"/>
        <w:category>
          <w:name w:val="General"/>
          <w:gallery w:val="placeholder"/>
        </w:category>
        <w:types>
          <w:type w:val="bbPlcHdr"/>
        </w:types>
        <w:behaviors>
          <w:behavior w:val="content"/>
        </w:behaviors>
        <w:guid w:val="{329995ED-5095-404E-8B4A-AC2D97405550}"/>
      </w:docPartPr>
      <w:docPartBody>
        <w:p w:rsidR="00F56273" w:rsidRDefault="00E90966">
          <w:r w:rsidRPr="00E54D03">
            <w:rPr>
              <w:rStyle w:val="PlaceholderText"/>
            </w:rPr>
            <w:t xml:space="preserve"> </w:t>
          </w:r>
        </w:p>
      </w:docPartBody>
    </w:docPart>
    <w:docPart>
      <w:docPartPr>
        <w:name w:val="9913D63E9D654489A57A4F2D98C6C2F5"/>
        <w:category>
          <w:name w:val="General"/>
          <w:gallery w:val="placeholder"/>
        </w:category>
        <w:types>
          <w:type w:val="bbPlcHdr"/>
        </w:types>
        <w:behaviors>
          <w:behavior w:val="content"/>
        </w:behaviors>
        <w:guid w:val="{B896B38B-BD06-4AC2-944D-A508527C9C35}"/>
      </w:docPartPr>
      <w:docPartBody>
        <w:p w:rsidR="00F56273" w:rsidRDefault="00E90966">
          <w:r w:rsidRPr="00E54D03">
            <w:rPr>
              <w:rStyle w:val="PlaceholderText"/>
            </w:rPr>
            <w:t xml:space="preserve"> </w:t>
          </w:r>
        </w:p>
      </w:docPartBody>
    </w:docPart>
    <w:docPart>
      <w:docPartPr>
        <w:name w:val="4C22888FC4FF4A4A87FBA5B7DBDE2C86"/>
        <w:category>
          <w:name w:val="General"/>
          <w:gallery w:val="placeholder"/>
        </w:category>
        <w:types>
          <w:type w:val="bbPlcHdr"/>
        </w:types>
        <w:behaviors>
          <w:behavior w:val="content"/>
        </w:behaviors>
        <w:guid w:val="{FEDB89CD-369B-4431-AD9C-16F608C8EB34}"/>
      </w:docPartPr>
      <w:docPartBody>
        <w:p w:rsidR="00F56273" w:rsidRDefault="00E90966">
          <w:r w:rsidRPr="00E54D03">
            <w:rPr>
              <w:rStyle w:val="PlaceholderText"/>
            </w:rPr>
            <w:t xml:space="preserve"> </w:t>
          </w:r>
        </w:p>
      </w:docPartBody>
    </w:docPart>
    <w:docPart>
      <w:docPartPr>
        <w:name w:val="6D03F75DB94F4833A9C46A87F49807DA"/>
        <w:category>
          <w:name w:val="General"/>
          <w:gallery w:val="placeholder"/>
        </w:category>
        <w:types>
          <w:type w:val="bbPlcHdr"/>
        </w:types>
        <w:behaviors>
          <w:behavior w:val="content"/>
        </w:behaviors>
        <w:guid w:val="{D4C07366-F3B7-4E3C-A3D9-3DDE3FA0AA9A}"/>
      </w:docPartPr>
      <w:docPartBody>
        <w:p w:rsidR="00F56273" w:rsidRDefault="00E90966">
          <w:r w:rsidRPr="00E54D03">
            <w:rPr>
              <w:rStyle w:val="PlaceholderText"/>
            </w:rPr>
            <w:t xml:space="preserve"> </w:t>
          </w:r>
        </w:p>
      </w:docPartBody>
    </w:docPart>
    <w:docPart>
      <w:docPartPr>
        <w:name w:val="DDBA3E6E063B4F618F9A985C390B558F"/>
        <w:category>
          <w:name w:val="General"/>
          <w:gallery w:val="placeholder"/>
        </w:category>
        <w:types>
          <w:type w:val="bbPlcHdr"/>
        </w:types>
        <w:behaviors>
          <w:behavior w:val="content"/>
        </w:behaviors>
        <w:guid w:val="{61E6FEDF-C237-465A-AC58-B73E640E846E}"/>
      </w:docPartPr>
      <w:docPartBody>
        <w:p w:rsidR="00F56273" w:rsidRDefault="00E90966">
          <w:r w:rsidRPr="00E54D03">
            <w:rPr>
              <w:rStyle w:val="PlaceholderText"/>
            </w:rPr>
            <w:t xml:space="preserve"> </w:t>
          </w:r>
        </w:p>
      </w:docPartBody>
    </w:docPart>
    <w:docPart>
      <w:docPartPr>
        <w:name w:val="9211B221FA0A4BE7A58554F77072402A"/>
        <w:category>
          <w:name w:val="General"/>
          <w:gallery w:val="placeholder"/>
        </w:category>
        <w:types>
          <w:type w:val="bbPlcHdr"/>
        </w:types>
        <w:behaviors>
          <w:behavior w:val="content"/>
        </w:behaviors>
        <w:guid w:val="{DECC5F60-AD56-4912-BB86-593ED27A7C40}"/>
      </w:docPartPr>
      <w:docPartBody>
        <w:p w:rsidR="00F56273" w:rsidRDefault="00E90966">
          <w:r w:rsidRPr="00E54D03">
            <w:rPr>
              <w:rStyle w:val="PlaceholderText"/>
            </w:rPr>
            <w:t xml:space="preserve"> </w:t>
          </w:r>
        </w:p>
      </w:docPartBody>
    </w:docPart>
    <w:docPart>
      <w:docPartPr>
        <w:name w:val="DF0296E61E4C4428A1B432C8AEBE7A5A"/>
        <w:category>
          <w:name w:val="General"/>
          <w:gallery w:val="placeholder"/>
        </w:category>
        <w:types>
          <w:type w:val="bbPlcHdr"/>
        </w:types>
        <w:behaviors>
          <w:behavior w:val="content"/>
        </w:behaviors>
        <w:guid w:val="{7589073C-E2BB-4554-9739-B26E35B6111C}"/>
      </w:docPartPr>
      <w:docPartBody>
        <w:p w:rsidR="00F56273" w:rsidRDefault="00E90966" w:rsidP="00E90966">
          <w:pPr>
            <w:pStyle w:val="DF0296E61E4C4428A1B432C8AEBE7A5A"/>
          </w:pPr>
          <w:r>
            <w:rPr>
              <w:rStyle w:val="PlaceholderText"/>
            </w:rPr>
            <w:t xml:space="preserve"> </w:t>
          </w:r>
        </w:p>
      </w:docPartBody>
    </w:docPart>
    <w:docPart>
      <w:docPartPr>
        <w:name w:val="0C72673CCABE45C3AF7B5FC0AFC80E22"/>
        <w:category>
          <w:name w:val="General"/>
          <w:gallery w:val="placeholder"/>
        </w:category>
        <w:types>
          <w:type w:val="bbPlcHdr"/>
        </w:types>
        <w:behaviors>
          <w:behavior w:val="content"/>
        </w:behaviors>
        <w:guid w:val="{DEDC7F26-CF2F-4CDC-813A-58A9C76359A4}"/>
      </w:docPartPr>
      <w:docPartBody>
        <w:p w:rsidR="00F56273" w:rsidRDefault="00E90966">
          <w:r w:rsidRPr="00E54D03">
            <w:rPr>
              <w:rStyle w:val="PlaceholderText"/>
            </w:rPr>
            <w:t xml:space="preserve"> </w:t>
          </w:r>
        </w:p>
      </w:docPartBody>
    </w:docPart>
    <w:docPart>
      <w:docPartPr>
        <w:name w:val="5E7E8A9D88E6497795DB98EA4C80033A"/>
        <w:category>
          <w:name w:val="General"/>
          <w:gallery w:val="placeholder"/>
        </w:category>
        <w:types>
          <w:type w:val="bbPlcHdr"/>
        </w:types>
        <w:behaviors>
          <w:behavior w:val="content"/>
        </w:behaviors>
        <w:guid w:val="{0C120C28-A6E8-4487-A333-F82A2662AA9C}"/>
      </w:docPartPr>
      <w:docPartBody>
        <w:p w:rsidR="00000000" w:rsidRDefault="00F56273">
          <w:r w:rsidRPr="00C57576">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IR Trade Gothic Cn">
    <w:altName w:val="Arial Narrow"/>
    <w:panose1 w:val="00000000000000000000"/>
    <w:charset w:val="00"/>
    <w:family w:val="modern"/>
    <w:notTrueType/>
    <w:pitch w:val="variable"/>
    <w:sig w:usb0="00000007" w:usb1="00000000" w:usb2="00000000" w:usb3="00000000" w:csb0="00000093" w:csb1="00000000"/>
  </w:font>
  <w:font w:name="MS Shell Dlg 2">
    <w:panose1 w:val="020B0604030504040204"/>
    <w:charset w:val="00"/>
    <w:family w:val="swiss"/>
    <w:pitch w:val="variable"/>
    <w:sig w:usb0="E1002EFF" w:usb1="C000605B" w:usb2="00000029" w:usb3="00000000" w:csb0="000101FF" w:csb1="00000000"/>
  </w:font>
  <w:font w:name="Trade Gothic LT Com Cn">
    <w:altName w:val="Arial Narrow"/>
    <w:charset w:val="00"/>
    <w:family w:val="auto"/>
    <w:pitch w:val="variable"/>
    <w:sig w:usb0="80000003" w:usb1="4000204A" w:usb2="00000000" w:usb3="00000000" w:csb0="00000001" w:csb1="00000000"/>
  </w:font>
  <w:font w:name="Gotham-Book">
    <w:altName w:val="MS Gothic"/>
    <w:panose1 w:val="00000000000000000000"/>
    <w:charset w:val="80"/>
    <w:family w:val="swiss"/>
    <w:notTrueType/>
    <w:pitch w:val="default"/>
    <w:sig w:usb0="00000003" w:usb1="08070000" w:usb2="00000010" w:usb3="00000000" w:csb0="00020001"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66"/>
    <w:rsid w:val="00E90966"/>
    <w:rsid w:val="00F5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273"/>
    <w:rPr>
      <w:color w:val="808080"/>
    </w:rPr>
  </w:style>
  <w:style w:type="paragraph" w:customStyle="1" w:styleId="23C33595A99F4ACD9D25E97E52EE2CA2">
    <w:name w:val="23C33595A99F4ACD9D25E97E52EE2CA2"/>
  </w:style>
  <w:style w:type="paragraph" w:customStyle="1" w:styleId="57F9605CD1D1458D906797A4F0285562">
    <w:name w:val="57F9605CD1D1458D906797A4F0285562"/>
  </w:style>
  <w:style w:type="paragraph" w:customStyle="1" w:styleId="D967E9EEB6494CFB8C0BC4D33B7EDA15">
    <w:name w:val="D967E9EEB6494CFB8C0BC4D33B7EDA15"/>
  </w:style>
  <w:style w:type="paragraph" w:customStyle="1" w:styleId="B3601F4F556940139D96EF3211F1EC33">
    <w:name w:val="B3601F4F556940139D96EF3211F1EC33"/>
    <w:rsid w:val="00E90966"/>
  </w:style>
  <w:style w:type="paragraph" w:customStyle="1" w:styleId="DF0296E61E4C4428A1B432C8AEBE7A5A">
    <w:name w:val="DF0296E61E4C4428A1B432C8AEBE7A5A"/>
    <w:rsid w:val="00E90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273"/>
    <w:rPr>
      <w:color w:val="808080"/>
    </w:rPr>
  </w:style>
  <w:style w:type="paragraph" w:customStyle="1" w:styleId="23C33595A99F4ACD9D25E97E52EE2CA2">
    <w:name w:val="23C33595A99F4ACD9D25E97E52EE2CA2"/>
  </w:style>
  <w:style w:type="paragraph" w:customStyle="1" w:styleId="57F9605CD1D1458D906797A4F0285562">
    <w:name w:val="57F9605CD1D1458D906797A4F0285562"/>
  </w:style>
  <w:style w:type="paragraph" w:customStyle="1" w:styleId="D967E9EEB6494CFB8C0BC4D33B7EDA15">
    <w:name w:val="D967E9EEB6494CFB8C0BC4D33B7EDA15"/>
  </w:style>
  <w:style w:type="paragraph" w:customStyle="1" w:styleId="B3601F4F556940139D96EF3211F1EC33">
    <w:name w:val="B3601F4F556940139D96EF3211F1EC33"/>
    <w:rsid w:val="00E90966"/>
  </w:style>
  <w:style w:type="paragraph" w:customStyle="1" w:styleId="DF0296E61E4C4428A1B432C8AEBE7A5A">
    <w:name w:val="DF0296E61E4C4428A1B432C8AEBE7A5A"/>
    <w:rsid w:val="00E90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ocument>
  <wipe count="0" lastTimeStamp="" lastWipeType=""/>
  <logs>
    <log timeStamp="16-Dec-2014 16:29:38@GMT-05:00" machine="RSHW7NYWLQA011" machineLogin="NAM\rshqa007" id="rshqa007" Category="Miscellaneous" severity="Info" type="AkamaiLink"><![CDATA[Original range link[1] https://ir.citi.com/we5awz%2B3cCawfX4TyImIfHzDW23dyl20mmRodkt1VO5%2BT%2FCqfLrThtNbh7%2FRCDUUGZA8RjKODMU%3D]]></log>
    <log timeStamp="16-Dec-2014 16:29:38@GMT-05:00" machine="RSHW7NYWLQA011" machineLogin="NAM\rshqa007" id="rshqa007" Category="Miscellaneous" severity="Info" type="AkamaiLink"><![CDATA[Reencrypt link[1] https://ir.citi.com/f00GW%2bvUDr0rkBEPUVrWOKbMaU5Xj1JESy9eJUXbikbUxo4LkYymrt6hPl7OKIdoyErKKC77YbUpF1sAI8l8yA%3d%3d]]></log>
    <log timeStamp="16-Dec-2014 16:29:38@GMT-05:00" machine="RSHW7NYWLQA011" machineLogin="NAM\rshqa007" id="rshqa007" Category="Miscellaneous" severity="Info" type="AkamaiLink"><![CDATA[Original range link[2] https://ir.citi.com/5L1ZBf8d0Og9oHVV4susGx6xc0YBlVVbn20oO4heYhc3kFot6NoXmsVfBaScmBGP%2fsfsFTrJ9YI%3d]]></log>
    <log timeStamp="16-Dec-2014 16:29:38@GMT-05:00" machine="RSHW7NYWLQA011" machineLogin="NAM\rshqa007" id="rshqa007" Category="Miscellaneous" severity="Info" type="AkamaiLink"><![CDATA[Reencrypt link[2] https://ir.citi.com/4NSxJJ79UPwVu%2fFonuvgraW5bkcHI%2fwNZfjOOSkxQvV05j2%2fYBPgtYZC3rQn0dH6pwTj%2brudLbQ%3d]]></log>
    <log timeStamp="16-Dec-2014 16:32:40@GMT-05:00" machine="RSHNYVMR768352" machineLogin="NAM\av73265" id="av73265" Category="Miscellaneous" severity="Info" type="AkamaiLink"><![CDATA[Original range link[1] https://ir.citi.com/f00GW%2bvUDr0rkBEPUVrWOKbMaU5Xj1JESy9eJUXbikbUxo4LkYymrt6hPl7OKIdoyErKKC77YbUpF1sAI8l8yA%3d%3d]]></log>
    <log timeStamp="16-Dec-2014 16:32:41@GMT-05:00" machine="RSHNYVMR768352" machineLogin="NAM\av73265" id="av73265" Category="Miscellaneous" severity="Info" type="AkamaiLink"><![CDATA[Same document id, does not reencrypt link[1] ]]></log>
    <log timeStamp="16-Dec-2014 16:32:41@GMT-05:00" machine="RSHNYVMR768352" machineLogin="NAM\av73265" id="av73265" Category="Miscellaneous" severity="Info" type="AkamaiLink"><![CDATA[Original range link[2] https://ir.citi.com/4NSxJJ79UPwVu%2fFonuvgraW5bkcHI%2fwNZfjOOSkxQvV05j2%2fYBPgtYZC3rQn0dH6pwTj%2brudLbQ%3d]]></log>
    <log timeStamp="16-Dec-2014 16:32:41@GMT-05:00" machine="RSHNYVMR768352" machineLogin="NAM\av73265" id="av73265" Category="Miscellaneous" severity="Info" type="AkamaiLink"><![CDATA[Same document id, does not reencrypt link[2] ]]></log>
  </logs>
</document>
</file>

<file path=customXml/item2.xml><?xml version="1.0" encoding="utf-8"?>
<contentControls>
  <contentControl id="1536925782" componentID="" parentID="">
    <data>
      <contentData>
        <issuerPage appliesTo="BRKR.US" appliesToType="CompanyCode" publishingGroup="CIR"/>
      </contentData>
    </data>
    <state>
      <stateData>
        <SelectedTableLayout>1</SelectedTableLayout>
        <SelectedFullWidthCheckbox>False</SelectedFullWidthCheckbox>
        <SelectedTableOnRightCheckbox>False</SelectedTableOnRightCheckbox>
        <SelectedSwapAuthorBlockCheckbox>False</SelectedSwapAuthorBlockCheckbox>
      </stateData>
    </state>
  </contentControl>
  <contentControl id="3242281387" parentID="1536925782" componentID="D09CE4A8-0799-4A4B-AA70-C59C6FCF7A03">
    <data>
      <contentData>
        <issuerPage appliesTo="BRKR.US" appliesToType="CompanyCode" publishingGroup="CIR">
          <abstract appliesTo="BRKR.US" appliesToType="CompanyCode" publishingGroup="CIR"/>
        </issuerPage>
      </contentData>
    </data>
  </contentControl>
  <contentControl id="3386205505" componentID="" parentID="">
    <data>
      <contentData>
        <bodyText appliesTo="BRKR.US" appliesToType="CompanyCode" publishingGroup="CIR"/>
      </contentData>
    </data>
  </contentControl>
  <contentControl id="534618218" parentID="1536925782" componentID="6D632D5B-A89A-425F-845E-B0531F6F0B77">
    <data>
      <contentData>
        <issuerPage appliesTo="BRKR.US" appliesToType="CompanyCode" publishingGroup="CIR">
          <documentDate appliesTo="BRKR.US" appliesToType="CompanyCode" publishingGroup="CIR"/>
        </issuerPage>
      </contentData>
    </data>
  </contentControl>
  <contentControl id="647249240" parentID="" componentID="78DCD971-25AC-475D-B52D-18817484A0B5">
    <data>
      <contentData>
        <analystNote appliesTo="" appliesToType="CompanyCode" publishingGroup="CIR"/>
      </contentData>
    </data>
  </contentControl>
  <contentControl id="1522895846" parentID="1536925782" componentID="F1E9BCFF-04EE-4556-8D72-5D767E7F2491">
    <data>
      <contentData>
        <issuerPage appliesTo="BRKR.US" appliesToType="CompanyCode" publishingGroup="CIR">
          <documentTitle appliesTo="BRKR.US" appliesToType="CompanyCode" publishingGroup="CIR"/>
        </issuerPage>
      </contentData>
    </data>
  </contentControl>
  <contentControl id="1966237881" parentID="1522895846" componentID="F1E9BCFF-04EE-4556-8D72-5D767E7F24911">
    <data>
      <contentData>
        <issuerPage appliesTo="BRKR.US" appliesToType="CompanyCode" publishingGroup="CIR">
          <documentTitle appliesTo="BRKR.US" appliesToType="CompanyCode" publishingGroup="CIR">
            <titleText appliesTo="BRKR.US" appliesToType="CompanyCode" publishingGroup="CIR"/>
          </documentTitle>
        </issuerPage>
      </contentData>
    </data>
  </contentControl>
  <contentControl id="170929061" parentID="1536925782" componentID="0B2914F3-C462-4BD5-8CC7-CDC5AC7C4C19">
    <data>
      <contentData>
        <issuerPage appliesTo="BRKR.US" appliesToType="CompanyCode" publishingGroup="CIR">
          <priceChart appliesTo="BRKR.US" appliesToType="CompanyCode" publishingGroup="CIR" type="frontPage"/>
        </issuerPage>
      </contentData>
    </data>
  </contentControl>
  <contentControl id="2001543844" parentID="1536925782" componentID="E416C1AF-AACF-4F13-9508-9B94773AC159">
    <data>
      <contentData>
        <issuerPage appliesTo="BRKR.US" appliesToType="CompanyCode" publishingGroup="CIR">
          <issuer appliesTo="BRKR.US" appliesToType="CompanyCode" publishingGroup="CIR" code="BRKR.US" name="Bruker Corp" symbol="BRKR.US" referenceType="primary"/>
        </issuerPage>
      </contentData>
    </data>
  </contentControl>
  <contentControl id="4154379680" parentID="1536925782" componentID="EB57C1EA-BF6E-417C-BC64-8B7EF97E7D58">
    <data>
      <contentData>
        <issuerPage appliesTo="BRKR.US" appliesToType="CompanyCode" publishingGroup="CIR">
          <region appliesTo="BRKR.US" appliesToType="CompanyCode" publishingGroup="CIR" code="NAM" name="North America"/>
        </issuerPage>
      </contentData>
    </data>
  </contentControl>
  <contentControl id="3599426857" parentID="1536925782" componentID="61044C0A-048B-4483-9708-C52C16997093">
    <data>
      <contentData>
        <issuerPage appliesTo="BRKR.US" appliesToType="CompanyCode" publishingGroup="CIR">
          <country appliesTo="BRKR.US" appliesToType="CompanyCode" publishingGroup="CIR" code="ProductCountry_US" name="United States"/>
        </issuerPage>
      </contentData>
    </data>
  </contentControl>
  <contentControl id="3247896829" parentID="1536925782" componentID="811ECCBA-43A3-461D-ACDD-07D8B033583A">
    <data>
      <contentData type="CompanyInDepth">
        <issuerPage appliesTo="BRKR.US" appliesToType="CompanyCode" publishingGroup="CIR">
          <productBranding appliesTo="BRKR.US" appliesToType="CompanyCode" publishingGroup="CIR" type="CompanyInDepth"/>
        </issuerPage>
      </contentData>
    </data>
  </contentControl>
  <contentControl id="596912049" parentID="1536925782" componentID="986B992F-9014-45AE-AFB3-26875B9B6B00">
    <data>
      <contentData>
        <issuerPage appliesTo="BRKR.US" appliesToType="CompanyCode" publishingGroup="CIR">
          <corporateLogo appliesTo="BRKR.US" appliesToType="CompanyCode" publishingGroup="CIR" type="1"/>
        </issuerPage>
      </contentData>
    </data>
  </contentControl>
  <contentControl id="3680675457" parentID="1536925782" componentID="6FB4341B-E16E-4BCE-9195-C59B02661D05">
    <data>
      <contentData>
        <issuerPage appliesTo="BRKR.US" appliesToType="CompanyCode" publishingGroup="CIR">
          <Analysts appliesToType="CompanyCode" publishingGroup="CIR" appliesTo="BRKR.US"/>
        </issuerPage>
      </contentData>
    </data>
  </contentControl>
  <contentControl id="2699729047" parentID="1536925782" componentID="4070D5CA-6588-4ADF-8F85-6833AD42E28D">
    <data>
      <contentData>
        <issuerPage appliesTo="BRKR.US" appliesToType="CompanyCode" publishingGroup="CIR">
          <industry appliesTo="BRKR.US" appliesToType="CompanyCode" publishingGroup="CIR" level="non-primary" code="Life Science Tools &amp; Diagnostics" name="Life Science Tools &amp; Diagnostics"/>
        </issuerPage>
      </contentData>
    </data>
  </contentControl>
  <contentControl id="507024388" parentID="1536925782" componentID="23A8709A-8495-44F5-813A-FC79268841F9">
    <data>
      <contentData>
        <issuerPage appliesTo="BRKR.US" appliesToType="CompanyCode" publishingGroup="CIR">
          <RatingBlock appliesToType="CompanyCode" publishingGroup="CIR" appliesTo="BRKR.US"/>
        </issuerPage>
      </contentData>
    </data>
  </contentControl>
  <contentControl id="3155635927" parentID="" componentID="53163FF2-9645-4774-BA05-AD87707BF944">
    <data>
      <contentData>
        <narrative appliesTo="BRKR.US" appliesToType="CompanyCode" publishingGroup="CIR"/>
      </contentData>
    </data>
  </contentControl>
  <contentControl id="602074894" parentID="3155635927" componentID="53163FF2-9645-4774-BA05-AD87707BF9440">
    <data>
      <contentData>
        <narrative appliesTo="BRKR.US" appliesToType="CompanyCode" publishingGroup="CIR">
          <narrativeCompanyName appliesTo="BRKR.US" appliesToType="CompanyCode" publishingGroup="CIR" companyCode="BRKR.US"/>
        </narrative>
      </contentData>
    </data>
  </contentControl>
  <contentControl id="3693317948" parentID="3155635927" componentID="53163FF2-9645-4774-BA05-AD87707BF9441">
    <data>
      <contentData>
        <narrative appliesTo="BRKR.US" appliesToType="CompanyCode" publishingGroup="CIR">
          <narrativeDataItem appliesTo="BRKR.US" appliesToType="CompanyCode" publishingGroup="CIR" id="CompanyDescription" companyCode="BRKR.US"/>
        </narrative>
      </contentData>
    </data>
  </contentControl>
  <contentControl id="877986540" parentID="3155635927" componentID="53163FF2-9645-4774-BA05-AD87707BF9443">
    <data>
      <contentData>
        <narrative appliesTo="BRKR.US" appliesToType="CompanyCode" publishingGroup="CIR">
          <narrativeDataItem appliesTo="BRKR.US" appliesToType="CompanyCode" publishingGroup="CIR" id="InvestmentThesis" companyCode="BRKR.US"/>
        </narrative>
      </contentData>
    </data>
  </contentControl>
  <contentControl id="3628254504" parentID="3155635927" componentID="53163FF2-9645-4774-BA05-AD87707BF9445">
    <data>
      <contentData>
        <narrative appliesTo="BRKR.US" appliesToType="CompanyCode" publishingGroup="CIR">
          <narrativeDataItem appliesTo="BRKR.US" appliesToType="CompanyCode" publishingGroup="CIR" id="Valuation" companyCode="BRKR.US"/>
        </narrative>
      </contentData>
    </data>
  </contentControl>
  <contentControl id="3763388839" parentID="3155635927" componentID="53163FF2-9645-4774-BA05-AD87707BF9447">
    <data>
      <contentData>
        <narrative appliesTo="BRKR.US" appliesToType="CompanyCode" publishingGroup="CIR">
          <narrativeDataItem appliesTo="BRKR.US" appliesToType="CompanyCode" publishingGroup="CIR" id="RiskNarrative" companyCode="BRKR.US"/>
        </narrative>
      </contentData>
    </data>
  </contentControl>
  <contentControl id="2337027262" parentID="1536925782" componentID="AD6271F9-5A75-4638-B3B7-A800EEFB6E74">
    <data>
      <contentData>
        <issuerPage appliesTo="BRKR.US" appliesToType="CompanyCode" publishingGroup="CIR">
          <summaryOfChanges appliesTo="BRKR.US" appliesToType="CompanyCode" publishingGroup="CIR" code="BRKR.US" name="BRKR.US" type="Issuer"/>
        </issuerPage>
      </contentData>
    </data>
  </contentControl>
  <contentControl id="542098351" parentID="" componentID="DC214F6A-1E6A-4EE7-BC75-4391D91224B4">
    <data>
      <contentData>
        <disclosure appliesTo="BRKR.US" appliesToType="CompanyCode" publishingGroup="CIR" type="s8687" code="series8687" uniqueid="series8687"/>
      </contentData>
    </data>
  </contentControl>
  <contentControl id="303513415" parentID="1536925782" componentID="8E3443C4-1942-43B3-8B13-9160CB845F23">
    <data>
      <contentData>
        <issuerPage appliesTo="BRKR.US" appliesToType="CompanyCode" publishingGroup="CIR">
          <priceChartHeader appliesTo="BRKR.US" appliesToType="CompanyCode" publishingGroup="CIR"/>
        </issuerPage>
      </contentData>
    </data>
  </contentControl>
  <contentControl id="3483405882" parentID="1536925782" componentID="BAB771FA-14FB-4985-96C2-F5352A0F7C65">
    <data>
      <contentData>
        <issuerPage appliesTo="BRKR.US" appliesToType="CompanyCode" publishingGroup="CIR">
          <subBrandingLabel appliesTo="" appliesToType="CompanyCode" publishingGroup="CIR" type=""/>
        </issuerPage>
      </contentData>
    </data>
  </contentControl>
  <contentControl id="1645461501" componentID="" parentID="">
    <data>
      <contentData>
        <disclosuresPage appliesTo="BRKR.US" appliesToType="CompanyCode" publishingGroup="CIR"/>
      </contentData>
    </data>
  </contentControl>
</contentControls>
</file>

<file path=customXml/item3.xml><?xml version="1.0" encoding="utf-8"?>
<audit>
  <actions>
    <action timeStamp="16-Dec-2014 16:15:35@GMT-05:00" machine="RSHW7NYWLQA011" machineLogin="NAM\rshqa007" id="rshqa007" type="Miscellaneous" code="NewDoc DLL Version: 4.0.0.0 File Version: 4.15.16.0"/>
    <action timeStamp="16-Dec-2014 16:28:23@GMT-05:00" machine="RSHW7NYWLQA011" machineLogin="NAM\rshqa007" id="rshqa007" type="UOA" code="hotKeySubmitToWorkflowPressed"/>
    <action timeStamp="16-Dec-2014 16:31:36@GMT-05:00" machine="RSHNYVMR768352" machineLogin="NAM\av73265" id="av73265" type="Miscellaneous" code="OpenDoc DLL Version: 4.0.0.0 File Version: 4.15.16.0"/>
    <action timeStamp="16-Dec-2014 16:31:39@GMT-05:00" machine="RSHNYVMR768352" machineLogin="NAM\av73265" id="av73265" type="UOA" code="hotKeyRefreshDisclosuresDataPressed"/>
    <action timeStamp="16-Dec-2014 16:32:26@GMT-05:00" machine="RSHNYVMR768352" machineLogin="NAM\av73265" id="av73265" type="UOA" code="hotKeyCheckInDocumentPressed"/>
  </actions>
</audit>
</file>

<file path=customXml/itemProps1.xml><?xml version="1.0" encoding="utf-8"?>
<ds:datastoreItem xmlns:ds="http://schemas.openxmlformats.org/officeDocument/2006/customXml" ds:itemID="{DA16389A-C96C-4E4B-BE96-87272D39082F}">
  <ds:schemaRefs/>
</ds:datastoreItem>
</file>

<file path=customXml/itemProps2.xml><?xml version="1.0" encoding="utf-8"?>
<ds:datastoreItem xmlns:ds="http://schemas.openxmlformats.org/officeDocument/2006/customXml" ds:itemID="{304EF0B3-4565-40DC-A17B-4605387E2666}">
  <ds:schemaRefs/>
</ds:datastoreItem>
</file>

<file path=customXml/itemProps3.xml><?xml version="1.0" encoding="utf-8"?>
<ds:datastoreItem xmlns:ds="http://schemas.openxmlformats.org/officeDocument/2006/customXml" ds:itemID="{E06CF7E2-E06F-41BD-A039-0EE82BDF86D8}">
  <ds:schemaRefs/>
</ds:datastoreItem>
</file>

<file path=docProps/app.xml><?xml version="1.0" encoding="utf-8"?>
<Properties xmlns="http://schemas.openxmlformats.org/officeDocument/2006/extended-properties" xmlns:vt="http://schemas.openxmlformats.org/officeDocument/2006/docPropsVTypes">
  <Template>Company</Template>
  <TotalTime>7</TotalTime>
  <Pages>45</Pages>
  <Words>21736</Words>
  <Characters>112596</Characters>
  <Application>Microsoft Office Word</Application>
  <DocSecurity>0</DocSecurity>
  <Lines>6255</Lines>
  <Paragraphs>4632</Paragraphs>
  <ScaleCrop>false</ScaleCrop>
  <HeadingPairs>
    <vt:vector size="2" baseType="variant">
      <vt:variant>
        <vt:lpstr>Title</vt:lpstr>
      </vt:variant>
      <vt:variant>
        <vt:i4>1</vt:i4>
      </vt:variant>
    </vt:vector>
  </HeadingPairs>
  <TitlesOfParts>
    <vt:vector size="1" baseType="lpstr">
      <vt:lpstr>Company Focus</vt:lpstr>
    </vt:vector>
  </TitlesOfParts>
  <Company>Citigroup</Company>
  <LinksUpToDate>false</LinksUpToDate>
  <CharactersWithSpaces>129700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CompanyInDepth</dc:title>
  <dc:creator>rshqa007</dc:creator>
  <cp:lastModifiedBy>Varma, Ajay [ICG-IT]</cp:lastModifiedBy>
  <cp:revision>9</cp:revision>
  <dcterms:created xsi:type="dcterms:W3CDTF">2014-12-16T21:15:00Z</dcterms:created>
  <dcterms:modified xsi:type="dcterms:W3CDTF">2014-12-16T21:32:00Z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Bruker Corp (BRKR)</vt:lpwstr>
  </property>
  <property fmtid="{D5CDD505-2E9C-101B-9397-08002B2CF9AE}" pid="3" name="ReportDate">
    <vt:lpwstr>16 December 2014</vt:lpwstr>
  </property>
  <property fmtid="{D5CDD505-2E9C-101B-9397-08002B2CF9AE}" pid="4" name="ReadingMode">
    <vt:lpwstr>0</vt:lpwstr>
  </property>
  <property fmtid="{D5CDD505-2E9C-101B-9397-08002B2CF9AE}" pid="5" name="TemplateVersion">
    <vt:lpwstr>4.0.0</vt:lpwstr>
  </property>
  <property fmtid="{D5CDD505-2E9C-101B-9397-08002B2CF9AE}" pid="6" name="BaseWrap">
    <vt:lpwstr>CIRB1130</vt:lpwstr>
  </property>
  <property fmtid="{D5CDD505-2E9C-101B-9397-08002B2CF9AE}" pid="7" name="Solution ID">
    <vt:lpwstr>None</vt:lpwstr>
  </property>
  <property fmtid="{D5CDD505-2E9C-101B-9397-08002B2CF9AE}" pid="8" name="CIRADocVersion">
    <vt:lpwstr>2010</vt:lpwstr>
  </property>
  <property fmtid="{D5CDD505-2E9C-101B-9397-08002B2CF9AE}" pid="9" name="RA2K3TemplateID">
    <vt:lpwstr>A67ED033-5172-4E77-94D1-AF8CD23A9962</vt:lpwstr>
  </property>
  <property fmtid="{D5CDD505-2E9C-101B-9397-08002B2CF9AE}" pid="10" name="DocumentLCID">
    <vt:lpwstr>1033</vt:lpwstr>
  </property>
  <property fmtid="{D5CDD505-2E9C-101B-9397-08002B2CF9AE}" pid="11" name="ERPVersionAtCreation">
    <vt:lpwstr>2.3.9.1</vt:lpwstr>
  </property>
  <property fmtid="{D5CDD505-2E9C-101B-9397-08002B2CF9AE}" pid="12" name="ERPDocumentVersion">
    <vt:lpwstr>2.3.9.1</vt:lpwstr>
  </property>
  <property fmtid="{D5CDD505-2E9C-101B-9397-08002B2CF9AE}" pid="13" name="ERPLatestVersionUsedToOpen">
    <vt:lpwstr>2.3.9.1</vt:lpwstr>
  </property>
</Properties>
</file>