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Bitcoin Sentiment vs Trader Performance - Initial Analysis</w:t>
      </w:r>
    </w:p>
    <w:p>
      <w:r>
        <w:t>Trades analyzed: 211,224</w:t>
      </w:r>
    </w:p>
    <w:p>
      <w:r>
        <w:t>Key findings:</w:t>
      </w:r>
    </w:p>
    <w:p>
      <w:r>
        <w:t>Extreme Greed: Trades=6962, Avg PnL=25.42, Total PnL=176965.49</w:t>
      </w:r>
    </w:p>
    <w:p>
      <w:r>
        <w:t>Fear: Trades=133871, Avg PnL=50.05, Total PnL=6699925.19</w:t>
      </w:r>
    </w:p>
    <w:p>
      <w:r>
        <w:t>Greed: Trades=36289, Avg PnL=87.89, Total PnL=3189616.54</w:t>
      </w:r>
    </w:p>
    <w:p>
      <w:r>
        <w:t>Neutral: Trades=7141, Avg PnL=22.23, Total PnL=158742.38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