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i w:val="0"/>
          <w:sz w:val="26"/>
        </w:rPr>
        <w:t>Johnson &amp; Johnson</w:t>
      </w:r>
    </w:p>
    <w:tbl>
      <w:tblPr>
        <w:tblW w:type="auto" w:w="0"/>
        <w:jc w:val="left"/>
        <w:tblLayout w:type="fixed"/>
        <w:tblLook w:firstColumn="1" w:firstRow="1" w:lastColumn="0" w:lastRow="0" w:noHBand="0" w:noVBand="1" w:val="04A0"/>
      </w:tblPr>
      <w:tblGrid>
        <w:gridCol w:w="2160"/>
        <w:gridCol w:w="1224"/>
        <w:gridCol w:w="5688"/>
        <w:gridCol w:w="1008"/>
      </w:tblGrid>
      <w:tr>
        <w:tc>
          <w:tcPr>
            <w:tcW w:type="dxa" w:w="2160"/>
            <w:vAlign w:val="center"/>
            <w:tcBorders>
              <w:top w:val="single" w:sz="8" w:color="000000"/>
              <w:left w:val="nil"/>
              <w:bottom w:val="single" w:sz="8" w:color="000000"/>
              <w:right w:val="nil"/>
            </w:tcBorders>
            <w:tcMar>
              <w:top w:w="90" w:type="dxa"/>
              <w:left w:w="130" w:type="dxa"/>
              <w:bottom w:w="90" w:type="dxa"/>
              <w:right w:w="130" w:type="dxa"/>
            </w:tcMar>
          </w:tcPr>
          <w:p>
            <w:pPr>
              <w:jc w:val="left"/>
            </w:pPr>
            <w:r/>
            <w:r>
              <w:rPr>
                <w:rFonts w:ascii="Calibri" w:hAnsi="Calibri"/>
                <w:b/>
                <w:i w:val="0"/>
                <w:sz w:val="22"/>
              </w:rPr>
              <w:t>Signal</w:t>
            </w:r>
          </w:p>
        </w:tc>
        <w:tc>
          <w:tcPr>
            <w:tcW w:type="dxa" w:w="1224"/>
            <w:vAlign w:val="center"/>
            <w:tcBorders>
              <w:top w:val="single" w:sz="8" w:color="000000"/>
              <w:left w:val="nil"/>
              <w:bottom w:val="single" w:sz="8" w:color="000000"/>
              <w:right w:val="nil"/>
            </w:tcBorders>
            <w:tcMar>
              <w:top w:w="90" w:type="dxa"/>
              <w:left w:w="130" w:type="dxa"/>
              <w:bottom w:w="90" w:type="dxa"/>
              <w:right w:w="130" w:type="dxa"/>
            </w:tcMar>
          </w:tcPr>
          <w:p>
            <w:pPr>
              <w:jc w:val="right"/>
            </w:pPr>
            <w:r/>
            <w:r>
              <w:rPr>
                <w:rFonts w:ascii="Calibri" w:hAnsi="Calibri"/>
                <w:b/>
                <w:i w:val="0"/>
                <w:sz w:val="22"/>
              </w:rPr>
              <w:t>Value</w:t>
            </w:r>
          </w:p>
        </w:tc>
        <w:tc>
          <w:tcPr>
            <w:tcW w:type="dxa" w:w="5688"/>
            <w:vAlign w:val="center"/>
            <w:tcBorders>
              <w:top w:val="single" w:sz="8" w:color="000000"/>
              <w:left w:val="nil"/>
              <w:bottom w:val="single" w:sz="8" w:color="000000"/>
              <w:right w:val="nil"/>
            </w:tcBorders>
            <w:tcMar>
              <w:top w:w="90" w:type="dxa"/>
              <w:left w:w="130" w:type="dxa"/>
              <w:bottom w:w="90" w:type="dxa"/>
              <w:right w:w="130" w:type="dxa"/>
            </w:tcMar>
          </w:tcPr>
          <w:p>
            <w:pPr>
              <w:jc w:val="left"/>
            </w:pPr>
            <w:r/>
            <w:r>
              <w:rPr>
                <w:rFonts w:ascii="Calibri" w:hAnsi="Calibri"/>
                <w:b/>
                <w:i w:val="0"/>
                <w:sz w:val="22"/>
              </w:rPr>
              <w:t>Source</w:t>
            </w:r>
          </w:p>
        </w:tc>
        <w:tc>
          <w:tcPr>
            <w:tcW w:type="dxa" w:w="1008"/>
            <w:vAlign w:val="center"/>
            <w:tcBorders>
              <w:top w:val="single" w:sz="8" w:color="000000"/>
              <w:left w:val="nil"/>
              <w:bottom w:val="single" w:sz="8" w:color="000000"/>
              <w:right w:val="nil"/>
            </w:tcBorders>
            <w:tcMar>
              <w:top w:w="90" w:type="dxa"/>
              <w:left w:w="130" w:type="dxa"/>
              <w:bottom w:w="90" w:type="dxa"/>
              <w:right w:w="130" w:type="dxa"/>
            </w:tcMar>
          </w:tcPr>
          <w:p>
            <w:pPr>
              <w:jc w:val="left"/>
            </w:pPr>
            <w:r/>
            <w:r>
              <w:rPr>
                <w:rFonts w:ascii="Calibri" w:hAnsi="Calibri"/>
                <w:b/>
                <w:i w:val="0"/>
                <w:sz w:val="22"/>
              </w:rPr>
              <w:t>As-Of</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Insider Selling</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SEC Form 4 filings</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4/30/26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Book-To-Market</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0.1474</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10K for the fiscal year ending 12/28/25; 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4/30/26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Momentum</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0.3517</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3/31/26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Gross Profitability</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0.3210</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10K for the fiscal year ending 12/28/25</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12/28/25</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Earnings Surprise</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0.0001</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8K earnings release filed 1/21/26; WRDS IBES; 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1/21/26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SUE</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0.0020</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8K earnings release filed 1/21/26; WRDS IBES; 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1/21/26</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F-Score</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3</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10K for the fiscal year ending 12/28/25</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12/28/25</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External Financing</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0.0243</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10K for the fiscal year ending 12/28/25</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12/28/25</w:t>
            </w:r>
          </w:p>
        </w:tc>
      </w:tr>
      <w:tr>
        <w:tc>
          <w:tcPr>
            <w:tcW w:type="dxa" w:w="2160"/>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Volatility</w:t>
            </w:r>
          </w:p>
        </w:tc>
        <w:tc>
          <w:tcPr>
            <w:tcW w:type="dxa" w:w="1224"/>
            <w:tcBorders>
              <w:top w:val="single" w:sz="4" w:color="7F7F7F"/>
              <w:left w:val="nil"/>
              <w:bottom w:val="single" w:sz="4" w:color="7F7F7F"/>
              <w:right w:val="nil"/>
            </w:tcBorders>
            <w:tcMar>
              <w:top w:w="70" w:type="dxa"/>
              <w:left w:w="130" w:type="dxa"/>
              <w:bottom w:w="70" w:type="dxa"/>
              <w:right w:w="130" w:type="dxa"/>
            </w:tcMar>
            <w:vAlign w:val="center"/>
          </w:tcPr>
          <w:p>
            <w:pPr>
              <w:jc w:val="right"/>
            </w:pPr>
            <w:r/>
            <w:r>
              <w:rPr>
                <w:rFonts w:ascii="Calibri" w:hAnsi="Calibri"/>
                <w:b w:val="0"/>
                <w:i w:val="0"/>
                <w:sz w:val="22"/>
              </w:rPr>
              <w:t>0.0106</w:t>
            </w:r>
          </w:p>
        </w:tc>
        <w:tc>
          <w:tcPr>
            <w:tcW w:type="dxa" w:w="568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Yahoo! Finance</w:t>
            </w:r>
          </w:p>
        </w:tc>
        <w:tc>
          <w:tcPr>
            <w:tcW w:type="dxa" w:w="1008"/>
            <w:tcBorders>
              <w:top w:val="single" w:sz="4" w:color="7F7F7F"/>
              <w:left w:val="nil"/>
              <w:bottom w:val="single" w:sz="4" w:color="7F7F7F"/>
              <w:right w:val="nil"/>
            </w:tcBorders>
            <w:tcMar>
              <w:top w:w="70" w:type="dxa"/>
              <w:left w:w="130" w:type="dxa"/>
              <w:bottom w:w="70" w:type="dxa"/>
              <w:right w:w="130" w:type="dxa"/>
            </w:tcMar>
            <w:vAlign w:val="center"/>
          </w:tcPr>
          <w:p>
            <w:pPr>
              <w:jc w:val="left"/>
            </w:pPr>
            <w:r/>
            <w:r>
              <w:rPr>
                <w:rFonts w:ascii="Calibri" w:hAnsi="Calibri"/>
                <w:b w:val="0"/>
                <w:i w:val="0"/>
                <w:sz w:val="22"/>
              </w:rPr>
              <w:t>4/30/26</w:t>
            </w:r>
          </w:p>
        </w:tc>
      </w:tr>
      <w:tr>
        <w:tc>
          <w:tcPr>
            <w:tcW w:type="dxa" w:w="2160"/>
            <w:tcMar>
              <w:top w:w="70" w:type="dxa"/>
              <w:left w:w="130" w:type="dxa"/>
              <w:bottom w:w="70" w:type="dxa"/>
              <w:right w:w="130" w:type="dxa"/>
            </w:tcMar>
            <w:vAlign w:val="center"/>
            <w:tcBorders>
              <w:top w:val="single" w:sz="4" w:color="7F7F7F"/>
              <w:left w:val="nil"/>
              <w:bottom w:val="single" w:sz="8" w:color="000000"/>
              <w:right w:val="nil"/>
            </w:tcBorders>
          </w:tcPr>
          <w:p>
            <w:pPr>
              <w:jc w:val="left"/>
            </w:pPr>
            <w:r/>
            <w:r>
              <w:rPr>
                <w:rFonts w:ascii="Calibri" w:hAnsi="Calibri"/>
                <w:b w:val="0"/>
                <w:i w:val="0"/>
                <w:sz w:val="22"/>
              </w:rPr>
              <w:t>Accruals</w:t>
            </w:r>
          </w:p>
        </w:tc>
        <w:tc>
          <w:tcPr>
            <w:tcW w:type="dxa" w:w="1224"/>
            <w:tcMar>
              <w:top w:w="70" w:type="dxa"/>
              <w:left w:w="130" w:type="dxa"/>
              <w:bottom w:w="70" w:type="dxa"/>
              <w:right w:w="130" w:type="dxa"/>
            </w:tcMar>
            <w:vAlign w:val="center"/>
            <w:tcBorders>
              <w:top w:val="single" w:sz="4" w:color="7F7F7F"/>
              <w:left w:val="nil"/>
              <w:bottom w:val="single" w:sz="8" w:color="000000"/>
              <w:right w:val="nil"/>
            </w:tcBorders>
          </w:tcPr>
          <w:p>
            <w:pPr>
              <w:jc w:val="right"/>
            </w:pPr>
            <w:r/>
            <w:r>
              <w:rPr>
                <w:rFonts w:ascii="Calibri" w:hAnsi="Calibri"/>
                <w:b w:val="0"/>
                <w:i w:val="0"/>
                <w:sz w:val="22"/>
              </w:rPr>
              <w:t>0.0114</w:t>
            </w:r>
          </w:p>
        </w:tc>
        <w:tc>
          <w:tcPr>
            <w:tcW w:type="dxa" w:w="5688"/>
            <w:tcMar>
              <w:top w:w="70" w:type="dxa"/>
              <w:left w:w="130" w:type="dxa"/>
              <w:bottom w:w="70" w:type="dxa"/>
              <w:right w:w="130" w:type="dxa"/>
            </w:tcMar>
            <w:vAlign w:val="center"/>
            <w:tcBorders>
              <w:top w:val="single" w:sz="4" w:color="7F7F7F"/>
              <w:left w:val="nil"/>
              <w:bottom w:val="single" w:sz="8" w:color="000000"/>
              <w:right w:val="nil"/>
            </w:tcBorders>
          </w:tcPr>
          <w:p>
            <w:pPr>
              <w:jc w:val="left"/>
            </w:pPr>
            <w:r/>
            <w:r>
              <w:rPr>
                <w:rFonts w:ascii="Calibri" w:hAnsi="Calibri"/>
                <w:b w:val="0"/>
                <w:i w:val="0"/>
                <w:sz w:val="22"/>
              </w:rPr>
              <w:t>10K for the fiscal year ending 12/28/25</w:t>
            </w:r>
          </w:p>
        </w:tc>
        <w:tc>
          <w:tcPr>
            <w:tcW w:type="dxa" w:w="1008"/>
            <w:tcMar>
              <w:top w:w="70" w:type="dxa"/>
              <w:left w:w="130" w:type="dxa"/>
              <w:bottom w:w="70" w:type="dxa"/>
              <w:right w:w="130" w:type="dxa"/>
            </w:tcMar>
            <w:vAlign w:val="center"/>
            <w:tcBorders>
              <w:top w:val="single" w:sz="4" w:color="7F7F7F"/>
              <w:left w:val="nil"/>
              <w:bottom w:val="single" w:sz="8" w:color="000000"/>
              <w:right w:val="nil"/>
            </w:tcBorders>
          </w:tcPr>
          <w:p>
            <w:pPr>
              <w:jc w:val="left"/>
            </w:pPr>
            <w:r/>
            <w:r>
              <w:rPr>
                <w:rFonts w:ascii="Calibri" w:hAnsi="Calibri"/>
                <w:b w:val="0"/>
                <w:i w:val="0"/>
                <w:sz w:val="22"/>
              </w:rPr>
              <w:t>12/28/25</w:t>
            </w:r>
          </w:p>
        </w:tc>
      </w:tr>
    </w:tbl>
    <w:p>
      <w:pPr>
        <w:spacing w:after="120"/>
      </w:pPr>
    </w:p>
    <w:p>
      <w:pPr>
        <w:spacing w:line="276" w:lineRule="auto" w:before="0" w:after="160"/>
        <w:jc w:val="left"/>
      </w:pPr>
      <w:r>
        <w:rPr>
          <w:rFonts w:ascii="Calibri" w:hAnsi="Calibri"/>
          <w:b w:val="0"/>
          <w:i w:val="0"/>
          <w:sz w:val="22"/>
        </w:rPr>
        <w:t>The calculation of all signals for JNJ followed the formulas in Part 1. Johnson &amp; Johnson is a US domestic issuer listed on the NYSE, so the disclosure regime and reporting standard match the Pfizer methodology. Three signals warrant additional explanation.</w:t>
      </w:r>
    </w:p>
    <w:p>
      <w:pPr>
        <w:spacing w:line="276" w:lineRule="auto" w:before="0" w:after="160"/>
        <w:jc w:val="left"/>
      </w:pPr>
      <w:r>
        <w:rPr>
          <w:rFonts w:ascii="Calibri" w:hAnsi="Calibri"/>
          <w:b w:val="0"/>
          <w:i w:val="0"/>
          <w:sz w:val="22"/>
        </w:rPr>
        <w:t>For insider selling, all SEC Form 4 filings for CIK 0000200406 between 1/30/26 and 4/30/26 were reviewed. Following the 2018 reorganization, Johnson &amp; Johnson has no single Chief Operating Officer, so the search was restricted to CEO Joaquin Duato, CFO Joseph Wolk, and the Board of Directors. Two Director filings appear in the window, both routine compensation grants under the Deferred Fee Plan for Directors. Eugene A. Woods received 154.869 DSUs on 3/12/26 and Daniel E. Pinto received 1,712 cash settled DSUs on 4/23/26. Consistent with the Pfizer treatment, code A grants and code F tax withholding entries were excluded. Only open market code P or code S transactions count, of which none appear in the window. The signal is therefore zero.</w:t>
      </w:r>
    </w:p>
    <w:p>
      <w:pPr>
        <w:spacing w:line="276" w:lineRule="auto" w:before="0" w:after="160"/>
        <w:jc w:val="left"/>
      </w:pPr>
      <w:r>
        <w:rPr>
          <w:rFonts w:ascii="Calibri" w:hAnsi="Calibri"/>
          <w:b w:val="0"/>
          <w:i w:val="0"/>
          <w:sz w:val="22"/>
        </w:rPr>
        <w:t>For Earnings Surprise and SUE, the IBES adjusted EPS series is used on both the actual and consensus sides, consistent with the street EPS basis tracked by analysts. The Q4 2025 actual of $2.46 is from IBES directly. The implied Q4 2025 consensus of $2.43 is the latest IBES annual mean before the announcement (statpers 1/15/26, $10.77 across 13 estimates) less the IBES Q1 to Q3 2025 actuals ($2.77 + $2.77 + $2.80 = $8.34). The Q4 2024 actual of $2.04 is from IBES directly.</w:t>
      </w:r>
    </w:p>
    <w:p>
      <w:pPr>
        <w:spacing w:line="276" w:lineRule="auto" w:before="0" w:after="160"/>
        <w:jc w:val="left"/>
      </w:pPr>
      <w:r>
        <w:rPr>
          <w:rFonts w:ascii="Calibri" w:hAnsi="Calibri"/>
          <w:b w:val="0"/>
          <w:i w:val="0"/>
          <w:sz w:val="22"/>
        </w:rPr>
        <w:t>For Accruals, the convention used across the three companies computes (NI − CFO) / total assets on a fiscal year annual basis rather than the literal "most recent fiscal quarter" wording in the Part 1 specification. JNJ's positive Accruals value is mechanically driven by FY 2024 net income being depressed by approximately $7 billion in talc litigation charges. On a normalized basis the value would be closer to zero. External Financing similarly includes only long term debt activity, again following the team's convention. JNJ's short term debt issuance of $14.6 billion and repayment of $12.3 billion net to a small positive amount that would not change the sign of the signal.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