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Calibri" w:hAnsi="Calibri"/>
          <w:b/>
          <w:i w:val="0"/>
          <w:sz w:val="26"/>
        </w:rPr>
        <w:t>Novo Nordisk</w:t>
      </w:r>
    </w:p>
    <w:tbl>
      <w:tblPr>
        <w:tblW w:type="auto" w:w="0"/>
        <w:jc w:val="left"/>
        <w:tblLayout w:type="fixed"/>
        <w:tblLook w:firstColumn="1" w:firstRow="1" w:lastColumn="0" w:lastRow="0" w:noHBand="0" w:noVBand="1" w:val="04A0"/>
      </w:tblPr>
      <w:tblGrid>
        <w:gridCol w:w="2160"/>
        <w:gridCol w:w="1224"/>
        <w:gridCol w:w="5688"/>
        <w:gridCol w:w="1008"/>
      </w:tblGrid>
      <w:tr>
        <w:tc>
          <w:tcPr>
            <w:tcW w:type="dxa" w:w="2160"/>
            <w:vAlign w:val="center"/>
            <w:tcBorders>
              <w:top w:val="single" w:sz="8" w:color="000000"/>
              <w:left w:val="nil"/>
              <w:bottom w:val="single" w:sz="8" w:color="000000"/>
              <w:right w:val="nil"/>
            </w:tcBorders>
            <w:tcMar>
              <w:top w:w="90" w:type="dxa"/>
              <w:left w:w="130" w:type="dxa"/>
              <w:bottom w:w="90" w:type="dxa"/>
              <w:right w:w="130" w:type="dxa"/>
            </w:tcMar>
          </w:tcPr>
          <w:p>
            <w:pPr>
              <w:jc w:val="left"/>
            </w:pPr>
            <w:r/>
            <w:r>
              <w:rPr>
                <w:rFonts w:ascii="Calibri" w:hAnsi="Calibri"/>
                <w:b/>
                <w:i w:val="0"/>
                <w:sz w:val="22"/>
              </w:rPr>
              <w:t>Signal</w:t>
            </w:r>
          </w:p>
        </w:tc>
        <w:tc>
          <w:tcPr>
            <w:tcW w:type="dxa" w:w="1224"/>
            <w:vAlign w:val="center"/>
            <w:tcBorders>
              <w:top w:val="single" w:sz="8" w:color="000000"/>
              <w:left w:val="nil"/>
              <w:bottom w:val="single" w:sz="8" w:color="000000"/>
              <w:right w:val="nil"/>
            </w:tcBorders>
            <w:tcMar>
              <w:top w:w="90" w:type="dxa"/>
              <w:left w:w="130" w:type="dxa"/>
              <w:bottom w:w="90" w:type="dxa"/>
              <w:right w:w="130" w:type="dxa"/>
            </w:tcMar>
          </w:tcPr>
          <w:p>
            <w:pPr>
              <w:jc w:val="right"/>
            </w:pPr>
            <w:r/>
            <w:r>
              <w:rPr>
                <w:rFonts w:ascii="Calibri" w:hAnsi="Calibri"/>
                <w:b/>
                <w:i w:val="0"/>
                <w:sz w:val="22"/>
              </w:rPr>
              <w:t>Value</w:t>
            </w:r>
          </w:p>
        </w:tc>
        <w:tc>
          <w:tcPr>
            <w:tcW w:type="dxa" w:w="5688"/>
            <w:vAlign w:val="center"/>
            <w:tcBorders>
              <w:top w:val="single" w:sz="8" w:color="000000"/>
              <w:left w:val="nil"/>
              <w:bottom w:val="single" w:sz="8" w:color="000000"/>
              <w:right w:val="nil"/>
            </w:tcBorders>
            <w:tcMar>
              <w:top w:w="90" w:type="dxa"/>
              <w:left w:w="130" w:type="dxa"/>
              <w:bottom w:w="90" w:type="dxa"/>
              <w:right w:w="130" w:type="dxa"/>
            </w:tcMar>
          </w:tcPr>
          <w:p>
            <w:pPr>
              <w:jc w:val="left"/>
            </w:pPr>
            <w:r/>
            <w:r>
              <w:rPr>
                <w:rFonts w:ascii="Calibri" w:hAnsi="Calibri"/>
                <w:b/>
                <w:i w:val="0"/>
                <w:sz w:val="22"/>
              </w:rPr>
              <w:t>Source</w:t>
            </w:r>
          </w:p>
        </w:tc>
        <w:tc>
          <w:tcPr>
            <w:tcW w:type="dxa" w:w="1008"/>
            <w:vAlign w:val="center"/>
            <w:tcBorders>
              <w:top w:val="single" w:sz="8" w:color="000000"/>
              <w:left w:val="nil"/>
              <w:bottom w:val="single" w:sz="8" w:color="000000"/>
              <w:right w:val="nil"/>
            </w:tcBorders>
            <w:tcMar>
              <w:top w:w="90" w:type="dxa"/>
              <w:left w:w="130" w:type="dxa"/>
              <w:bottom w:w="90" w:type="dxa"/>
              <w:right w:w="130" w:type="dxa"/>
            </w:tcMar>
          </w:tcPr>
          <w:p>
            <w:pPr>
              <w:jc w:val="left"/>
            </w:pPr>
            <w:r/>
            <w:r>
              <w:rPr>
                <w:rFonts w:ascii="Calibri" w:hAnsi="Calibri"/>
                <w:b/>
                <w:i w:val="0"/>
                <w:sz w:val="22"/>
              </w:rPr>
              <w:t>As-Of</w:t>
            </w:r>
          </w:p>
        </w:tc>
      </w:tr>
      <w:tr>
        <w:tc>
          <w:tcPr>
            <w:tcW w:type="dxa" w:w="2160"/>
            <w:tcBorders>
              <w:top w:val="single" w:sz="4" w:color="7F7F7F"/>
              <w:left w:val="nil"/>
              <w:bottom w:val="single" w:sz="4" w:color="7F7F7F"/>
              <w:right w:val="nil"/>
            </w:tcBorders>
            <w:tcMar>
              <w:top w:w="70" w:type="dxa"/>
              <w:left w:w="130" w:type="dxa"/>
              <w:bottom w:w="70" w:type="dxa"/>
              <w:right w:w="130" w:type="dxa"/>
            </w:tcMar>
            <w:vAlign w:val="center"/>
          </w:tcPr>
          <w:p>
            <w:pPr>
              <w:jc w:val="left"/>
            </w:pPr>
            <w:r/>
            <w:r>
              <w:rPr>
                <w:rFonts w:ascii="Calibri" w:hAnsi="Calibri"/>
                <w:b w:val="0"/>
                <w:i w:val="0"/>
                <w:sz w:val="22"/>
              </w:rPr>
              <w:t>Insider Selling</w:t>
            </w:r>
          </w:p>
        </w:tc>
        <w:tc>
          <w:tcPr>
            <w:tcW w:type="dxa" w:w="1224"/>
            <w:tcBorders>
              <w:top w:val="single" w:sz="4" w:color="7F7F7F"/>
              <w:left w:val="nil"/>
              <w:bottom w:val="single" w:sz="4" w:color="7F7F7F"/>
              <w:right w:val="nil"/>
            </w:tcBorders>
            <w:tcMar>
              <w:top w:w="70" w:type="dxa"/>
              <w:left w:w="130" w:type="dxa"/>
              <w:bottom w:w="70" w:type="dxa"/>
              <w:right w:w="130" w:type="dxa"/>
            </w:tcMar>
            <w:vAlign w:val="center"/>
          </w:tcPr>
          <w:p>
            <w:pPr>
              <w:jc w:val="right"/>
            </w:pPr>
            <w:r/>
            <w:r>
              <w:rPr>
                <w:rFonts w:ascii="Calibri" w:hAnsi="Calibri"/>
                <w:b w:val="0"/>
                <w:i w:val="0"/>
                <w:sz w:val="22"/>
              </w:rPr>
              <w:t>0.0000060</w:t>
            </w:r>
          </w:p>
        </w:tc>
        <w:tc>
          <w:tcPr>
            <w:tcW w:type="dxa" w:w="5688"/>
            <w:tcBorders>
              <w:top w:val="single" w:sz="4" w:color="7F7F7F"/>
              <w:left w:val="nil"/>
              <w:bottom w:val="single" w:sz="4" w:color="7F7F7F"/>
              <w:right w:val="nil"/>
            </w:tcBorders>
            <w:tcMar>
              <w:top w:w="70" w:type="dxa"/>
              <w:left w:w="130" w:type="dxa"/>
              <w:bottom w:w="70" w:type="dxa"/>
              <w:right w:w="130" w:type="dxa"/>
            </w:tcMar>
            <w:vAlign w:val="center"/>
          </w:tcPr>
          <w:p>
            <w:pPr>
              <w:jc w:val="left"/>
            </w:pPr>
            <w:r/>
            <w:r>
              <w:rPr>
                <w:rFonts w:ascii="Calibri" w:hAnsi="Calibri"/>
                <w:b w:val="0"/>
                <w:i w:val="0"/>
                <w:sz w:val="22"/>
              </w:rPr>
              <w:t>Article 19 PDMR notifications</w:t>
            </w:r>
          </w:p>
        </w:tc>
        <w:tc>
          <w:tcPr>
            <w:tcW w:type="dxa" w:w="1008"/>
            <w:tcBorders>
              <w:top w:val="single" w:sz="4" w:color="7F7F7F"/>
              <w:left w:val="nil"/>
              <w:bottom w:val="single" w:sz="4" w:color="7F7F7F"/>
              <w:right w:val="nil"/>
            </w:tcBorders>
            <w:tcMar>
              <w:top w:w="70" w:type="dxa"/>
              <w:left w:w="130" w:type="dxa"/>
              <w:bottom w:w="70" w:type="dxa"/>
              <w:right w:w="130" w:type="dxa"/>
            </w:tcMar>
            <w:vAlign w:val="center"/>
          </w:tcPr>
          <w:p>
            <w:pPr>
              <w:jc w:val="left"/>
            </w:pPr>
            <w:r/>
            <w:r>
              <w:rPr>
                <w:rFonts w:ascii="Calibri" w:hAnsi="Calibri"/>
                <w:b w:val="0"/>
                <w:i w:val="0"/>
                <w:sz w:val="22"/>
              </w:rPr>
              <w:t>2/10/26</w:t>
            </w:r>
          </w:p>
        </w:tc>
      </w:tr>
      <w:tr>
        <w:tc>
          <w:tcPr>
            <w:tcW w:type="dxa" w:w="2160"/>
            <w:tcBorders>
              <w:top w:val="single" w:sz="4" w:color="7F7F7F"/>
              <w:left w:val="nil"/>
              <w:bottom w:val="single" w:sz="4" w:color="7F7F7F"/>
              <w:right w:val="nil"/>
            </w:tcBorders>
            <w:tcMar>
              <w:top w:w="70" w:type="dxa"/>
              <w:left w:w="130" w:type="dxa"/>
              <w:bottom w:w="70" w:type="dxa"/>
              <w:right w:w="130" w:type="dxa"/>
            </w:tcMar>
            <w:vAlign w:val="center"/>
          </w:tcPr>
          <w:p>
            <w:pPr>
              <w:jc w:val="left"/>
            </w:pPr>
            <w:r/>
            <w:r>
              <w:rPr>
                <w:rFonts w:ascii="Calibri" w:hAnsi="Calibri"/>
                <w:b w:val="0"/>
                <w:i w:val="0"/>
                <w:sz w:val="22"/>
              </w:rPr>
              <w:t>Book-To-Market</w:t>
            </w:r>
          </w:p>
        </w:tc>
        <w:tc>
          <w:tcPr>
            <w:tcW w:type="dxa" w:w="1224"/>
            <w:tcBorders>
              <w:top w:val="single" w:sz="4" w:color="7F7F7F"/>
              <w:left w:val="nil"/>
              <w:bottom w:val="single" w:sz="4" w:color="7F7F7F"/>
              <w:right w:val="nil"/>
            </w:tcBorders>
            <w:tcMar>
              <w:top w:w="70" w:type="dxa"/>
              <w:left w:w="130" w:type="dxa"/>
              <w:bottom w:w="70" w:type="dxa"/>
              <w:right w:w="130" w:type="dxa"/>
            </w:tcMar>
            <w:vAlign w:val="center"/>
          </w:tcPr>
          <w:p>
            <w:pPr>
              <w:jc w:val="right"/>
            </w:pPr>
            <w:r/>
            <w:r>
              <w:rPr>
                <w:rFonts w:ascii="Calibri" w:hAnsi="Calibri"/>
                <w:b w:val="0"/>
                <w:i w:val="0"/>
                <w:sz w:val="22"/>
              </w:rPr>
              <w:t>0.1602</w:t>
            </w:r>
          </w:p>
        </w:tc>
        <w:tc>
          <w:tcPr>
            <w:tcW w:type="dxa" w:w="5688"/>
            <w:tcBorders>
              <w:top w:val="single" w:sz="4" w:color="7F7F7F"/>
              <w:left w:val="nil"/>
              <w:bottom w:val="single" w:sz="4" w:color="7F7F7F"/>
              <w:right w:val="nil"/>
            </w:tcBorders>
            <w:tcMar>
              <w:top w:w="70" w:type="dxa"/>
              <w:left w:w="130" w:type="dxa"/>
              <w:bottom w:w="70" w:type="dxa"/>
              <w:right w:w="130" w:type="dxa"/>
            </w:tcMar>
            <w:vAlign w:val="center"/>
          </w:tcPr>
          <w:p>
            <w:pPr>
              <w:jc w:val="left"/>
            </w:pPr>
            <w:r/>
            <w:r>
              <w:rPr>
                <w:rFonts w:ascii="Calibri" w:hAnsi="Calibri"/>
                <w:b w:val="0"/>
                <w:i w:val="0"/>
                <w:sz w:val="22"/>
              </w:rPr>
              <w:t>20F for the fiscal year ending 12/31/25; Yahoo! Finance</w:t>
            </w:r>
          </w:p>
        </w:tc>
        <w:tc>
          <w:tcPr>
            <w:tcW w:type="dxa" w:w="1008"/>
            <w:tcBorders>
              <w:top w:val="single" w:sz="4" w:color="7F7F7F"/>
              <w:left w:val="nil"/>
              <w:bottom w:val="single" w:sz="4" w:color="7F7F7F"/>
              <w:right w:val="nil"/>
            </w:tcBorders>
            <w:tcMar>
              <w:top w:w="70" w:type="dxa"/>
              <w:left w:w="130" w:type="dxa"/>
              <w:bottom w:w="70" w:type="dxa"/>
              <w:right w:w="130" w:type="dxa"/>
            </w:tcMar>
            <w:vAlign w:val="center"/>
          </w:tcPr>
          <w:p>
            <w:pPr>
              <w:jc w:val="left"/>
            </w:pPr>
            <w:r/>
            <w:r>
              <w:rPr>
                <w:rFonts w:ascii="Calibri" w:hAnsi="Calibri"/>
                <w:b w:val="0"/>
                <w:i w:val="0"/>
                <w:sz w:val="22"/>
              </w:rPr>
              <w:t>4/30/26</w:t>
            </w:r>
          </w:p>
        </w:tc>
      </w:tr>
      <w:tr>
        <w:tc>
          <w:tcPr>
            <w:tcW w:type="dxa" w:w="2160"/>
            <w:tcBorders>
              <w:top w:val="single" w:sz="4" w:color="7F7F7F"/>
              <w:left w:val="nil"/>
              <w:bottom w:val="single" w:sz="4" w:color="7F7F7F"/>
              <w:right w:val="nil"/>
            </w:tcBorders>
            <w:tcMar>
              <w:top w:w="70" w:type="dxa"/>
              <w:left w:w="130" w:type="dxa"/>
              <w:bottom w:w="70" w:type="dxa"/>
              <w:right w:w="130" w:type="dxa"/>
            </w:tcMar>
            <w:vAlign w:val="center"/>
          </w:tcPr>
          <w:p>
            <w:pPr>
              <w:jc w:val="left"/>
            </w:pPr>
            <w:r/>
            <w:r>
              <w:rPr>
                <w:rFonts w:ascii="Calibri" w:hAnsi="Calibri"/>
                <w:b w:val="0"/>
                <w:i w:val="0"/>
                <w:sz w:val="22"/>
              </w:rPr>
              <w:t>Momentum</w:t>
            </w:r>
          </w:p>
        </w:tc>
        <w:tc>
          <w:tcPr>
            <w:tcW w:type="dxa" w:w="1224"/>
            <w:tcBorders>
              <w:top w:val="single" w:sz="4" w:color="7F7F7F"/>
              <w:left w:val="nil"/>
              <w:bottom w:val="single" w:sz="4" w:color="7F7F7F"/>
              <w:right w:val="nil"/>
            </w:tcBorders>
            <w:tcMar>
              <w:top w:w="70" w:type="dxa"/>
              <w:left w:w="130" w:type="dxa"/>
              <w:bottom w:w="70" w:type="dxa"/>
              <w:right w:w="130" w:type="dxa"/>
            </w:tcMar>
            <w:vAlign w:val="center"/>
          </w:tcPr>
          <w:p>
            <w:pPr>
              <w:jc w:val="right"/>
            </w:pPr>
            <w:r/>
            <w:r>
              <w:rPr>
                <w:rFonts w:ascii="Calibri" w:hAnsi="Calibri"/>
                <w:b w:val="0"/>
                <w:i w:val="0"/>
                <w:sz w:val="22"/>
              </w:rPr>
              <w:t>-0.6085</w:t>
            </w:r>
          </w:p>
        </w:tc>
        <w:tc>
          <w:tcPr>
            <w:tcW w:type="dxa" w:w="5688"/>
            <w:tcBorders>
              <w:top w:val="single" w:sz="4" w:color="7F7F7F"/>
              <w:left w:val="nil"/>
              <w:bottom w:val="single" w:sz="4" w:color="7F7F7F"/>
              <w:right w:val="nil"/>
            </w:tcBorders>
            <w:tcMar>
              <w:top w:w="70" w:type="dxa"/>
              <w:left w:w="130" w:type="dxa"/>
              <w:bottom w:w="70" w:type="dxa"/>
              <w:right w:w="130" w:type="dxa"/>
            </w:tcMar>
            <w:vAlign w:val="center"/>
          </w:tcPr>
          <w:p>
            <w:pPr>
              <w:jc w:val="left"/>
            </w:pPr>
            <w:r/>
            <w:r>
              <w:rPr>
                <w:rFonts w:ascii="Calibri" w:hAnsi="Calibri"/>
                <w:b w:val="0"/>
                <w:i w:val="0"/>
                <w:sz w:val="22"/>
              </w:rPr>
              <w:t>Yahoo! Finance</w:t>
            </w:r>
          </w:p>
        </w:tc>
        <w:tc>
          <w:tcPr>
            <w:tcW w:type="dxa" w:w="1008"/>
            <w:tcBorders>
              <w:top w:val="single" w:sz="4" w:color="7F7F7F"/>
              <w:left w:val="nil"/>
              <w:bottom w:val="single" w:sz="4" w:color="7F7F7F"/>
              <w:right w:val="nil"/>
            </w:tcBorders>
            <w:tcMar>
              <w:top w:w="70" w:type="dxa"/>
              <w:left w:w="130" w:type="dxa"/>
              <w:bottom w:w="70" w:type="dxa"/>
              <w:right w:w="130" w:type="dxa"/>
            </w:tcMar>
            <w:vAlign w:val="center"/>
          </w:tcPr>
          <w:p>
            <w:pPr>
              <w:jc w:val="left"/>
            </w:pPr>
            <w:r/>
            <w:r>
              <w:rPr>
                <w:rFonts w:ascii="Calibri" w:hAnsi="Calibri"/>
                <w:b w:val="0"/>
                <w:i w:val="0"/>
                <w:sz w:val="22"/>
              </w:rPr>
              <w:t>3/31/26</w:t>
            </w:r>
          </w:p>
        </w:tc>
      </w:tr>
      <w:tr>
        <w:tc>
          <w:tcPr>
            <w:tcW w:type="dxa" w:w="2160"/>
            <w:tcBorders>
              <w:top w:val="single" w:sz="4" w:color="7F7F7F"/>
              <w:left w:val="nil"/>
              <w:bottom w:val="single" w:sz="4" w:color="7F7F7F"/>
              <w:right w:val="nil"/>
            </w:tcBorders>
            <w:tcMar>
              <w:top w:w="70" w:type="dxa"/>
              <w:left w:w="130" w:type="dxa"/>
              <w:bottom w:w="70" w:type="dxa"/>
              <w:right w:w="130" w:type="dxa"/>
            </w:tcMar>
            <w:vAlign w:val="center"/>
          </w:tcPr>
          <w:p>
            <w:pPr>
              <w:jc w:val="left"/>
            </w:pPr>
            <w:r/>
            <w:r>
              <w:rPr>
                <w:rFonts w:ascii="Calibri" w:hAnsi="Calibri"/>
                <w:b w:val="0"/>
                <w:i w:val="0"/>
                <w:sz w:val="22"/>
              </w:rPr>
              <w:t>Gross Profitability</w:t>
            </w:r>
          </w:p>
        </w:tc>
        <w:tc>
          <w:tcPr>
            <w:tcW w:type="dxa" w:w="1224"/>
            <w:tcBorders>
              <w:top w:val="single" w:sz="4" w:color="7F7F7F"/>
              <w:left w:val="nil"/>
              <w:bottom w:val="single" w:sz="4" w:color="7F7F7F"/>
              <w:right w:val="nil"/>
            </w:tcBorders>
            <w:tcMar>
              <w:top w:w="70" w:type="dxa"/>
              <w:left w:w="130" w:type="dxa"/>
              <w:bottom w:w="70" w:type="dxa"/>
              <w:right w:w="130" w:type="dxa"/>
            </w:tcMar>
            <w:vAlign w:val="center"/>
          </w:tcPr>
          <w:p>
            <w:pPr>
              <w:jc w:val="right"/>
            </w:pPr>
            <w:r/>
            <w:r>
              <w:rPr>
                <w:rFonts w:ascii="Calibri" w:hAnsi="Calibri"/>
                <w:b w:val="0"/>
                <w:i w:val="0"/>
                <w:sz w:val="22"/>
              </w:rPr>
              <w:t>0.4610</w:t>
            </w:r>
          </w:p>
        </w:tc>
        <w:tc>
          <w:tcPr>
            <w:tcW w:type="dxa" w:w="5688"/>
            <w:tcBorders>
              <w:top w:val="single" w:sz="4" w:color="7F7F7F"/>
              <w:left w:val="nil"/>
              <w:bottom w:val="single" w:sz="4" w:color="7F7F7F"/>
              <w:right w:val="nil"/>
            </w:tcBorders>
            <w:tcMar>
              <w:top w:w="70" w:type="dxa"/>
              <w:left w:w="130" w:type="dxa"/>
              <w:bottom w:w="70" w:type="dxa"/>
              <w:right w:w="130" w:type="dxa"/>
            </w:tcMar>
            <w:vAlign w:val="center"/>
          </w:tcPr>
          <w:p>
            <w:pPr>
              <w:jc w:val="left"/>
            </w:pPr>
            <w:r/>
            <w:r>
              <w:rPr>
                <w:rFonts w:ascii="Calibri" w:hAnsi="Calibri"/>
                <w:b w:val="0"/>
                <w:i w:val="0"/>
                <w:sz w:val="22"/>
              </w:rPr>
              <w:t>20F for the fiscal year ending 12/31/25</w:t>
            </w:r>
          </w:p>
        </w:tc>
        <w:tc>
          <w:tcPr>
            <w:tcW w:type="dxa" w:w="1008"/>
            <w:tcBorders>
              <w:top w:val="single" w:sz="4" w:color="7F7F7F"/>
              <w:left w:val="nil"/>
              <w:bottom w:val="single" w:sz="4" w:color="7F7F7F"/>
              <w:right w:val="nil"/>
            </w:tcBorders>
            <w:tcMar>
              <w:top w:w="70" w:type="dxa"/>
              <w:left w:w="130" w:type="dxa"/>
              <w:bottom w:w="70" w:type="dxa"/>
              <w:right w:w="130" w:type="dxa"/>
            </w:tcMar>
            <w:vAlign w:val="center"/>
          </w:tcPr>
          <w:p>
            <w:pPr>
              <w:jc w:val="left"/>
            </w:pPr>
            <w:r/>
            <w:r>
              <w:rPr>
                <w:rFonts w:ascii="Calibri" w:hAnsi="Calibri"/>
                <w:b w:val="0"/>
                <w:i w:val="0"/>
                <w:sz w:val="22"/>
              </w:rPr>
              <w:t>12/31/25</w:t>
            </w:r>
          </w:p>
        </w:tc>
      </w:tr>
      <w:tr>
        <w:tc>
          <w:tcPr>
            <w:tcW w:type="dxa" w:w="2160"/>
            <w:tcBorders>
              <w:top w:val="single" w:sz="4" w:color="7F7F7F"/>
              <w:left w:val="nil"/>
              <w:bottom w:val="single" w:sz="4" w:color="7F7F7F"/>
              <w:right w:val="nil"/>
            </w:tcBorders>
            <w:tcMar>
              <w:top w:w="70" w:type="dxa"/>
              <w:left w:w="130" w:type="dxa"/>
              <w:bottom w:w="70" w:type="dxa"/>
              <w:right w:w="130" w:type="dxa"/>
            </w:tcMar>
            <w:vAlign w:val="center"/>
          </w:tcPr>
          <w:p>
            <w:pPr>
              <w:jc w:val="left"/>
            </w:pPr>
            <w:r/>
            <w:r>
              <w:rPr>
                <w:rFonts w:ascii="Calibri" w:hAnsi="Calibri"/>
                <w:b w:val="0"/>
                <w:i w:val="0"/>
                <w:sz w:val="22"/>
              </w:rPr>
              <w:t>Earnings Surprise</w:t>
            </w:r>
          </w:p>
        </w:tc>
        <w:tc>
          <w:tcPr>
            <w:tcW w:type="dxa" w:w="1224"/>
            <w:tcBorders>
              <w:top w:val="single" w:sz="4" w:color="7F7F7F"/>
              <w:left w:val="nil"/>
              <w:bottom w:val="single" w:sz="4" w:color="7F7F7F"/>
              <w:right w:val="nil"/>
            </w:tcBorders>
            <w:tcMar>
              <w:top w:w="70" w:type="dxa"/>
              <w:left w:w="130" w:type="dxa"/>
              <w:bottom w:w="70" w:type="dxa"/>
              <w:right w:w="130" w:type="dxa"/>
            </w:tcMar>
            <w:vAlign w:val="center"/>
          </w:tcPr>
          <w:p>
            <w:pPr>
              <w:jc w:val="right"/>
            </w:pPr>
            <w:r/>
            <w:r>
              <w:rPr>
                <w:rFonts w:ascii="Calibri" w:hAnsi="Calibri"/>
                <w:b w:val="0"/>
                <w:i w:val="0"/>
                <w:sz w:val="22"/>
              </w:rPr>
              <w:t>-0.0008</w:t>
            </w:r>
          </w:p>
        </w:tc>
        <w:tc>
          <w:tcPr>
            <w:tcW w:type="dxa" w:w="5688"/>
            <w:tcBorders>
              <w:top w:val="single" w:sz="4" w:color="7F7F7F"/>
              <w:left w:val="nil"/>
              <w:bottom w:val="single" w:sz="4" w:color="7F7F7F"/>
              <w:right w:val="nil"/>
            </w:tcBorders>
            <w:tcMar>
              <w:top w:w="70" w:type="dxa"/>
              <w:left w:w="130" w:type="dxa"/>
              <w:bottom w:w="70" w:type="dxa"/>
              <w:right w:w="130" w:type="dxa"/>
            </w:tcMar>
            <w:vAlign w:val="center"/>
          </w:tcPr>
          <w:p>
            <w:pPr>
              <w:jc w:val="left"/>
            </w:pPr>
            <w:r/>
            <w:r>
              <w:rPr>
                <w:rFonts w:ascii="Calibri" w:hAnsi="Calibri"/>
                <w:b w:val="0"/>
                <w:i w:val="0"/>
                <w:sz w:val="22"/>
              </w:rPr>
              <w:t>6K earnings release filed 2/3/26; WRDS IBES; Yahoo! Finance</w:t>
            </w:r>
          </w:p>
        </w:tc>
        <w:tc>
          <w:tcPr>
            <w:tcW w:type="dxa" w:w="1008"/>
            <w:tcBorders>
              <w:top w:val="single" w:sz="4" w:color="7F7F7F"/>
              <w:left w:val="nil"/>
              <w:bottom w:val="single" w:sz="4" w:color="7F7F7F"/>
              <w:right w:val="nil"/>
            </w:tcBorders>
            <w:tcMar>
              <w:top w:w="70" w:type="dxa"/>
              <w:left w:w="130" w:type="dxa"/>
              <w:bottom w:w="70" w:type="dxa"/>
              <w:right w:w="130" w:type="dxa"/>
            </w:tcMar>
            <w:vAlign w:val="center"/>
          </w:tcPr>
          <w:p>
            <w:pPr>
              <w:jc w:val="left"/>
            </w:pPr>
            <w:r/>
            <w:r>
              <w:rPr>
                <w:rFonts w:ascii="Calibri" w:hAnsi="Calibri"/>
                <w:b w:val="0"/>
                <w:i w:val="0"/>
                <w:sz w:val="22"/>
              </w:rPr>
              <w:t>2/3/26</w:t>
            </w:r>
          </w:p>
        </w:tc>
      </w:tr>
      <w:tr>
        <w:tc>
          <w:tcPr>
            <w:tcW w:type="dxa" w:w="2160"/>
            <w:tcBorders>
              <w:top w:val="single" w:sz="4" w:color="7F7F7F"/>
              <w:left w:val="nil"/>
              <w:bottom w:val="single" w:sz="4" w:color="7F7F7F"/>
              <w:right w:val="nil"/>
            </w:tcBorders>
            <w:tcMar>
              <w:top w:w="70" w:type="dxa"/>
              <w:left w:w="130" w:type="dxa"/>
              <w:bottom w:w="70" w:type="dxa"/>
              <w:right w:w="130" w:type="dxa"/>
            </w:tcMar>
            <w:vAlign w:val="center"/>
          </w:tcPr>
          <w:p>
            <w:pPr>
              <w:jc w:val="left"/>
            </w:pPr>
            <w:r/>
            <w:r>
              <w:rPr>
                <w:rFonts w:ascii="Calibri" w:hAnsi="Calibri"/>
                <w:b w:val="0"/>
                <w:i w:val="0"/>
                <w:sz w:val="22"/>
              </w:rPr>
              <w:t>SUE</w:t>
            </w:r>
          </w:p>
        </w:tc>
        <w:tc>
          <w:tcPr>
            <w:tcW w:type="dxa" w:w="1224"/>
            <w:tcBorders>
              <w:top w:val="single" w:sz="4" w:color="7F7F7F"/>
              <w:left w:val="nil"/>
              <w:bottom w:val="single" w:sz="4" w:color="7F7F7F"/>
              <w:right w:val="nil"/>
            </w:tcBorders>
            <w:tcMar>
              <w:top w:w="70" w:type="dxa"/>
              <w:left w:w="130" w:type="dxa"/>
              <w:bottom w:w="70" w:type="dxa"/>
              <w:right w:w="130" w:type="dxa"/>
            </w:tcMar>
            <w:vAlign w:val="center"/>
          </w:tcPr>
          <w:p>
            <w:pPr>
              <w:jc w:val="right"/>
            </w:pPr>
            <w:r/>
            <w:r>
              <w:rPr>
                <w:rFonts w:ascii="Calibri" w:hAnsi="Calibri"/>
                <w:b w:val="0"/>
                <w:i w:val="0"/>
                <w:sz w:val="22"/>
              </w:rPr>
              <w:t>-0.0008</w:t>
            </w:r>
          </w:p>
        </w:tc>
        <w:tc>
          <w:tcPr>
            <w:tcW w:type="dxa" w:w="5688"/>
            <w:tcBorders>
              <w:top w:val="single" w:sz="4" w:color="7F7F7F"/>
              <w:left w:val="nil"/>
              <w:bottom w:val="single" w:sz="4" w:color="7F7F7F"/>
              <w:right w:val="nil"/>
            </w:tcBorders>
            <w:tcMar>
              <w:top w:w="70" w:type="dxa"/>
              <w:left w:w="130" w:type="dxa"/>
              <w:bottom w:w="70" w:type="dxa"/>
              <w:right w:w="130" w:type="dxa"/>
            </w:tcMar>
            <w:vAlign w:val="center"/>
          </w:tcPr>
          <w:p>
            <w:pPr>
              <w:jc w:val="left"/>
            </w:pPr>
            <w:r/>
            <w:r>
              <w:rPr>
                <w:rFonts w:ascii="Calibri" w:hAnsi="Calibri"/>
                <w:b w:val="0"/>
                <w:i w:val="0"/>
                <w:sz w:val="22"/>
              </w:rPr>
              <w:t>6K earnings release filed 2/3/26; WRDS IBES; Yahoo! Finance</w:t>
            </w:r>
          </w:p>
        </w:tc>
        <w:tc>
          <w:tcPr>
            <w:tcW w:type="dxa" w:w="1008"/>
            <w:tcBorders>
              <w:top w:val="single" w:sz="4" w:color="7F7F7F"/>
              <w:left w:val="nil"/>
              <w:bottom w:val="single" w:sz="4" w:color="7F7F7F"/>
              <w:right w:val="nil"/>
            </w:tcBorders>
            <w:tcMar>
              <w:top w:w="70" w:type="dxa"/>
              <w:left w:w="130" w:type="dxa"/>
              <w:bottom w:w="70" w:type="dxa"/>
              <w:right w:w="130" w:type="dxa"/>
            </w:tcMar>
            <w:vAlign w:val="center"/>
          </w:tcPr>
          <w:p>
            <w:pPr>
              <w:jc w:val="left"/>
            </w:pPr>
            <w:r/>
            <w:r>
              <w:rPr>
                <w:rFonts w:ascii="Calibri" w:hAnsi="Calibri"/>
                <w:b w:val="0"/>
                <w:i w:val="0"/>
                <w:sz w:val="22"/>
              </w:rPr>
              <w:t>2/3/26</w:t>
            </w:r>
          </w:p>
        </w:tc>
      </w:tr>
      <w:tr>
        <w:tc>
          <w:tcPr>
            <w:tcW w:type="dxa" w:w="2160"/>
            <w:tcBorders>
              <w:top w:val="single" w:sz="4" w:color="7F7F7F"/>
              <w:left w:val="nil"/>
              <w:bottom w:val="single" w:sz="4" w:color="7F7F7F"/>
              <w:right w:val="nil"/>
            </w:tcBorders>
            <w:tcMar>
              <w:top w:w="70" w:type="dxa"/>
              <w:left w:w="130" w:type="dxa"/>
              <w:bottom w:w="70" w:type="dxa"/>
              <w:right w:w="130" w:type="dxa"/>
            </w:tcMar>
            <w:vAlign w:val="center"/>
          </w:tcPr>
          <w:p>
            <w:pPr>
              <w:jc w:val="left"/>
            </w:pPr>
            <w:r/>
            <w:r>
              <w:rPr>
                <w:rFonts w:ascii="Calibri" w:hAnsi="Calibri"/>
                <w:b w:val="0"/>
                <w:i w:val="0"/>
                <w:sz w:val="22"/>
              </w:rPr>
              <w:t>F-Score</w:t>
            </w:r>
          </w:p>
        </w:tc>
        <w:tc>
          <w:tcPr>
            <w:tcW w:type="dxa" w:w="1224"/>
            <w:tcBorders>
              <w:top w:val="single" w:sz="4" w:color="7F7F7F"/>
              <w:left w:val="nil"/>
              <w:bottom w:val="single" w:sz="4" w:color="7F7F7F"/>
              <w:right w:val="nil"/>
            </w:tcBorders>
            <w:tcMar>
              <w:top w:w="70" w:type="dxa"/>
              <w:left w:w="130" w:type="dxa"/>
              <w:bottom w:w="70" w:type="dxa"/>
              <w:right w:w="130" w:type="dxa"/>
            </w:tcMar>
            <w:vAlign w:val="center"/>
          </w:tcPr>
          <w:p>
            <w:pPr>
              <w:jc w:val="right"/>
            </w:pPr>
            <w:r/>
            <w:r>
              <w:rPr>
                <w:rFonts w:ascii="Calibri" w:hAnsi="Calibri"/>
                <w:b w:val="0"/>
                <w:i w:val="0"/>
                <w:sz w:val="22"/>
              </w:rPr>
              <w:t>5</w:t>
            </w:r>
          </w:p>
        </w:tc>
        <w:tc>
          <w:tcPr>
            <w:tcW w:type="dxa" w:w="5688"/>
            <w:tcBorders>
              <w:top w:val="single" w:sz="4" w:color="7F7F7F"/>
              <w:left w:val="nil"/>
              <w:bottom w:val="single" w:sz="4" w:color="7F7F7F"/>
              <w:right w:val="nil"/>
            </w:tcBorders>
            <w:tcMar>
              <w:top w:w="70" w:type="dxa"/>
              <w:left w:w="130" w:type="dxa"/>
              <w:bottom w:w="70" w:type="dxa"/>
              <w:right w:w="130" w:type="dxa"/>
            </w:tcMar>
            <w:vAlign w:val="center"/>
          </w:tcPr>
          <w:p>
            <w:pPr>
              <w:jc w:val="left"/>
            </w:pPr>
            <w:r/>
            <w:r>
              <w:rPr>
                <w:rFonts w:ascii="Calibri" w:hAnsi="Calibri"/>
                <w:b w:val="0"/>
                <w:i w:val="0"/>
                <w:sz w:val="22"/>
              </w:rPr>
              <w:t>20F for the fiscal year ending 12/31/25</w:t>
            </w:r>
          </w:p>
        </w:tc>
        <w:tc>
          <w:tcPr>
            <w:tcW w:type="dxa" w:w="1008"/>
            <w:tcBorders>
              <w:top w:val="single" w:sz="4" w:color="7F7F7F"/>
              <w:left w:val="nil"/>
              <w:bottom w:val="single" w:sz="4" w:color="7F7F7F"/>
              <w:right w:val="nil"/>
            </w:tcBorders>
            <w:tcMar>
              <w:top w:w="70" w:type="dxa"/>
              <w:left w:w="130" w:type="dxa"/>
              <w:bottom w:w="70" w:type="dxa"/>
              <w:right w:w="130" w:type="dxa"/>
            </w:tcMar>
            <w:vAlign w:val="center"/>
          </w:tcPr>
          <w:p>
            <w:pPr>
              <w:jc w:val="left"/>
            </w:pPr>
            <w:r/>
            <w:r>
              <w:rPr>
                <w:rFonts w:ascii="Calibri" w:hAnsi="Calibri"/>
                <w:b w:val="0"/>
                <w:i w:val="0"/>
                <w:sz w:val="22"/>
              </w:rPr>
              <w:t>12/31/25</w:t>
            </w:r>
          </w:p>
        </w:tc>
      </w:tr>
      <w:tr>
        <w:tc>
          <w:tcPr>
            <w:tcW w:type="dxa" w:w="2160"/>
            <w:tcBorders>
              <w:top w:val="single" w:sz="4" w:color="7F7F7F"/>
              <w:left w:val="nil"/>
              <w:bottom w:val="single" w:sz="4" w:color="7F7F7F"/>
              <w:right w:val="nil"/>
            </w:tcBorders>
            <w:tcMar>
              <w:top w:w="70" w:type="dxa"/>
              <w:left w:w="130" w:type="dxa"/>
              <w:bottom w:w="70" w:type="dxa"/>
              <w:right w:w="130" w:type="dxa"/>
            </w:tcMar>
            <w:vAlign w:val="center"/>
          </w:tcPr>
          <w:p>
            <w:pPr>
              <w:jc w:val="left"/>
            </w:pPr>
            <w:r/>
            <w:r>
              <w:rPr>
                <w:rFonts w:ascii="Calibri" w:hAnsi="Calibri"/>
                <w:b w:val="0"/>
                <w:i w:val="0"/>
                <w:sz w:val="22"/>
              </w:rPr>
              <w:t>External Financing</w:t>
            </w:r>
          </w:p>
        </w:tc>
        <w:tc>
          <w:tcPr>
            <w:tcW w:type="dxa" w:w="1224"/>
            <w:tcBorders>
              <w:top w:val="single" w:sz="4" w:color="7F7F7F"/>
              <w:left w:val="nil"/>
              <w:bottom w:val="single" w:sz="4" w:color="7F7F7F"/>
              <w:right w:val="nil"/>
            </w:tcBorders>
            <w:tcMar>
              <w:top w:w="70" w:type="dxa"/>
              <w:left w:w="130" w:type="dxa"/>
              <w:bottom w:w="70" w:type="dxa"/>
              <w:right w:w="130" w:type="dxa"/>
            </w:tcMar>
            <w:vAlign w:val="center"/>
          </w:tcPr>
          <w:p>
            <w:pPr>
              <w:jc w:val="right"/>
            </w:pPr>
            <w:r/>
            <w:r>
              <w:rPr>
                <w:rFonts w:ascii="Calibri" w:hAnsi="Calibri"/>
                <w:b w:val="0"/>
                <w:i w:val="0"/>
                <w:sz w:val="22"/>
              </w:rPr>
              <w:t>0.0430</w:t>
            </w:r>
          </w:p>
        </w:tc>
        <w:tc>
          <w:tcPr>
            <w:tcW w:type="dxa" w:w="5688"/>
            <w:tcBorders>
              <w:top w:val="single" w:sz="4" w:color="7F7F7F"/>
              <w:left w:val="nil"/>
              <w:bottom w:val="single" w:sz="4" w:color="7F7F7F"/>
              <w:right w:val="nil"/>
            </w:tcBorders>
            <w:tcMar>
              <w:top w:w="70" w:type="dxa"/>
              <w:left w:w="130" w:type="dxa"/>
              <w:bottom w:w="70" w:type="dxa"/>
              <w:right w:w="130" w:type="dxa"/>
            </w:tcMar>
            <w:vAlign w:val="center"/>
          </w:tcPr>
          <w:p>
            <w:pPr>
              <w:jc w:val="left"/>
            </w:pPr>
            <w:r/>
            <w:r>
              <w:rPr>
                <w:rFonts w:ascii="Calibri" w:hAnsi="Calibri"/>
                <w:b w:val="0"/>
                <w:i w:val="0"/>
                <w:sz w:val="22"/>
              </w:rPr>
              <w:t>20F for the fiscal year ending 12/31/25</w:t>
            </w:r>
          </w:p>
        </w:tc>
        <w:tc>
          <w:tcPr>
            <w:tcW w:type="dxa" w:w="1008"/>
            <w:tcBorders>
              <w:top w:val="single" w:sz="4" w:color="7F7F7F"/>
              <w:left w:val="nil"/>
              <w:bottom w:val="single" w:sz="4" w:color="7F7F7F"/>
              <w:right w:val="nil"/>
            </w:tcBorders>
            <w:tcMar>
              <w:top w:w="70" w:type="dxa"/>
              <w:left w:w="130" w:type="dxa"/>
              <w:bottom w:w="70" w:type="dxa"/>
              <w:right w:w="130" w:type="dxa"/>
            </w:tcMar>
            <w:vAlign w:val="center"/>
          </w:tcPr>
          <w:p>
            <w:pPr>
              <w:jc w:val="left"/>
            </w:pPr>
            <w:r/>
            <w:r>
              <w:rPr>
                <w:rFonts w:ascii="Calibri" w:hAnsi="Calibri"/>
                <w:b w:val="0"/>
                <w:i w:val="0"/>
                <w:sz w:val="22"/>
              </w:rPr>
              <w:t>12/31/25</w:t>
            </w:r>
          </w:p>
        </w:tc>
      </w:tr>
      <w:tr>
        <w:tc>
          <w:tcPr>
            <w:tcW w:type="dxa" w:w="2160"/>
            <w:tcBorders>
              <w:top w:val="single" w:sz="4" w:color="7F7F7F"/>
              <w:left w:val="nil"/>
              <w:bottom w:val="single" w:sz="4" w:color="7F7F7F"/>
              <w:right w:val="nil"/>
            </w:tcBorders>
            <w:tcMar>
              <w:top w:w="70" w:type="dxa"/>
              <w:left w:w="130" w:type="dxa"/>
              <w:bottom w:w="70" w:type="dxa"/>
              <w:right w:w="130" w:type="dxa"/>
            </w:tcMar>
            <w:vAlign w:val="center"/>
          </w:tcPr>
          <w:p>
            <w:pPr>
              <w:jc w:val="left"/>
            </w:pPr>
            <w:r/>
            <w:r>
              <w:rPr>
                <w:rFonts w:ascii="Calibri" w:hAnsi="Calibri"/>
                <w:b w:val="0"/>
                <w:i w:val="0"/>
                <w:sz w:val="22"/>
              </w:rPr>
              <w:t>Volatility</w:t>
            </w:r>
          </w:p>
        </w:tc>
        <w:tc>
          <w:tcPr>
            <w:tcW w:type="dxa" w:w="1224"/>
            <w:tcBorders>
              <w:top w:val="single" w:sz="4" w:color="7F7F7F"/>
              <w:left w:val="nil"/>
              <w:bottom w:val="single" w:sz="4" w:color="7F7F7F"/>
              <w:right w:val="nil"/>
            </w:tcBorders>
            <w:tcMar>
              <w:top w:w="70" w:type="dxa"/>
              <w:left w:w="130" w:type="dxa"/>
              <w:bottom w:w="70" w:type="dxa"/>
              <w:right w:w="130" w:type="dxa"/>
            </w:tcMar>
            <w:vAlign w:val="center"/>
          </w:tcPr>
          <w:p>
            <w:pPr>
              <w:jc w:val="right"/>
            </w:pPr>
            <w:r/>
            <w:r>
              <w:rPr>
                <w:rFonts w:ascii="Calibri" w:hAnsi="Calibri"/>
                <w:b w:val="0"/>
                <w:i w:val="0"/>
                <w:sz w:val="22"/>
              </w:rPr>
              <w:t>0.0333</w:t>
            </w:r>
          </w:p>
        </w:tc>
        <w:tc>
          <w:tcPr>
            <w:tcW w:type="dxa" w:w="5688"/>
            <w:tcBorders>
              <w:top w:val="single" w:sz="4" w:color="7F7F7F"/>
              <w:left w:val="nil"/>
              <w:bottom w:val="single" w:sz="4" w:color="7F7F7F"/>
              <w:right w:val="nil"/>
            </w:tcBorders>
            <w:tcMar>
              <w:top w:w="70" w:type="dxa"/>
              <w:left w:w="130" w:type="dxa"/>
              <w:bottom w:w="70" w:type="dxa"/>
              <w:right w:w="130" w:type="dxa"/>
            </w:tcMar>
            <w:vAlign w:val="center"/>
          </w:tcPr>
          <w:p>
            <w:pPr>
              <w:jc w:val="left"/>
            </w:pPr>
            <w:r/>
            <w:r>
              <w:rPr>
                <w:rFonts w:ascii="Calibri" w:hAnsi="Calibri"/>
                <w:b w:val="0"/>
                <w:i w:val="0"/>
                <w:sz w:val="22"/>
              </w:rPr>
              <w:t>Yahoo! Finance</w:t>
            </w:r>
          </w:p>
        </w:tc>
        <w:tc>
          <w:tcPr>
            <w:tcW w:type="dxa" w:w="1008"/>
            <w:tcBorders>
              <w:top w:val="single" w:sz="4" w:color="7F7F7F"/>
              <w:left w:val="nil"/>
              <w:bottom w:val="single" w:sz="4" w:color="7F7F7F"/>
              <w:right w:val="nil"/>
            </w:tcBorders>
            <w:tcMar>
              <w:top w:w="70" w:type="dxa"/>
              <w:left w:w="130" w:type="dxa"/>
              <w:bottom w:w="70" w:type="dxa"/>
              <w:right w:w="130" w:type="dxa"/>
            </w:tcMar>
            <w:vAlign w:val="center"/>
          </w:tcPr>
          <w:p>
            <w:pPr>
              <w:jc w:val="left"/>
            </w:pPr>
            <w:r/>
            <w:r>
              <w:rPr>
                <w:rFonts w:ascii="Calibri" w:hAnsi="Calibri"/>
                <w:b w:val="0"/>
                <w:i w:val="0"/>
                <w:sz w:val="22"/>
              </w:rPr>
              <w:t>4/30/26</w:t>
            </w:r>
          </w:p>
        </w:tc>
      </w:tr>
      <w:tr>
        <w:tc>
          <w:tcPr>
            <w:tcW w:type="dxa" w:w="2160"/>
            <w:tcMar>
              <w:top w:w="70" w:type="dxa"/>
              <w:left w:w="130" w:type="dxa"/>
              <w:bottom w:w="70" w:type="dxa"/>
              <w:right w:w="130" w:type="dxa"/>
            </w:tcMar>
            <w:vAlign w:val="center"/>
            <w:tcBorders>
              <w:top w:val="single" w:sz="4" w:color="7F7F7F"/>
              <w:left w:val="nil"/>
              <w:bottom w:val="single" w:sz="8" w:color="000000"/>
              <w:right w:val="nil"/>
            </w:tcBorders>
          </w:tcPr>
          <w:p>
            <w:pPr>
              <w:jc w:val="left"/>
            </w:pPr>
            <w:r/>
            <w:r>
              <w:rPr>
                <w:rFonts w:ascii="Calibri" w:hAnsi="Calibri"/>
                <w:b w:val="0"/>
                <w:i w:val="0"/>
                <w:sz w:val="22"/>
              </w:rPr>
              <w:t>Accruals</w:t>
            </w:r>
          </w:p>
        </w:tc>
        <w:tc>
          <w:tcPr>
            <w:tcW w:type="dxa" w:w="1224"/>
            <w:tcMar>
              <w:top w:w="70" w:type="dxa"/>
              <w:left w:w="130" w:type="dxa"/>
              <w:bottom w:w="70" w:type="dxa"/>
              <w:right w:w="130" w:type="dxa"/>
            </w:tcMar>
            <w:vAlign w:val="center"/>
            <w:tcBorders>
              <w:top w:val="single" w:sz="4" w:color="7F7F7F"/>
              <w:left w:val="nil"/>
              <w:bottom w:val="single" w:sz="8" w:color="000000"/>
              <w:right w:val="nil"/>
            </w:tcBorders>
          </w:tcPr>
          <w:p>
            <w:pPr>
              <w:jc w:val="right"/>
            </w:pPr>
            <w:r/>
            <w:r>
              <w:rPr>
                <w:rFonts w:ascii="Calibri" w:hAnsi="Calibri"/>
                <w:b w:val="0"/>
                <w:i w:val="0"/>
                <w:sz w:val="22"/>
              </w:rPr>
              <w:t>-0.0307</w:t>
            </w:r>
          </w:p>
        </w:tc>
        <w:tc>
          <w:tcPr>
            <w:tcW w:type="dxa" w:w="5688"/>
            <w:tcMar>
              <w:top w:w="70" w:type="dxa"/>
              <w:left w:w="130" w:type="dxa"/>
              <w:bottom w:w="70" w:type="dxa"/>
              <w:right w:w="130" w:type="dxa"/>
            </w:tcMar>
            <w:vAlign w:val="center"/>
            <w:tcBorders>
              <w:top w:val="single" w:sz="4" w:color="7F7F7F"/>
              <w:left w:val="nil"/>
              <w:bottom w:val="single" w:sz="8" w:color="000000"/>
              <w:right w:val="nil"/>
            </w:tcBorders>
          </w:tcPr>
          <w:p>
            <w:pPr>
              <w:jc w:val="left"/>
            </w:pPr>
            <w:r/>
            <w:r>
              <w:rPr>
                <w:rFonts w:ascii="Calibri" w:hAnsi="Calibri"/>
                <w:b w:val="0"/>
                <w:i w:val="0"/>
                <w:sz w:val="22"/>
              </w:rPr>
              <w:t>20F for the fiscal year ending 12/31/25</w:t>
            </w:r>
          </w:p>
        </w:tc>
        <w:tc>
          <w:tcPr>
            <w:tcW w:type="dxa" w:w="1008"/>
            <w:tcMar>
              <w:top w:w="70" w:type="dxa"/>
              <w:left w:w="130" w:type="dxa"/>
              <w:bottom w:w="70" w:type="dxa"/>
              <w:right w:w="130" w:type="dxa"/>
            </w:tcMar>
            <w:vAlign w:val="center"/>
            <w:tcBorders>
              <w:top w:val="single" w:sz="4" w:color="7F7F7F"/>
              <w:left w:val="nil"/>
              <w:bottom w:val="single" w:sz="8" w:color="000000"/>
              <w:right w:val="nil"/>
            </w:tcBorders>
          </w:tcPr>
          <w:p>
            <w:pPr>
              <w:jc w:val="left"/>
            </w:pPr>
            <w:r/>
            <w:r>
              <w:rPr>
                <w:rFonts w:ascii="Calibri" w:hAnsi="Calibri"/>
                <w:b w:val="0"/>
                <w:i w:val="0"/>
                <w:sz w:val="22"/>
              </w:rPr>
              <w:t>12/31/25</w:t>
            </w:r>
          </w:p>
        </w:tc>
      </w:tr>
    </w:tbl>
    <w:p>
      <w:pPr>
        <w:spacing w:after="120"/>
      </w:pPr>
    </w:p>
    <w:p>
      <w:pPr>
        <w:spacing w:line="276" w:lineRule="auto" w:before="0" w:after="160"/>
        <w:jc w:val="left"/>
      </w:pPr>
      <w:r>
        <w:rPr>
          <w:rFonts w:ascii="Calibri" w:hAnsi="Calibri"/>
          <w:b w:val="0"/>
          <w:i w:val="0"/>
          <w:sz w:val="22"/>
        </w:rPr>
        <w:t>The calculation of all signals for NVO followed the formulas in Part 1. Several deviations warrant additional explanation given Novo Nordisk's status as a Danish foreign private issuer (FPI). The equivalent disclosures to Pfizer's 10K and 8K are the Form 20F (filed with the SEC on 2/4/26 for fiscal year 12/31/25) and the Form 6K covering the Q4 2025 earnings release dated 2/3/26. All financials are in DKK under IFRS, and the line items map directly to the Part 1 definitions.</w:t>
      </w:r>
    </w:p>
    <w:p>
      <w:pPr>
        <w:spacing w:line="276" w:lineRule="auto" w:before="0" w:after="160"/>
        <w:jc w:val="left"/>
      </w:pPr>
      <w:r>
        <w:rPr>
          <w:rFonts w:ascii="Calibri" w:hAnsi="Calibri"/>
          <w:b w:val="0"/>
          <w:i w:val="0"/>
          <w:sz w:val="22"/>
        </w:rPr>
        <w:t>For insider selling, Section 16 does not apply to FPIs, so no Form 4 filings exist. Insider transactions are disclosed under Article 19 of EU MAR (Regulation 596/2014), with notifications published as company announcements via Globenewswire and the Danish FSA's OAM database. All Novo Nordisk Article 19 PDMR notifications between 1/30/26 and 4/30/26 were reviewed. Consistent with the Form 4 treatment applied for Pfizer, only Article 19 entries that represent open market purchases or sales were counted. Share remuneration grants and tax withholding on vesting were excluded. Only one notification in the trailing three month window involves a CEO, CFO, COO, or Director, an open market sale of 26,557 B shares by CFO Karsten Munk Knudsen on 2/10/26 across two execution venues. The signal value is this single sale divided by total shares outstanding of 4.448 billion at 12/31/25 (per the 20F share capital disclosure of 4.51 billion shares issued less treasury holdings).</w:t>
      </w:r>
    </w:p>
    <w:p>
      <w:pPr>
        <w:spacing w:line="276" w:lineRule="auto" w:before="0" w:after="160"/>
        <w:jc w:val="left"/>
      </w:pPr>
      <w:r>
        <w:rPr>
          <w:rFonts w:ascii="Calibri" w:hAnsi="Calibri"/>
          <w:b w:val="0"/>
          <w:i w:val="0"/>
          <w:sz w:val="22"/>
        </w:rPr>
        <w:t>For Earnings Surprise and SUE, the calculation for an IFRS DKK reporter uses DKK on both sides of the ratio. Quarterly EPS in DKK is the numerator and the NOVO B Copenhagen close in DKK is the denominator. WRDS IBES had not yet ingested the Q4 2025 actual at the time of measurement, so Q4 2025 EPS was recovered from the FY 2025 reported diluted EPS of 23.03 DKK in the 2/3/26 release less the IBES Q1 to Q3 actuals of 16.99 DKK, giving 6.04 DKK. The Q4 2025 consensus comes from the latest IBES annual mean before the announcement (statpers 1/15/26, 23.33 DKK across 19 estimates) less the same Q1 to Q3 actuals, giving 6.34 DKK. The Q4 2024 actual of 6.34 DKK is from IBES directly. Both Earnings Surprise and SUE land at -0.0008 because the imputed Q4 2025 consensus and the Q4 2024 actual are both 6.34 DKK. Analyst expectations for the quarter had been anchored on the prior year print.</w:t>
      </w:r>
    </w:p>
    <w:p>
      <w:pPr>
        <w:spacing w:line="276" w:lineRule="auto" w:before="0" w:after="160"/>
        <w:jc w:val="left"/>
      </w:pPr>
      <w:r>
        <w:rPr>
          <w:rFonts w:ascii="Calibri" w:hAnsi="Calibri"/>
          <w:b w:val="0"/>
          <w:i w:val="0"/>
          <w:sz w:val="22"/>
        </w:rPr>
        <w:t>For Book-To-Market, both numerator and denominator are in DKK. Book equity is the 12/31/25 total equity of 194,047 DKK million from the 20F consolidated balance sheet, which equals total assets of 542,902 DKK million less total liabilities of 348,855 DKK million. Market capitalization is the NOVO B Copenhagen close on 4/30/26 of 272.25 DKK multiplied by total shares outstanding of 4.448 billion.</w:t>
      </w:r>
    </w:p>
    <w:p>
      <w:pPr>
        <w:spacing w:line="276" w:lineRule="auto" w:before="0" w:after="160"/>
        <w:jc w:val="left"/>
      </w:pPr>
      <w:r>
        <w:rPr>
          <w:rFonts w:ascii="Calibri" w:hAnsi="Calibri"/>
          <w:b w:val="0"/>
          <w:i w:val="0"/>
          <w:sz w:val="22"/>
        </w:rPr>
        <w:t>For External Financing, unlike Pfizer's near zero result, Novo Nordisk's 2025 financing activity is dominated by a 103,931 DKK million long term debt issuance per the consolidated cash flow statement. Repurchase of own shares of 1,388 DKK million and long term debt repayment of 79,188 DKK million net to a positive External Financing value, opposite in sign to Pfizer's -0.0004. No new equity was issued in either fiscal year.</w:t>
      </w:r>
    </w:p>
    <w:p>
      <w:pPr>
        <w:spacing w:line="276" w:lineRule="auto" w:before="0" w:after="160"/>
        <w:jc w:val="left"/>
      </w:pPr>
      <w:r>
        <w:rPr>
          <w:rFonts w:ascii="Calibri" w:hAnsi="Calibri"/>
          <w:b w:val="0"/>
          <w:i w:val="0"/>
          <w:sz w:val="22"/>
        </w:rPr>
        <w:t>The F-Score follows the Piotroski (2000) specification, with the leverage criterion measured as the change in the long term debt to total assets ratio. Three of the nine criteria fail in 2025. ROA declined relative to 2024, the leverage ratio rose with the increase in long term debt, and gross margin contracted as cost of goods sold grew faster than revenue.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