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52FF" w14:textId="53A62B83" w:rsidR="009B71F0" w:rsidRPr="006258EE" w:rsidRDefault="006258EE">
      <w:pPr>
        <w:rPr>
          <w:rFonts w:ascii="Times New Roman" w:hAnsi="Times New Roman" w:cs="Times New Roman"/>
          <w:i/>
          <w:iCs/>
        </w:rPr>
      </w:pPr>
      <w:r w:rsidRPr="006258EE">
        <w:rPr>
          <w:rFonts w:ascii="Times New Roman" w:hAnsi="Times New Roman" w:cs="Times New Roman"/>
          <w:i/>
          <w:iCs/>
        </w:rPr>
        <w:t>Pfizer</w:t>
      </w: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2144"/>
        <w:gridCol w:w="1479"/>
        <w:gridCol w:w="3615"/>
        <w:gridCol w:w="2144"/>
      </w:tblGrid>
      <w:tr w:rsidR="006258EE" w:rsidRPr="006258EE" w14:paraId="3E840F6E" w14:textId="77777777" w:rsidTr="006258EE">
        <w:trPr>
          <w:trHeight w:val="340"/>
        </w:trPr>
        <w:tc>
          <w:tcPr>
            <w:tcW w:w="2144" w:type="dxa"/>
            <w:noWrap/>
            <w:hideMark/>
          </w:tcPr>
          <w:p w14:paraId="45FEF011" w14:textId="77777777" w:rsidR="006258EE" w:rsidRPr="006258EE" w:rsidRDefault="006258EE">
            <w:pPr>
              <w:rPr>
                <w:rFonts w:ascii="Times New Roman" w:hAnsi="Times New Roman" w:cs="Times New Roman"/>
                <w:b/>
                <w:bCs/>
              </w:rPr>
            </w:pPr>
            <w:r w:rsidRPr="006258EE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1479" w:type="dxa"/>
            <w:noWrap/>
            <w:hideMark/>
          </w:tcPr>
          <w:p w14:paraId="604C981C" w14:textId="77777777" w:rsidR="006258EE" w:rsidRPr="006258EE" w:rsidRDefault="006258EE">
            <w:pPr>
              <w:rPr>
                <w:rFonts w:ascii="Times New Roman" w:hAnsi="Times New Roman" w:cs="Times New Roman"/>
                <w:b/>
                <w:bCs/>
              </w:rPr>
            </w:pPr>
            <w:r w:rsidRPr="006258E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3615" w:type="dxa"/>
            <w:noWrap/>
            <w:hideMark/>
          </w:tcPr>
          <w:p w14:paraId="75746580" w14:textId="77777777" w:rsidR="006258EE" w:rsidRPr="006258EE" w:rsidRDefault="006258EE">
            <w:pPr>
              <w:rPr>
                <w:rFonts w:ascii="Times New Roman" w:hAnsi="Times New Roman" w:cs="Times New Roman"/>
                <w:b/>
                <w:bCs/>
              </w:rPr>
            </w:pPr>
            <w:r w:rsidRPr="006258EE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2144" w:type="dxa"/>
            <w:noWrap/>
            <w:hideMark/>
          </w:tcPr>
          <w:p w14:paraId="0D66DEF5" w14:textId="77777777" w:rsidR="006258EE" w:rsidRPr="006258EE" w:rsidRDefault="006258EE">
            <w:pPr>
              <w:rPr>
                <w:rFonts w:ascii="Times New Roman" w:hAnsi="Times New Roman" w:cs="Times New Roman"/>
                <w:b/>
                <w:bCs/>
              </w:rPr>
            </w:pPr>
            <w:r w:rsidRPr="006258EE">
              <w:rPr>
                <w:rFonts w:ascii="Times New Roman" w:hAnsi="Times New Roman" w:cs="Times New Roman"/>
                <w:b/>
                <w:bCs/>
              </w:rPr>
              <w:t>As-Of</w:t>
            </w:r>
          </w:p>
        </w:tc>
      </w:tr>
      <w:tr w:rsidR="006258EE" w:rsidRPr="006258EE" w14:paraId="21024C14" w14:textId="77777777" w:rsidTr="006258EE">
        <w:trPr>
          <w:trHeight w:val="340"/>
        </w:trPr>
        <w:tc>
          <w:tcPr>
            <w:tcW w:w="2144" w:type="dxa"/>
            <w:noWrap/>
            <w:hideMark/>
          </w:tcPr>
          <w:p w14:paraId="6B50D22A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Insider Selling</w:t>
            </w:r>
          </w:p>
        </w:tc>
        <w:tc>
          <w:tcPr>
            <w:tcW w:w="1479" w:type="dxa"/>
            <w:noWrap/>
            <w:hideMark/>
          </w:tcPr>
          <w:p w14:paraId="169B81FB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15" w:type="dxa"/>
            <w:hideMark/>
          </w:tcPr>
          <w:p w14:paraId="66D6433D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SEC Form 4 filings</w:t>
            </w:r>
          </w:p>
        </w:tc>
        <w:tc>
          <w:tcPr>
            <w:tcW w:w="2144" w:type="dxa"/>
            <w:noWrap/>
            <w:hideMark/>
          </w:tcPr>
          <w:p w14:paraId="44DE58D2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4/27/26</w:t>
            </w:r>
          </w:p>
        </w:tc>
      </w:tr>
      <w:tr w:rsidR="006258EE" w:rsidRPr="006258EE" w14:paraId="27020704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702D624C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Book-To-Market</w:t>
            </w:r>
          </w:p>
        </w:tc>
        <w:tc>
          <w:tcPr>
            <w:tcW w:w="1479" w:type="dxa"/>
            <w:noWrap/>
            <w:hideMark/>
          </w:tcPr>
          <w:p w14:paraId="1820DEF2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0.6129</w:t>
            </w:r>
          </w:p>
        </w:tc>
        <w:tc>
          <w:tcPr>
            <w:tcW w:w="3615" w:type="dxa"/>
            <w:hideMark/>
          </w:tcPr>
          <w:p w14:paraId="40159B98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10K for the fiscal year ending 12/31/25; Yahoo! Finance</w:t>
            </w:r>
          </w:p>
        </w:tc>
        <w:tc>
          <w:tcPr>
            <w:tcW w:w="2144" w:type="dxa"/>
            <w:hideMark/>
          </w:tcPr>
          <w:p w14:paraId="17FEDA1B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12/31/25</w:t>
            </w:r>
          </w:p>
        </w:tc>
      </w:tr>
      <w:tr w:rsidR="006258EE" w:rsidRPr="006258EE" w14:paraId="73CFBC74" w14:textId="77777777" w:rsidTr="006258EE">
        <w:trPr>
          <w:trHeight w:val="340"/>
        </w:trPr>
        <w:tc>
          <w:tcPr>
            <w:tcW w:w="2144" w:type="dxa"/>
            <w:noWrap/>
            <w:hideMark/>
          </w:tcPr>
          <w:p w14:paraId="13D3E9B1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Momentum</w:t>
            </w:r>
          </w:p>
        </w:tc>
        <w:tc>
          <w:tcPr>
            <w:tcW w:w="1479" w:type="dxa"/>
            <w:noWrap/>
            <w:hideMark/>
          </w:tcPr>
          <w:p w14:paraId="43B8D87C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-0.1237</w:t>
            </w:r>
          </w:p>
        </w:tc>
        <w:tc>
          <w:tcPr>
            <w:tcW w:w="3615" w:type="dxa"/>
            <w:hideMark/>
          </w:tcPr>
          <w:p w14:paraId="2555D4D5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Yahoo! Finance</w:t>
            </w:r>
          </w:p>
        </w:tc>
        <w:tc>
          <w:tcPr>
            <w:tcW w:w="2144" w:type="dxa"/>
            <w:noWrap/>
            <w:hideMark/>
          </w:tcPr>
          <w:p w14:paraId="68D2A34D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3/31/26</w:t>
            </w:r>
          </w:p>
        </w:tc>
      </w:tr>
      <w:tr w:rsidR="006258EE" w:rsidRPr="006258EE" w14:paraId="1246B0D7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037D952C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Gross Profitability</w:t>
            </w:r>
          </w:p>
        </w:tc>
        <w:tc>
          <w:tcPr>
            <w:tcW w:w="1479" w:type="dxa"/>
            <w:noWrap/>
            <w:hideMark/>
          </w:tcPr>
          <w:p w14:paraId="03D0632C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0.2234</w:t>
            </w:r>
          </w:p>
        </w:tc>
        <w:tc>
          <w:tcPr>
            <w:tcW w:w="3615" w:type="dxa"/>
            <w:hideMark/>
          </w:tcPr>
          <w:p w14:paraId="6C794C93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10K for the fiscal year ending 12/31/25</w:t>
            </w:r>
          </w:p>
        </w:tc>
        <w:tc>
          <w:tcPr>
            <w:tcW w:w="2144" w:type="dxa"/>
            <w:noWrap/>
            <w:hideMark/>
          </w:tcPr>
          <w:p w14:paraId="047B8916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12/31/25</w:t>
            </w:r>
          </w:p>
        </w:tc>
      </w:tr>
      <w:tr w:rsidR="006258EE" w:rsidRPr="006258EE" w14:paraId="2A0F7E9D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3CFAE326" w14:textId="04FBF0A1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Earnings Surp</w:t>
            </w:r>
            <w:r>
              <w:rPr>
                <w:rFonts w:ascii="Times New Roman" w:hAnsi="Times New Roman" w:cs="Times New Roman"/>
              </w:rPr>
              <w:t>r</w:t>
            </w:r>
            <w:r w:rsidRPr="006258EE">
              <w:rPr>
                <w:rFonts w:ascii="Times New Roman" w:hAnsi="Times New Roman" w:cs="Times New Roman"/>
              </w:rPr>
              <w:t>ise</w:t>
            </w:r>
          </w:p>
        </w:tc>
        <w:tc>
          <w:tcPr>
            <w:tcW w:w="1479" w:type="dxa"/>
            <w:noWrap/>
            <w:hideMark/>
          </w:tcPr>
          <w:p w14:paraId="7FE907BC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-0.0112</w:t>
            </w:r>
          </w:p>
        </w:tc>
        <w:tc>
          <w:tcPr>
            <w:tcW w:w="3615" w:type="dxa"/>
            <w:hideMark/>
          </w:tcPr>
          <w:p w14:paraId="29DABCD2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8K earnings release filed 2/3/26; Yahoo! Finance</w:t>
            </w:r>
          </w:p>
        </w:tc>
        <w:tc>
          <w:tcPr>
            <w:tcW w:w="2144" w:type="dxa"/>
            <w:noWrap/>
            <w:hideMark/>
          </w:tcPr>
          <w:p w14:paraId="478A91FD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2/3/26</w:t>
            </w:r>
          </w:p>
        </w:tc>
      </w:tr>
      <w:tr w:rsidR="006258EE" w:rsidRPr="006258EE" w14:paraId="58DAB072" w14:textId="77777777" w:rsidTr="006258EE">
        <w:trPr>
          <w:trHeight w:val="1022"/>
        </w:trPr>
        <w:tc>
          <w:tcPr>
            <w:tcW w:w="2144" w:type="dxa"/>
            <w:noWrap/>
            <w:hideMark/>
          </w:tcPr>
          <w:p w14:paraId="2F790F7F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SUE</w:t>
            </w:r>
          </w:p>
        </w:tc>
        <w:tc>
          <w:tcPr>
            <w:tcW w:w="1479" w:type="dxa"/>
            <w:noWrap/>
            <w:hideMark/>
          </w:tcPr>
          <w:p w14:paraId="52545965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-0.0085</w:t>
            </w:r>
          </w:p>
        </w:tc>
        <w:tc>
          <w:tcPr>
            <w:tcW w:w="3615" w:type="dxa"/>
            <w:hideMark/>
          </w:tcPr>
          <w:p w14:paraId="08F664DE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8K earnings release filed 2/3/26; Yahoo! Finance</w:t>
            </w:r>
          </w:p>
        </w:tc>
        <w:tc>
          <w:tcPr>
            <w:tcW w:w="2144" w:type="dxa"/>
            <w:noWrap/>
            <w:hideMark/>
          </w:tcPr>
          <w:p w14:paraId="6F883EB6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2/3/26</w:t>
            </w:r>
          </w:p>
        </w:tc>
      </w:tr>
      <w:tr w:rsidR="006258EE" w:rsidRPr="006258EE" w14:paraId="51BDD2F6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58AFE7A5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F-Score</w:t>
            </w:r>
          </w:p>
        </w:tc>
        <w:tc>
          <w:tcPr>
            <w:tcW w:w="1479" w:type="dxa"/>
            <w:noWrap/>
            <w:hideMark/>
          </w:tcPr>
          <w:p w14:paraId="6F5683CC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15" w:type="dxa"/>
            <w:hideMark/>
          </w:tcPr>
          <w:p w14:paraId="650B27A9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10K for the fiscal year ending 12/31/25</w:t>
            </w:r>
          </w:p>
        </w:tc>
        <w:tc>
          <w:tcPr>
            <w:tcW w:w="2144" w:type="dxa"/>
            <w:noWrap/>
            <w:hideMark/>
          </w:tcPr>
          <w:p w14:paraId="77FD76A7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12/31/25</w:t>
            </w:r>
          </w:p>
        </w:tc>
      </w:tr>
      <w:tr w:rsidR="006258EE" w:rsidRPr="006258EE" w14:paraId="155624D1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7A530F97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External Financing</w:t>
            </w:r>
          </w:p>
        </w:tc>
        <w:tc>
          <w:tcPr>
            <w:tcW w:w="1479" w:type="dxa"/>
            <w:noWrap/>
            <w:hideMark/>
          </w:tcPr>
          <w:p w14:paraId="5F8A0718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-0.0004</w:t>
            </w:r>
          </w:p>
        </w:tc>
        <w:tc>
          <w:tcPr>
            <w:tcW w:w="3615" w:type="dxa"/>
            <w:hideMark/>
          </w:tcPr>
          <w:p w14:paraId="4D3F0B7E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10K for the fiscal year ending 12/31/25</w:t>
            </w:r>
          </w:p>
        </w:tc>
        <w:tc>
          <w:tcPr>
            <w:tcW w:w="2144" w:type="dxa"/>
            <w:noWrap/>
            <w:hideMark/>
          </w:tcPr>
          <w:p w14:paraId="06A8D092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12/31/25</w:t>
            </w:r>
          </w:p>
        </w:tc>
      </w:tr>
      <w:tr w:rsidR="006258EE" w:rsidRPr="006258EE" w14:paraId="583DBED5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24CF2D1C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Volatility</w:t>
            </w:r>
          </w:p>
        </w:tc>
        <w:tc>
          <w:tcPr>
            <w:tcW w:w="1479" w:type="dxa"/>
            <w:noWrap/>
            <w:hideMark/>
          </w:tcPr>
          <w:p w14:paraId="3B025414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0.0159</w:t>
            </w:r>
          </w:p>
        </w:tc>
        <w:tc>
          <w:tcPr>
            <w:tcW w:w="3615" w:type="dxa"/>
            <w:hideMark/>
          </w:tcPr>
          <w:p w14:paraId="636052FD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Yahoo! Finance</w:t>
            </w:r>
          </w:p>
        </w:tc>
        <w:tc>
          <w:tcPr>
            <w:tcW w:w="2144" w:type="dxa"/>
            <w:noWrap/>
            <w:hideMark/>
          </w:tcPr>
          <w:p w14:paraId="015C97F2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4/30/26</w:t>
            </w:r>
          </w:p>
        </w:tc>
      </w:tr>
      <w:tr w:rsidR="006258EE" w:rsidRPr="006258EE" w14:paraId="016AE407" w14:textId="77777777" w:rsidTr="006258EE">
        <w:trPr>
          <w:trHeight w:val="681"/>
        </w:trPr>
        <w:tc>
          <w:tcPr>
            <w:tcW w:w="2144" w:type="dxa"/>
            <w:noWrap/>
            <w:hideMark/>
          </w:tcPr>
          <w:p w14:paraId="53CED9C1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Accruals</w:t>
            </w:r>
          </w:p>
        </w:tc>
        <w:tc>
          <w:tcPr>
            <w:tcW w:w="1479" w:type="dxa"/>
            <w:noWrap/>
            <w:hideMark/>
          </w:tcPr>
          <w:p w14:paraId="4184A764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-0.0189</w:t>
            </w:r>
          </w:p>
        </w:tc>
        <w:tc>
          <w:tcPr>
            <w:tcW w:w="3615" w:type="dxa"/>
            <w:hideMark/>
          </w:tcPr>
          <w:p w14:paraId="19167ED9" w14:textId="77777777" w:rsidR="006258EE" w:rsidRPr="006258EE" w:rsidRDefault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10K for the fiscal year ending 12/31/25</w:t>
            </w:r>
          </w:p>
        </w:tc>
        <w:tc>
          <w:tcPr>
            <w:tcW w:w="2144" w:type="dxa"/>
            <w:noWrap/>
            <w:hideMark/>
          </w:tcPr>
          <w:p w14:paraId="0F0D044E" w14:textId="77777777" w:rsidR="006258EE" w:rsidRPr="006258EE" w:rsidRDefault="006258EE" w:rsidP="006258EE">
            <w:pPr>
              <w:rPr>
                <w:rFonts w:ascii="Times New Roman" w:hAnsi="Times New Roman" w:cs="Times New Roman"/>
              </w:rPr>
            </w:pPr>
            <w:r w:rsidRPr="006258EE">
              <w:rPr>
                <w:rFonts w:ascii="Times New Roman" w:hAnsi="Times New Roman" w:cs="Times New Roman"/>
              </w:rPr>
              <w:t>12/31/25</w:t>
            </w:r>
          </w:p>
        </w:tc>
      </w:tr>
    </w:tbl>
    <w:p w14:paraId="3B7C1BF0" w14:textId="77777777" w:rsidR="006258EE" w:rsidRDefault="006258EE">
      <w:pPr>
        <w:rPr>
          <w:rFonts w:ascii="Times New Roman" w:hAnsi="Times New Roman" w:cs="Times New Roman"/>
        </w:rPr>
      </w:pPr>
    </w:p>
    <w:p w14:paraId="6E683664" w14:textId="77777777" w:rsidR="001175DF" w:rsidRDefault="00A95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calculation of all signals </w:t>
      </w:r>
      <w:r w:rsidR="00B46CDF">
        <w:rPr>
          <w:rFonts w:ascii="Times New Roman" w:hAnsi="Times New Roman" w:cs="Times New Roman"/>
        </w:rPr>
        <w:t xml:space="preserve">for PFE were carried out according to the formulas in Part 1. However, two signals warrant additional explanation. </w:t>
      </w:r>
      <w:r w:rsidR="00B46CDF" w:rsidRPr="00B46CDF">
        <w:rPr>
          <w:rFonts w:ascii="Times New Roman" w:hAnsi="Times New Roman" w:cs="Times New Roman"/>
        </w:rPr>
        <w:t xml:space="preserve">For insider selling, all SEC Form 4 filings submitted by Pfizer Directors and relevant Officers (CEO, CFO, COO) during the trailing three-month window ending April 27, </w:t>
      </w:r>
      <w:proofErr w:type="gramStart"/>
      <w:r w:rsidR="00B46CDF" w:rsidRPr="00B46CDF">
        <w:rPr>
          <w:rFonts w:ascii="Times New Roman" w:hAnsi="Times New Roman" w:cs="Times New Roman"/>
        </w:rPr>
        <w:t>2026</w:t>
      </w:r>
      <w:proofErr w:type="gramEnd"/>
      <w:r w:rsidR="00B46CDF" w:rsidRPr="00B46CDF">
        <w:rPr>
          <w:rFonts w:ascii="Times New Roman" w:hAnsi="Times New Roman" w:cs="Times New Roman"/>
        </w:rPr>
        <w:t xml:space="preserve"> were reviewed. No open market purchase (code "P") or sale (code "S") transactions were identified in Table I of any filing</w:t>
      </w:r>
      <w:r w:rsidR="001175DF">
        <w:rPr>
          <w:rFonts w:ascii="Times New Roman" w:hAnsi="Times New Roman" w:cs="Times New Roman"/>
        </w:rPr>
        <w:t>. A</w:t>
      </w:r>
      <w:r w:rsidR="00B46CDF" w:rsidRPr="00B46CDF">
        <w:rPr>
          <w:rFonts w:ascii="Times New Roman" w:hAnsi="Times New Roman" w:cs="Times New Roman"/>
        </w:rPr>
        <w:t xml:space="preserve">ll entries consisted of routine compensation grants (code "A") and tax withholding on vesting (code "F"). Accordingly, the signal is set to zero per the assignment instructions. </w:t>
      </w:r>
    </w:p>
    <w:p w14:paraId="2E4E1803" w14:textId="6D3B7237" w:rsidR="006258EE" w:rsidRPr="006258EE" w:rsidRDefault="00332B77" w:rsidP="00332B77">
      <w:pPr>
        <w:rPr>
          <w:rFonts w:ascii="Times New Roman" w:hAnsi="Times New Roman" w:cs="Times New Roman"/>
        </w:rPr>
      </w:pPr>
      <w:r w:rsidRPr="00332B77">
        <w:rPr>
          <w:rFonts w:ascii="Times New Roman" w:hAnsi="Times New Roman" w:cs="Times New Roman"/>
        </w:rPr>
        <w:t>For external financing, no explicit proceeds from common stock issuance line item appeared in the financing activities section of the 10-K as of 12/31/2025. Per Note 12, Pfizer did not repurchase any shares during any period presented. Net equity issuance was therefore set to zero, and external financing reflects net debt issuance only.</w:t>
      </w:r>
    </w:p>
    <w:sectPr w:rsidR="006258EE" w:rsidRPr="00625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EE"/>
    <w:rsid w:val="0005692B"/>
    <w:rsid w:val="001175DF"/>
    <w:rsid w:val="00332B77"/>
    <w:rsid w:val="004A0384"/>
    <w:rsid w:val="006258EE"/>
    <w:rsid w:val="009509F7"/>
    <w:rsid w:val="009B71F0"/>
    <w:rsid w:val="00A9512F"/>
    <w:rsid w:val="00B46CDF"/>
    <w:rsid w:val="00D60B58"/>
    <w:rsid w:val="00E8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47525"/>
  <w15:chartTrackingRefBased/>
  <w15:docId w15:val="{BC4ED9FF-E03D-8A46-931A-5B44C9DA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Park</dc:creator>
  <cp:keywords/>
  <dc:description/>
  <cp:lastModifiedBy>Charlotte Park</cp:lastModifiedBy>
  <cp:revision>6</cp:revision>
  <dcterms:created xsi:type="dcterms:W3CDTF">2026-04-30T20:59:00Z</dcterms:created>
  <dcterms:modified xsi:type="dcterms:W3CDTF">2026-04-30T21:10:00Z</dcterms:modified>
</cp:coreProperties>
</file>