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sz w:val="26"/>
        </w:rPr>
        <w:t>Part 2 Step B: Combined Signal Analysis</w:t>
      </w:r>
    </w:p>
    <w:p>
      <w:pPr>
        <w:spacing w:after="240"/>
      </w:pPr>
      <w:r>
        <w:rPr>
          <w:rFonts w:ascii="Calibri" w:hAnsi="Calibri"/>
          <w:b w:val="0"/>
          <w:i/>
          <w:sz w:val="21"/>
        </w:rPr>
        <w:t>Methodology Proposal</w:t>
      </w:r>
    </w:p>
    <w:p>
      <w:pPr>
        <w:spacing w:before="200" w:after="80"/>
      </w:pPr>
      <w:r>
        <w:rPr>
          <w:rFonts w:ascii="Calibri" w:hAnsi="Calibri"/>
          <w:b/>
          <w:i w:val="0"/>
          <w:sz w:val="24"/>
        </w:rPr>
        <w:t>Overview</w:t>
      </w:r>
    </w:p>
    <w:p>
      <w:pPr>
        <w:spacing w:line="276" w:lineRule="auto" w:before="0" w:after="160"/>
        <w:jc w:val="left"/>
      </w:pPr>
      <w:r>
        <w:rPr>
          <w:rFonts w:ascii="Calibri" w:hAnsi="Calibri"/>
          <w:b w:val="0"/>
          <w:i w:val="0"/>
          <w:sz w:val="22"/>
        </w:rPr>
        <w:t>The assignment requires a systematic combination of the ten Part 1 signals into a single composite score per firm, with the highest-scoring firm designated Buy, the middle Neutral, and the lowest Sell. Three inputs must be incorporated: the sign and magnitude of each Part 1 multivariate coefficient, the statistical reliability of each coefficient (its t-statistic), and the signal values calculated for Pfizer, Novo Nordisk, and Johnson &amp; Johnson in Step A. We propose two methods that each capture all three inputs and then run them in parallel as a robustness check on the recommendation.</w:t>
      </w:r>
    </w:p>
    <w:p>
      <w:pPr>
        <w:spacing w:before="200" w:after="80"/>
      </w:pPr>
      <w:r>
        <w:rPr>
          <w:rFonts w:ascii="Calibri" w:hAnsi="Calibri"/>
          <w:b/>
          <w:i w:val="0"/>
          <w:sz w:val="24"/>
        </w:rPr>
        <w:t>Method 1: Direction-aware rank sum</w:t>
      </w:r>
    </w:p>
    <w:p>
      <w:pPr>
        <w:spacing w:line="276" w:lineRule="auto" w:before="0" w:after="160"/>
        <w:jc w:val="left"/>
      </w:pPr>
      <w:r>
        <w:rPr>
          <w:rFonts w:ascii="Calibri" w:hAnsi="Calibri"/>
          <w:b w:val="0"/>
          <w:i w:val="0"/>
          <w:sz w:val="22"/>
        </w:rPr>
        <w:t>For each signal, the three firms are ranked from 1 (worst for return) to 3 (best for return). "Best for return" means the highest signal value if the Part 1 coefficient is positive, and the lowest signal value if the coefficient is negative. The composite score is the unweighted sum of the ten ranks. The firm with the highest sum is Buy, the lowest is Sell, and the middle is Neutral. This method captures sign through the direction of the ranking, magnitude through the rank order itself (since rank already orders firms by their relative signal strength), and signal reliability through the binary inclusion criterion: every signal in Part 1 cleared the 10 percent significance threshold and is therefore counted with equal weight.</w:t>
      </w:r>
    </w:p>
    <w:p>
      <w:pPr>
        <w:spacing w:before="200" w:after="80"/>
      </w:pPr>
      <w:r>
        <w:rPr>
          <w:rFonts w:ascii="Calibri" w:hAnsi="Calibri"/>
          <w:b/>
          <w:i w:val="0"/>
          <w:sz w:val="24"/>
        </w:rPr>
        <w:t>Method 2: t-statistic-weighted rank sum</w:t>
      </w:r>
    </w:p>
    <w:p>
      <w:pPr>
        <w:spacing w:line="276" w:lineRule="auto" w:before="0" w:after="160"/>
        <w:jc w:val="left"/>
      </w:pPr>
      <w:r>
        <w:rPr>
          <w:rFonts w:ascii="Calibri" w:hAnsi="Calibri"/>
          <w:b w:val="0"/>
          <w:i w:val="0"/>
          <w:sz w:val="22"/>
        </w:rPr>
        <w:t>Same direction-aware ranking as Method 1, but each rank is weighted by the absolute value of the Part 1 multivariate t-statistic before summing. This puts proportionally more weight on the four signals the Part 1 Sharpe analysis flagged as the strongest predictors (Insider Selling at |t|=7.33, Volatility at 6.18, Momentum at 6.14, and Earnings Surprise at 5.94) and proportionally less on F-Score, Book-To-Market, SUE, and Gross Profitability, which are significant but less powerful. This method captures the same three inputs as Method 1 but uses t-stat weights rather than equal weights to translate the strength of evidence from Part 1 into the composite.</w:t>
      </w:r>
    </w:p>
    <w:p>
      <w:pPr>
        <w:spacing w:before="200" w:after="80"/>
      </w:pPr>
      <w:r>
        <w:rPr>
          <w:rFonts w:ascii="Calibri" w:hAnsi="Calibri"/>
          <w:b/>
          <w:i w:val="0"/>
          <w:sz w:val="24"/>
        </w:rPr>
        <w:t>Why two methods</w:t>
      </w:r>
    </w:p>
    <w:p>
      <w:pPr>
        <w:spacing w:line="276" w:lineRule="auto" w:before="0" w:after="160"/>
        <w:jc w:val="left"/>
      </w:pPr>
      <w:r>
        <w:rPr>
          <w:rFonts w:ascii="Calibri" w:hAnsi="Calibri"/>
          <w:b w:val="0"/>
          <w:i w:val="0"/>
          <w:sz w:val="22"/>
        </w:rPr>
        <w:t>Method 1 is the simple ranking approach the assignment hints at. Method 2 is the more sophisticated version that uses Part 1's t-statistics as an explicit weighting scheme. Running both and reporting the result is a transparent way to show that the recommendation does not depend on an arbitrary choice of weighting. If the two methods disagree, that itself is informative and would warrant a discussion of which weighting better fits the team's investment philosophy. If they agree, the recommendation is robust.</w:t>
      </w:r>
    </w:p>
    <w:p>
      <w:pPr>
        <w:spacing w:before="200" w:after="80"/>
      </w:pPr>
      <w:r>
        <w:rPr>
          <w:rFonts w:ascii="Calibri" w:hAnsi="Calibri"/>
          <w:b/>
          <w:i w:val="0"/>
          <w:sz w:val="24"/>
        </w:rPr>
        <w:t>Pre-computed result</w:t>
      </w:r>
    </w:p>
    <w:p>
      <w:pPr>
        <w:spacing w:line="276" w:lineRule="auto" w:before="0" w:after="80"/>
        <w:jc w:val="left"/>
      </w:pPr>
      <w:r>
        <w:rPr>
          <w:rFonts w:ascii="Calibri" w:hAnsi="Calibri"/>
          <w:b w:val="0"/>
          <w:i w:val="0"/>
          <w:sz w:val="22"/>
        </w:rPr>
        <w:t>Direction-aware ranks across the three firms, computed from the Step A signal tables and the Part 1 multivariate coefficients. Rank 3 is best for predicted return.</w:t>
      </w:r>
    </w:p>
    <w:tbl>
      <w:tblPr>
        <w:tblW w:type="auto" w:w="0"/>
        <w:jc w:val="left"/>
        <w:tblLayout w:type="fixed"/>
        <w:tblLook w:firstColumn="1" w:firstRow="1" w:lastColumn="0" w:lastRow="0" w:noHBand="0" w:noVBand="1" w:val="04A0"/>
      </w:tblPr>
      <w:tblGrid>
        <w:gridCol w:w="2448"/>
        <w:gridCol w:w="864"/>
        <w:gridCol w:w="1008"/>
        <w:gridCol w:w="1008"/>
        <w:gridCol w:w="1008"/>
        <w:gridCol w:w="1008"/>
      </w:tblGrid>
      <w:tr>
        <w:tc>
          <w:tcPr>
            <w:tcW w:type="dxa" w:w="2448"/>
            <w:vAlign w:val="center"/>
            <w:tcBorders>
              <w:top w:val="single" w:sz="8" w:color="000000"/>
              <w:left w:val="nil"/>
              <w:bottom w:val="single" w:sz="8" w:color="000000"/>
              <w:right w:val="nil"/>
            </w:tcBorders>
            <w:tcMar>
              <w:top w:w="80" w:type="dxa"/>
              <w:left w:w="120" w:type="dxa"/>
              <w:bottom w:w="80" w:type="dxa"/>
              <w:right w:w="120" w:type="dxa"/>
            </w:tcMar>
          </w:tcPr>
          <w:p>
            <w:pPr>
              <w:jc w:val="left"/>
            </w:pPr>
            <w:r/>
            <w:r>
              <w:rPr>
                <w:rFonts w:ascii="Calibri" w:hAnsi="Calibri"/>
                <w:b/>
                <w:i w:val="0"/>
                <w:sz w:val="21"/>
              </w:rPr>
              <w:t>Signal</w:t>
            </w:r>
          </w:p>
        </w:tc>
        <w:tc>
          <w:tcPr>
            <w:tcW w:type="dxa" w:w="864"/>
            <w:vAlign w:val="center"/>
            <w:tcBorders>
              <w:top w:val="single" w:sz="8" w:color="000000"/>
              <w:left w:val="nil"/>
              <w:bottom w:val="single" w:sz="8" w:color="000000"/>
              <w:right w:val="nil"/>
            </w:tcBorders>
            <w:tcMar>
              <w:top w:w="80" w:type="dxa"/>
              <w:left w:w="120" w:type="dxa"/>
              <w:bottom w:w="80" w:type="dxa"/>
              <w:right w:w="120" w:type="dxa"/>
            </w:tcMar>
          </w:tcPr>
          <w:p>
            <w:pPr>
              <w:jc w:val="left"/>
            </w:pPr>
            <w:r/>
            <w:r>
              <w:rPr>
                <w:rFonts w:ascii="Calibri" w:hAnsi="Calibri"/>
                <w:b/>
                <w:i w:val="0"/>
                <w:sz w:val="21"/>
              </w:rPr>
              <w:t>β sign</w:t>
            </w:r>
          </w:p>
        </w:tc>
        <w:tc>
          <w:tcPr>
            <w:tcW w:type="dxa" w:w="1008"/>
            <w:vAlign w:val="center"/>
            <w:tcBorders>
              <w:top w:val="single" w:sz="8" w:color="000000"/>
              <w:left w:val="nil"/>
              <w:bottom w:val="single" w:sz="8" w:color="000000"/>
              <w:right w:val="nil"/>
            </w:tcBorders>
            <w:tcMar>
              <w:top w:w="80" w:type="dxa"/>
              <w:left w:w="120" w:type="dxa"/>
              <w:bottom w:w="80" w:type="dxa"/>
              <w:right w:w="120" w:type="dxa"/>
            </w:tcMar>
          </w:tcPr>
          <w:p>
            <w:pPr>
              <w:jc w:val="right"/>
            </w:pPr>
            <w:r/>
            <w:r>
              <w:rPr>
                <w:rFonts w:ascii="Calibri" w:hAnsi="Calibri"/>
                <w:b/>
                <w:i w:val="0"/>
                <w:sz w:val="21"/>
              </w:rPr>
              <w:t>PFE</w:t>
            </w:r>
          </w:p>
        </w:tc>
        <w:tc>
          <w:tcPr>
            <w:tcW w:type="dxa" w:w="1008"/>
            <w:vAlign w:val="center"/>
            <w:tcBorders>
              <w:top w:val="single" w:sz="8" w:color="000000"/>
              <w:left w:val="nil"/>
              <w:bottom w:val="single" w:sz="8" w:color="000000"/>
              <w:right w:val="nil"/>
            </w:tcBorders>
            <w:tcMar>
              <w:top w:w="80" w:type="dxa"/>
              <w:left w:w="120" w:type="dxa"/>
              <w:bottom w:w="80" w:type="dxa"/>
              <w:right w:w="120" w:type="dxa"/>
            </w:tcMar>
          </w:tcPr>
          <w:p>
            <w:pPr>
              <w:jc w:val="right"/>
            </w:pPr>
            <w:r/>
            <w:r>
              <w:rPr>
                <w:rFonts w:ascii="Calibri" w:hAnsi="Calibri"/>
                <w:b/>
                <w:i w:val="0"/>
                <w:sz w:val="21"/>
              </w:rPr>
              <w:t>NVO</w:t>
            </w:r>
          </w:p>
        </w:tc>
        <w:tc>
          <w:tcPr>
            <w:tcW w:type="dxa" w:w="1008"/>
            <w:vAlign w:val="center"/>
            <w:tcBorders>
              <w:top w:val="single" w:sz="8" w:color="000000"/>
              <w:left w:val="nil"/>
              <w:bottom w:val="single" w:sz="8" w:color="000000"/>
              <w:right w:val="nil"/>
            </w:tcBorders>
            <w:tcMar>
              <w:top w:w="80" w:type="dxa"/>
              <w:left w:w="120" w:type="dxa"/>
              <w:bottom w:w="80" w:type="dxa"/>
              <w:right w:w="120" w:type="dxa"/>
            </w:tcMar>
          </w:tcPr>
          <w:p>
            <w:pPr>
              <w:jc w:val="right"/>
            </w:pPr>
            <w:r/>
            <w:r>
              <w:rPr>
                <w:rFonts w:ascii="Calibri" w:hAnsi="Calibri"/>
                <w:b/>
                <w:i w:val="0"/>
                <w:sz w:val="21"/>
              </w:rPr>
              <w:t>JNJ</w:t>
            </w:r>
          </w:p>
        </w:tc>
        <w:tc>
          <w:tcPr>
            <w:tcW w:type="dxa" w:w="1008"/>
            <w:vAlign w:val="center"/>
            <w:tcBorders>
              <w:top w:val="single" w:sz="8" w:color="000000"/>
              <w:left w:val="nil"/>
              <w:bottom w:val="single" w:sz="8" w:color="000000"/>
              <w:right w:val="nil"/>
            </w:tcBorders>
            <w:tcMar>
              <w:top w:w="80" w:type="dxa"/>
              <w:left w:w="120" w:type="dxa"/>
              <w:bottom w:w="80" w:type="dxa"/>
              <w:right w:w="120" w:type="dxa"/>
            </w:tcMar>
          </w:tcPr>
          <w:p>
            <w:pPr>
              <w:jc w:val="right"/>
            </w:pPr>
            <w:r/>
            <w:r>
              <w:rPr>
                <w:rFonts w:ascii="Calibri" w:hAnsi="Calibri"/>
                <w:b/>
                <w:i w:val="0"/>
                <w:sz w:val="21"/>
              </w:rPr>
              <w:t>|t|</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Insider Selling</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2.5</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2.5</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7.33</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Volatility</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6.18</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Momentum</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6.14</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Earnings Surprise</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5.94</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External Financing</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5.56</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Accruals</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4.55</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Gross Profitability</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2.78</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SUE</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2.57</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Book-To-Market</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3</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2.42</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F-Score</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2.5</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2.5</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2.11</w:t>
            </w:r>
          </w:p>
        </w:tc>
      </w:tr>
      <w:tr>
        <w:tc>
          <w:tcPr>
            <w:tcW w:type="dxa" w:w="2448"/>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t>Method 1 sum</w:t>
            </w:r>
          </w:p>
        </w:tc>
        <w:tc>
          <w:tcPr>
            <w:tcW w:type="dxa" w:w="864"/>
            <w:tcBorders>
              <w:top w:val="single" w:sz="4" w:color="7F7F7F"/>
              <w:left w:val="nil"/>
              <w:bottom w:val="single" w:sz="4" w:color="7F7F7F"/>
              <w:right w:val="nil"/>
            </w:tcBorders>
            <w:tcMar>
              <w:top w:w="70" w:type="dxa"/>
              <w:left w:w="120" w:type="dxa"/>
              <w:bottom w:w="70" w:type="dxa"/>
              <w:right w:w="120" w:type="dxa"/>
            </w:tcMar>
            <w:vAlign w:val="center"/>
          </w:tcPr>
          <w:p>
            <w:pPr>
              <w:jc w:val="left"/>
            </w:pPr>
            <w:r/>
            <w:r>
              <w:rPr>
                <w:rFonts w:ascii="Calibri" w:hAnsi="Calibri"/>
                <w:b w:val="0"/>
                <w:i w:val="0"/>
                <w:sz w:val="21"/>
              </w:rPr>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20.0</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16.5</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t>23.5</w:t>
            </w:r>
          </w:p>
        </w:tc>
        <w:tc>
          <w:tcPr>
            <w:tcW w:type="dxa" w:w="1008"/>
            <w:tcBorders>
              <w:top w:val="single" w:sz="4" w:color="7F7F7F"/>
              <w:left w:val="nil"/>
              <w:bottom w:val="single" w:sz="4" w:color="7F7F7F"/>
              <w:right w:val="nil"/>
            </w:tcBorders>
            <w:tcMar>
              <w:top w:w="70" w:type="dxa"/>
              <w:left w:w="120" w:type="dxa"/>
              <w:bottom w:w="70" w:type="dxa"/>
              <w:right w:w="120" w:type="dxa"/>
            </w:tcMar>
            <w:vAlign w:val="center"/>
          </w:tcPr>
          <w:p>
            <w:pPr>
              <w:jc w:val="right"/>
            </w:pPr>
            <w:r/>
            <w:r>
              <w:rPr>
                <w:rFonts w:ascii="Calibri" w:hAnsi="Calibri"/>
                <w:b w:val="0"/>
                <w:i w:val="0"/>
                <w:sz w:val="21"/>
              </w:rPr>
            </w:r>
          </w:p>
        </w:tc>
      </w:tr>
      <w:tr>
        <w:tc>
          <w:tcPr>
            <w:tcW w:type="dxa" w:w="2448"/>
            <w:tcMar>
              <w:top w:w="70" w:type="dxa"/>
              <w:left w:w="120" w:type="dxa"/>
              <w:bottom w:w="70" w:type="dxa"/>
              <w:right w:w="120" w:type="dxa"/>
            </w:tcMar>
            <w:vAlign w:val="center"/>
            <w:tcBorders>
              <w:top w:val="single" w:sz="4" w:color="7F7F7F"/>
              <w:left w:val="nil"/>
              <w:bottom w:val="single" w:sz="8" w:color="000000"/>
              <w:right w:val="nil"/>
            </w:tcBorders>
          </w:tcPr>
          <w:p>
            <w:pPr>
              <w:jc w:val="left"/>
            </w:pPr>
            <w:r/>
            <w:r>
              <w:rPr>
                <w:rFonts w:ascii="Calibri" w:hAnsi="Calibri"/>
                <w:b/>
                <w:i w:val="0"/>
                <w:sz w:val="21"/>
              </w:rPr>
              <w:t>Method 2 t-weighted</w:t>
            </w:r>
          </w:p>
        </w:tc>
        <w:tc>
          <w:tcPr>
            <w:tcW w:type="dxa" w:w="864"/>
            <w:tcMar>
              <w:top w:w="70" w:type="dxa"/>
              <w:left w:w="120" w:type="dxa"/>
              <w:bottom w:w="70" w:type="dxa"/>
              <w:right w:w="120" w:type="dxa"/>
            </w:tcMar>
            <w:vAlign w:val="center"/>
            <w:tcBorders>
              <w:top w:val="single" w:sz="4" w:color="7F7F7F"/>
              <w:left w:val="nil"/>
              <w:bottom w:val="single" w:sz="8" w:color="000000"/>
              <w:right w:val="nil"/>
            </w:tcBorders>
          </w:tcPr>
          <w:p>
            <w:pPr>
              <w:jc w:val="left"/>
            </w:pPr>
            <w:r/>
            <w:r>
              <w:rPr>
                <w:rFonts w:ascii="Calibri" w:hAnsi="Calibri"/>
                <w:b/>
                <w:i w:val="0"/>
                <w:sz w:val="21"/>
              </w:rPr>
            </w:r>
          </w:p>
        </w:tc>
        <w:tc>
          <w:tcPr>
            <w:tcW w:type="dxa" w:w="1008"/>
            <w:tcMar>
              <w:top w:w="70" w:type="dxa"/>
              <w:left w:w="120" w:type="dxa"/>
              <w:bottom w:w="70" w:type="dxa"/>
              <w:right w:w="120" w:type="dxa"/>
            </w:tcMar>
            <w:vAlign w:val="center"/>
            <w:tcBorders>
              <w:top w:val="single" w:sz="4" w:color="7F7F7F"/>
              <w:left w:val="nil"/>
              <w:bottom w:val="single" w:sz="8" w:color="000000"/>
              <w:right w:val="nil"/>
            </w:tcBorders>
          </w:tcPr>
          <w:p>
            <w:pPr>
              <w:jc w:val="right"/>
            </w:pPr>
            <w:r/>
            <w:r>
              <w:rPr>
                <w:rFonts w:ascii="Calibri" w:hAnsi="Calibri"/>
                <w:b/>
                <w:i w:val="0"/>
                <w:sz w:val="21"/>
              </w:rPr>
              <w:t>92.6</w:t>
            </w:r>
          </w:p>
        </w:tc>
        <w:tc>
          <w:tcPr>
            <w:tcW w:type="dxa" w:w="1008"/>
            <w:tcMar>
              <w:top w:w="70" w:type="dxa"/>
              <w:left w:w="120" w:type="dxa"/>
              <w:bottom w:w="70" w:type="dxa"/>
              <w:right w:w="120" w:type="dxa"/>
            </w:tcMar>
            <w:vAlign w:val="center"/>
            <w:tcBorders>
              <w:top w:val="single" w:sz="4" w:color="7F7F7F"/>
              <w:left w:val="nil"/>
              <w:bottom w:val="single" w:sz="8" w:color="000000"/>
              <w:right w:val="nil"/>
            </w:tcBorders>
          </w:tcPr>
          <w:p>
            <w:pPr>
              <w:jc w:val="right"/>
            </w:pPr>
            <w:r/>
            <w:r>
              <w:rPr>
                <w:rFonts w:ascii="Calibri" w:hAnsi="Calibri"/>
                <w:b/>
                <w:i w:val="0"/>
                <w:sz w:val="21"/>
              </w:rPr>
              <w:t>65.2</w:t>
            </w:r>
          </w:p>
        </w:tc>
        <w:tc>
          <w:tcPr>
            <w:tcW w:type="dxa" w:w="1008"/>
            <w:tcMar>
              <w:top w:w="70" w:type="dxa"/>
              <w:left w:w="120" w:type="dxa"/>
              <w:bottom w:w="70" w:type="dxa"/>
              <w:right w:w="120" w:type="dxa"/>
            </w:tcMar>
            <w:vAlign w:val="center"/>
            <w:tcBorders>
              <w:top w:val="single" w:sz="4" w:color="7F7F7F"/>
              <w:left w:val="nil"/>
              <w:bottom w:val="single" w:sz="8" w:color="000000"/>
              <w:right w:val="nil"/>
            </w:tcBorders>
          </w:tcPr>
          <w:p>
            <w:pPr>
              <w:jc w:val="right"/>
            </w:pPr>
            <w:r/>
            <w:r>
              <w:rPr>
                <w:rFonts w:ascii="Calibri" w:hAnsi="Calibri"/>
                <w:b/>
                <w:i w:val="0"/>
                <w:sz w:val="21"/>
              </w:rPr>
              <w:t>115.7</w:t>
            </w:r>
          </w:p>
        </w:tc>
        <w:tc>
          <w:tcPr>
            <w:tcW w:type="dxa" w:w="1008"/>
            <w:tcMar>
              <w:top w:w="70" w:type="dxa"/>
              <w:left w:w="120" w:type="dxa"/>
              <w:bottom w:w="70" w:type="dxa"/>
              <w:right w:w="120" w:type="dxa"/>
            </w:tcMar>
            <w:vAlign w:val="center"/>
            <w:tcBorders>
              <w:top w:val="single" w:sz="4" w:color="7F7F7F"/>
              <w:left w:val="nil"/>
              <w:bottom w:val="single" w:sz="8" w:color="000000"/>
              <w:right w:val="nil"/>
            </w:tcBorders>
          </w:tcPr>
          <w:p>
            <w:pPr>
              <w:jc w:val="right"/>
            </w:pPr>
            <w:r/>
            <w:r>
              <w:rPr>
                <w:rFonts w:ascii="Calibri" w:hAnsi="Calibri"/>
                <w:b/>
                <w:i w:val="0"/>
                <w:sz w:val="21"/>
              </w:rPr>
            </w:r>
          </w:p>
        </w:tc>
      </w:tr>
    </w:tbl>
    <w:p>
      <w:pPr>
        <w:spacing w:line="276" w:lineRule="auto" w:before="0" w:after="160"/>
        <w:jc w:val="left"/>
      </w:pPr>
    </w:p>
    <w:p>
      <w:pPr>
        <w:spacing w:line="276" w:lineRule="auto" w:before="0" w:after="160"/>
        <w:jc w:val="left"/>
      </w:pPr>
      <w:r>
        <w:rPr>
          <w:rFonts w:ascii="Calibri" w:hAnsi="Calibri"/>
          <w:b w:val="0"/>
          <w:i w:val="0"/>
          <w:sz w:val="22"/>
        </w:rPr>
        <w:t>Both methods agree. The forced recommendation is Buy Johnson &amp; Johnson, Neutral Pfizer, Sell Novo Nordisk. The drivers behind the result are concentrated in the highest-|t| signals: Johnson &amp; Johnson has the strongest Momentum (+0.3517), the lowest Volatility (0.0106), and the only positive Earnings Surprise and SUE values, while Novo Nordisk has the worst Momentum (−0.6085), the highest Volatility (0.0333), and a positive External Financing reading driven by the Akero Therapeutics acquisition. Pfizer sits between the two, with a depressed valuation that helps on Book-To-Market but negative momentum and earnings prints.</w:t>
      </w:r>
    </w:p>
    <w:p>
      <w:pPr>
        <w:spacing w:before="200" w:after="80"/>
      </w:pPr>
      <w:r>
        <w:rPr>
          <w:rFonts w:ascii="Calibri" w:hAnsi="Calibri"/>
          <w:b/>
          <w:i w:val="0"/>
          <w:sz w:val="24"/>
        </w:rPr>
        <w:t>Sensitivity and caveats</w:t>
      </w:r>
    </w:p>
    <w:p>
      <w:pPr>
        <w:spacing w:line="276" w:lineRule="auto" w:before="0" w:after="160"/>
        <w:jc w:val="left"/>
      </w:pPr>
      <w:r>
        <w:rPr>
          <w:rFonts w:ascii="Calibri" w:hAnsi="Calibri"/>
          <w:b w:val="0"/>
          <w:i w:val="0"/>
          <w:sz w:val="22"/>
        </w:rPr>
        <w:t>Three sensitivities to flag in the final write-up. First, both composite methods agree on the Buy / Neutral / Sell ordering, so the call is not driven by the choice of weighting. Second, the Johnson &amp; Johnson F-Score of 3 is mechanically inflated by FY 2024 net income being depressed by approximately 7 billion dollars in talc litigation charges; on a normalized basis the F-Score would be closer to Pfizer's 5 and Novo Nordisk's 5, which would not change the ordering. Third, the Pfizer and Novo Nordisk Insider Selling values are essentially zero (Pfizer exactly zero, Novo Nordisk 0.0000060) and tied at rank 2.5; ranking them as a tie is the most defensible treatment because the difference is far below any reasonable measurement precision.</w:t>
      </w:r>
    </w:p>
    <w:p>
      <w:pPr>
        <w:spacing w:before="200" w:after="80"/>
      </w:pPr>
      <w:r>
        <w:rPr>
          <w:rFonts w:ascii="Calibri" w:hAnsi="Calibri"/>
          <w:b/>
          <w:i w:val="0"/>
          <w:sz w:val="24"/>
        </w:rPr>
        <w:t>Open items before locking the methodology</w:t>
      </w:r>
    </w:p>
    <w:p>
      <w:pPr>
        <w:spacing w:line="276" w:lineRule="auto" w:before="0" w:after="160"/>
        <w:jc w:val="left"/>
      </w:pPr>
      <w:r>
        <w:rPr>
          <w:rFonts w:ascii="Calibri" w:hAnsi="Calibri"/>
          <w:b w:val="0"/>
          <w:i w:val="0"/>
          <w:sz w:val="22"/>
        </w:rPr>
        <w:t>The methodology above assumes that the team accepts equal-weight (Method 1) and t-stat-weighted (Method 2) as the two reported variants. If the team prefers a different aggregation (for example, z-score standardization across the three firms multiplied by the Part 1 betas to produce a predicted-return number rather than a rank score), the implementation can be swapped without changing the data inputs. The Sharpe-ratio weighting hinted at in Part 1 is another viable alternative; we would expect it to give the same Buy / Neutral / Sell ordering given how strongly the highest-Sharpe signals favor Johnson &amp; Johnson over Novo Nordisk in this cross section.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