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022891" w14:textId="77777777" w:rsidR="00790DFD" w:rsidRPr="00790DFD" w:rsidRDefault="00790DFD" w:rsidP="00790DFD">
      <w:pPr>
        <w:spacing w:before="100" w:beforeAutospacing="1" w:after="100" w:afterAutospacing="1" w:line="240" w:lineRule="auto"/>
        <w:jc w:val="both"/>
        <w:outlineLvl w:val="0"/>
        <w:rPr>
          <w:rFonts w:ascii="Times New Roman" w:eastAsia="Times New Roman" w:hAnsi="Times New Roman" w:cs="Times New Roman"/>
          <w:b/>
          <w:bCs/>
          <w:kern w:val="36"/>
          <w:sz w:val="42"/>
          <w:szCs w:val="42"/>
          <w:lang w:eastAsia="en-GB"/>
          <w14:ligatures w14:val="none"/>
        </w:rPr>
      </w:pPr>
      <w:r w:rsidRPr="00790DFD">
        <w:rPr>
          <w:rFonts w:ascii="Times New Roman" w:eastAsia="Times New Roman" w:hAnsi="Times New Roman" w:cs="Times New Roman"/>
          <w:b/>
          <w:bCs/>
          <w:kern w:val="36"/>
          <w:sz w:val="42"/>
          <w:szCs w:val="42"/>
          <w:lang w:eastAsia="en-GB"/>
          <w14:ligatures w14:val="none"/>
        </w:rPr>
        <w:t>FAQs — Insights &amp; Resources | Astronis Global</w:t>
      </w:r>
    </w:p>
    <w:p w14:paraId="6EB78A6F" w14:textId="77777777" w:rsidR="00790DFD" w:rsidRDefault="00790DFD" w:rsidP="00790DFD">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p>
    <w:p w14:paraId="03A02B22" w14:textId="1CD6924E"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 What is the Astronis Global Insights &amp; Resources Centre?</w:t>
      </w:r>
    </w:p>
    <w:p w14:paraId="32A37039"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The Insights &amp; Resources Centre is Astronis </w:t>
      </w:r>
      <w:proofErr w:type="spellStart"/>
      <w:r w:rsidRPr="00790DFD">
        <w:rPr>
          <w:rFonts w:ascii="Times New Roman" w:eastAsia="Times New Roman" w:hAnsi="Times New Roman" w:cs="Times New Roman"/>
          <w:kern w:val="0"/>
          <w:lang w:eastAsia="en-GB"/>
          <w14:ligatures w14:val="none"/>
        </w:rPr>
        <w:t>Global’s</w:t>
      </w:r>
      <w:proofErr w:type="spellEnd"/>
      <w:r w:rsidRPr="00790DFD">
        <w:rPr>
          <w:rFonts w:ascii="Times New Roman" w:eastAsia="Times New Roman" w:hAnsi="Times New Roman" w:cs="Times New Roman"/>
          <w:kern w:val="0"/>
          <w:lang w:eastAsia="en-GB"/>
          <w14:ligatures w14:val="none"/>
        </w:rPr>
        <w:t xml:space="preserve"> knowledge platform for legal, regulatory, corporate and business developments. It brings together regulatory updates, legal developments, government notifications, research, compliance resources, case studies, practical guides and other professional content relevant to businesses, institutions, professionals and entrepreneurs.</w:t>
      </w:r>
    </w:p>
    <w:p w14:paraId="43150F60"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2. What type of content is available under Insights &amp; Resources?</w:t>
      </w:r>
    </w:p>
    <w:p w14:paraId="19FBB975"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The section may include </w:t>
      </w:r>
      <w:r w:rsidRPr="00790DFD">
        <w:rPr>
          <w:rFonts w:ascii="Times New Roman" w:eastAsia="Times New Roman" w:hAnsi="Times New Roman" w:cs="Times New Roman"/>
          <w:b/>
          <w:bCs/>
          <w:kern w:val="0"/>
          <w:lang w:eastAsia="en-GB"/>
          <w14:ligatures w14:val="none"/>
        </w:rPr>
        <w:t>Regulatory Updates, Legal Updates, Business Updates, Government Notifications, RBI Circulars, SEBI Updates, MCA Updates, GST Updates, Start-up &amp; MSME Updates, Compliance Calendars, White Papers, Research Reports, Case Studies, Success Stories, Guides, FAQs and downloadable resources</w:t>
      </w:r>
      <w:r w:rsidRPr="00790DFD">
        <w:rPr>
          <w:rFonts w:ascii="Times New Roman" w:eastAsia="Times New Roman" w:hAnsi="Times New Roman" w:cs="Times New Roman"/>
          <w:kern w:val="0"/>
          <w:lang w:eastAsia="en-GB"/>
          <w14:ligatures w14:val="none"/>
        </w:rPr>
        <w:t>.</w:t>
      </w:r>
    </w:p>
    <w:p w14:paraId="69068056"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3. How frequently are regulatory and legal updates published?</w:t>
      </w:r>
    </w:p>
    <w:p w14:paraId="39766458"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Updates may be published whenever there is a material legal, regulatory, judicial or policy development. Astronis Global may also publish periodic analyses, compliance updates and sector-specific summaries depending upon the significance of the development.</w:t>
      </w:r>
    </w:p>
    <w:p w14:paraId="0DF45C8A"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4. Which regulators and authorities are covered?</w:t>
      </w:r>
    </w:p>
    <w:p w14:paraId="728EC211"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Coverage may include developments from the </w:t>
      </w:r>
      <w:r w:rsidRPr="00790DFD">
        <w:rPr>
          <w:rFonts w:ascii="Times New Roman" w:eastAsia="Times New Roman" w:hAnsi="Times New Roman" w:cs="Times New Roman"/>
          <w:b/>
          <w:bCs/>
          <w:kern w:val="0"/>
          <w:lang w:eastAsia="en-GB"/>
          <w14:ligatures w14:val="none"/>
        </w:rPr>
        <w:t>MCA, RBI, SEBI, IFSCA, GST authorities, DPIIT, MSME authorities and other Central and State Government departments, ministries and sector-specific regulators</w:t>
      </w:r>
      <w:r w:rsidRPr="00790DFD">
        <w:rPr>
          <w:rFonts w:ascii="Times New Roman" w:eastAsia="Times New Roman" w:hAnsi="Times New Roman" w:cs="Times New Roman"/>
          <w:kern w:val="0"/>
          <w:lang w:eastAsia="en-GB"/>
          <w14:ligatures w14:val="none"/>
        </w:rPr>
        <w:t>, depending upon the subject matter.</w:t>
      </w:r>
    </w:p>
    <w:p w14:paraId="69B7FF42"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5. Can I find important Government notifications and circulars here?</w:t>
      </w:r>
    </w:p>
    <w:p w14:paraId="52C87532"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Yes. The platform is intended to provide organised access to selected </w:t>
      </w:r>
      <w:r w:rsidRPr="00790DFD">
        <w:rPr>
          <w:rFonts w:ascii="Times New Roman" w:eastAsia="Times New Roman" w:hAnsi="Times New Roman" w:cs="Times New Roman"/>
          <w:b/>
          <w:bCs/>
          <w:kern w:val="0"/>
          <w:lang w:eastAsia="en-GB"/>
          <w14:ligatures w14:val="none"/>
        </w:rPr>
        <w:t>notifications, circulars, rules, amendments, directions, master directions, regulatory announcements and policy developments</w:t>
      </w:r>
      <w:r w:rsidRPr="00790DFD">
        <w:rPr>
          <w:rFonts w:ascii="Times New Roman" w:eastAsia="Times New Roman" w:hAnsi="Times New Roman" w:cs="Times New Roman"/>
          <w:kern w:val="0"/>
          <w:lang w:eastAsia="en-GB"/>
          <w14:ligatures w14:val="none"/>
        </w:rPr>
        <w:t xml:space="preserve"> issued by relevant Central and State authorities.</w:t>
      </w:r>
    </w:p>
    <w:p w14:paraId="6F44E06B"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6. Does Astronis Global explain the practical impact of regulatory changes?</w:t>
      </w:r>
    </w:p>
    <w:p w14:paraId="4062603B"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Yes. Wherever appropriate, an update should go beyond merely reporting a development and explain </w:t>
      </w:r>
      <w:r w:rsidRPr="00790DFD">
        <w:rPr>
          <w:rFonts w:ascii="Times New Roman" w:eastAsia="Times New Roman" w:hAnsi="Times New Roman" w:cs="Times New Roman"/>
          <w:b/>
          <w:bCs/>
          <w:kern w:val="0"/>
          <w:lang w:eastAsia="en-GB"/>
          <w14:ligatures w14:val="none"/>
        </w:rPr>
        <w:t>what has changed, who may be affected, the effective date, key compliance considerations, potential business impact and suggested action points</w:t>
      </w:r>
      <w:r w:rsidRPr="00790DFD">
        <w:rPr>
          <w:rFonts w:ascii="Times New Roman" w:eastAsia="Times New Roman" w:hAnsi="Times New Roman" w:cs="Times New Roman"/>
          <w:kern w:val="0"/>
          <w:lang w:eastAsia="en-GB"/>
          <w14:ligatures w14:val="none"/>
        </w:rPr>
        <w:t>.</w:t>
      </w:r>
    </w:p>
    <w:p w14:paraId="19129EEA"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7. What is the Compliance Calendar?</w:t>
      </w:r>
    </w:p>
    <w:p w14:paraId="7A672490"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The Compliance Calendar is intended to help businesses track important statutory and regulatory due dates. Separate calendars may be maintained for </w:t>
      </w:r>
      <w:r w:rsidRPr="00790DFD">
        <w:rPr>
          <w:rFonts w:ascii="Times New Roman" w:eastAsia="Times New Roman" w:hAnsi="Times New Roman" w:cs="Times New Roman"/>
          <w:b/>
          <w:bCs/>
          <w:kern w:val="0"/>
          <w:lang w:eastAsia="en-GB"/>
          <w14:ligatures w14:val="none"/>
        </w:rPr>
        <w:t xml:space="preserve">MCA/company law, GST </w:t>
      </w:r>
      <w:r w:rsidRPr="00790DFD">
        <w:rPr>
          <w:rFonts w:ascii="Times New Roman" w:eastAsia="Times New Roman" w:hAnsi="Times New Roman" w:cs="Times New Roman"/>
          <w:b/>
          <w:bCs/>
          <w:kern w:val="0"/>
          <w:lang w:eastAsia="en-GB"/>
          <w14:ligatures w14:val="none"/>
        </w:rPr>
        <w:lastRenderedPageBreak/>
        <w:t>and Income Tax</w:t>
      </w:r>
      <w:r w:rsidRPr="00790DFD">
        <w:rPr>
          <w:rFonts w:ascii="Times New Roman" w:eastAsia="Times New Roman" w:hAnsi="Times New Roman" w:cs="Times New Roman"/>
          <w:kern w:val="0"/>
          <w:lang w:eastAsia="en-GB"/>
          <w14:ligatures w14:val="none"/>
        </w:rPr>
        <w:t>, with additional regulatory calendars introduced for other practice areas where appropriate.</w:t>
      </w:r>
    </w:p>
    <w:p w14:paraId="61F292EF"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8. Can I rely on the Compliance Calendar as the final statutory due date?</w:t>
      </w:r>
    </w:p>
    <w:p w14:paraId="31FBC6F2"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The calendar is provided as a general information and planning resource. Due dates can change through notifications, extensions, judicial orders or regulatory directions. Users should verify the applicable requirement and obtain professional advice where necessary before acting upon a deadline.</w:t>
      </w:r>
    </w:p>
    <w:p w14:paraId="230C0FE0"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9. What are Astronis Global White Papers and Research Reports?</w:t>
      </w:r>
    </w:p>
    <w:p w14:paraId="20C9D5AD"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White Papers and Research Reports are longer-form publications examining significant legal, regulatory, industry and business issues. They may analyse regulatory frameworks, emerging risks, market developments, sector trends and their practical implications.</w:t>
      </w:r>
    </w:p>
    <w:p w14:paraId="7A170464"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10. What is available in the Knowledge Centre?</w:t>
      </w:r>
    </w:p>
    <w:p w14:paraId="60107985"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The Knowledge Centre is the practical resource library within the Astronis ecosystem. It may contain </w:t>
      </w:r>
      <w:r w:rsidRPr="00790DFD">
        <w:rPr>
          <w:rFonts w:ascii="Times New Roman" w:eastAsia="Times New Roman" w:hAnsi="Times New Roman" w:cs="Times New Roman"/>
          <w:b/>
          <w:bCs/>
          <w:kern w:val="0"/>
          <w:lang w:eastAsia="en-GB"/>
          <w14:ligatures w14:val="none"/>
        </w:rPr>
        <w:t>guides and toolkits, compliance checklists, FAQs and explainers, research materials, regulatory resources, downloadable documents and other reference materials</w:t>
      </w:r>
      <w:r w:rsidRPr="00790DFD">
        <w:rPr>
          <w:rFonts w:ascii="Times New Roman" w:eastAsia="Times New Roman" w:hAnsi="Times New Roman" w:cs="Times New Roman"/>
          <w:kern w:val="0"/>
          <w:lang w:eastAsia="en-GB"/>
          <w14:ligatures w14:val="none"/>
        </w:rPr>
        <w:t>.</w:t>
      </w:r>
    </w:p>
    <w:p w14:paraId="7312D3A2"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11. Can I download documents and templates from the website?</w:t>
      </w:r>
    </w:p>
    <w:p w14:paraId="344DD268"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Yes. The Downloads section may provide selected useful materials such as the </w:t>
      </w:r>
      <w:r w:rsidRPr="00790DFD">
        <w:rPr>
          <w:rFonts w:ascii="Times New Roman" w:eastAsia="Times New Roman" w:hAnsi="Times New Roman" w:cs="Times New Roman"/>
          <w:b/>
          <w:bCs/>
          <w:kern w:val="0"/>
          <w:lang w:eastAsia="en-GB"/>
          <w14:ligatures w14:val="none"/>
        </w:rPr>
        <w:t xml:space="preserve">Astronis Global profile, authority letter, </w:t>
      </w:r>
      <w:proofErr w:type="spellStart"/>
      <w:r w:rsidRPr="00790DFD">
        <w:rPr>
          <w:rFonts w:ascii="Times New Roman" w:eastAsia="Times New Roman" w:hAnsi="Times New Roman" w:cs="Times New Roman"/>
          <w:b/>
          <w:bCs/>
          <w:kern w:val="0"/>
          <w:lang w:eastAsia="en-GB"/>
          <w14:ligatures w14:val="none"/>
        </w:rPr>
        <w:t>Vakalatnama</w:t>
      </w:r>
      <w:proofErr w:type="spellEnd"/>
      <w:r w:rsidRPr="00790DFD">
        <w:rPr>
          <w:rFonts w:ascii="Times New Roman" w:eastAsia="Times New Roman" w:hAnsi="Times New Roman" w:cs="Times New Roman"/>
          <w:b/>
          <w:bCs/>
          <w:kern w:val="0"/>
          <w:lang w:eastAsia="en-GB"/>
          <w14:ligatures w14:val="none"/>
        </w:rPr>
        <w:t>, General Power of Attorney, Special Power of Attorney, client information forms, KYC checklists, board-resolution formats, compliance checklists and other approved resources</w:t>
      </w:r>
      <w:r w:rsidRPr="00790DFD">
        <w:rPr>
          <w:rFonts w:ascii="Times New Roman" w:eastAsia="Times New Roman" w:hAnsi="Times New Roman" w:cs="Times New Roman"/>
          <w:kern w:val="0"/>
          <w:lang w:eastAsia="en-GB"/>
          <w14:ligatures w14:val="none"/>
        </w:rPr>
        <w:t>. Users should review whether a template is appropriate for their particular circumstances before using it.</w:t>
      </w:r>
    </w:p>
    <w:p w14:paraId="288DB07B"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12. Are the legal forms and templates ready for direct execution?</w:t>
      </w:r>
    </w:p>
    <w:p w14:paraId="5EB82A36"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Not necessarily. Templates are general reference materials and may require modification according to the transaction, jurisdiction, parties and applicable law. Documents involving substantial rights or obligations should ordinarily be professionally reviewed before signing or filing.</w:t>
      </w:r>
    </w:p>
    <w:p w14:paraId="5A38370D"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13. What are Case Studies &amp; Success Stories?</w:t>
      </w:r>
    </w:p>
    <w:p w14:paraId="39A4DAF8"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Case Studies &amp; Success Stories illustrate selected challenges, advisory approaches and outcomes across Astronis </w:t>
      </w:r>
      <w:proofErr w:type="spellStart"/>
      <w:r w:rsidRPr="00790DFD">
        <w:rPr>
          <w:rFonts w:ascii="Times New Roman" w:eastAsia="Times New Roman" w:hAnsi="Times New Roman" w:cs="Times New Roman"/>
          <w:kern w:val="0"/>
          <w:lang w:eastAsia="en-GB"/>
          <w14:ligatures w14:val="none"/>
        </w:rPr>
        <w:t>Global's</w:t>
      </w:r>
      <w:proofErr w:type="spellEnd"/>
      <w:r w:rsidRPr="00790DFD">
        <w:rPr>
          <w:rFonts w:ascii="Times New Roman" w:eastAsia="Times New Roman" w:hAnsi="Times New Roman" w:cs="Times New Roman"/>
          <w:kern w:val="0"/>
          <w:lang w:eastAsia="en-GB"/>
          <w14:ligatures w14:val="none"/>
        </w:rPr>
        <w:t xml:space="preserve"> practice areas and industries. Any published material should be appropriately anonymised or used with necessary permission and should respect professional confidentiality obligations.</w:t>
      </w:r>
    </w:p>
    <w:p w14:paraId="3B2E576C" w14:textId="77777777" w:rsid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p>
    <w:p w14:paraId="57450477" w14:textId="77777777" w:rsid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p>
    <w:p w14:paraId="04712F7E" w14:textId="7BDC8E1E"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lastRenderedPageBreak/>
        <w:t>14. Can I search Insights by service or industry?</w:t>
      </w:r>
    </w:p>
    <w:p w14:paraId="0537AE9F"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Yes. The architecture should allow users to explore content by </w:t>
      </w:r>
      <w:r w:rsidRPr="00790DFD">
        <w:rPr>
          <w:rFonts w:ascii="Times New Roman" w:eastAsia="Times New Roman" w:hAnsi="Times New Roman" w:cs="Times New Roman"/>
          <w:b/>
          <w:bCs/>
          <w:kern w:val="0"/>
          <w:lang w:eastAsia="en-GB"/>
          <w14:ligatures w14:val="none"/>
        </w:rPr>
        <w:t>service, industry, regulator, topic, content type and publication date</w:t>
      </w:r>
      <w:r w:rsidRPr="00790DFD">
        <w:rPr>
          <w:rFonts w:ascii="Times New Roman" w:eastAsia="Times New Roman" w:hAnsi="Times New Roman" w:cs="Times New Roman"/>
          <w:kern w:val="0"/>
          <w:lang w:eastAsia="en-GB"/>
          <w14:ligatures w14:val="none"/>
        </w:rPr>
        <w:t>, making it easier to locate information relevant to a particular business or regulatory issue.</w:t>
      </w:r>
    </w:p>
    <w:p w14:paraId="4432C5EE"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15. What is “Astronis in Conversation — Watch. Listen. Discover.”?</w:t>
      </w:r>
    </w:p>
    <w:p w14:paraId="6AE00FD4"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b/>
          <w:bCs/>
          <w:kern w:val="0"/>
          <w:lang w:eastAsia="en-GB"/>
          <w14:ligatures w14:val="none"/>
        </w:rPr>
        <w:t>Astronis in Conversation</w:t>
      </w:r>
      <w:r w:rsidRPr="00790DFD">
        <w:rPr>
          <w:rFonts w:ascii="Times New Roman" w:eastAsia="Times New Roman" w:hAnsi="Times New Roman" w:cs="Times New Roman"/>
          <w:kern w:val="0"/>
          <w:lang w:eastAsia="en-GB"/>
          <w14:ligatures w14:val="none"/>
        </w:rPr>
        <w:t xml:space="preserve"> is the multimedia knowledge platform proposed for interviews, discussions, explainers, webinars and conversations with professionals, industry participants, subject-matter specialists and thought leaders on important legal, regulatory and business developments.</w:t>
      </w:r>
    </w:p>
    <w:p w14:paraId="30CC2616"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16. Can I subscribe to regulatory updates and client alerts?</w:t>
      </w:r>
    </w:p>
    <w:p w14:paraId="22DDED64"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The website can provide an option to subscribe to selected </w:t>
      </w:r>
      <w:r w:rsidRPr="00790DFD">
        <w:rPr>
          <w:rFonts w:ascii="Times New Roman" w:eastAsia="Times New Roman" w:hAnsi="Times New Roman" w:cs="Times New Roman"/>
          <w:b/>
          <w:bCs/>
          <w:kern w:val="0"/>
          <w:lang w:eastAsia="en-GB"/>
          <w14:ligatures w14:val="none"/>
        </w:rPr>
        <w:t>legal updates, regulatory alerts, compliance reminders, industry insights and new publications</w:t>
      </w:r>
      <w:r w:rsidRPr="00790DFD">
        <w:rPr>
          <w:rFonts w:ascii="Times New Roman" w:eastAsia="Times New Roman" w:hAnsi="Times New Roman" w:cs="Times New Roman"/>
          <w:kern w:val="0"/>
          <w:lang w:eastAsia="en-GB"/>
          <w14:ligatures w14:val="none"/>
        </w:rPr>
        <w:t xml:space="preserve"> according to the user's chosen areas of interest.</w:t>
      </w:r>
    </w:p>
    <w:p w14:paraId="36E8CF2C"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17. Can businesses request research on a particular regulatory issue?</w:t>
      </w:r>
    </w:p>
    <w:p w14:paraId="1C60AD84"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Yes. Businesses may contact Astronis Global for tailored research, regulatory assessment, legal analysis or advisory assistance concerning a particular transaction, compliance issue, industry or regulatory development. Such work would constitute a separate professional assignment.</w:t>
      </w:r>
    </w:p>
    <w:p w14:paraId="43ED7553"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18. Are Insights &amp; Resources a substitute for professional advice?</w:t>
      </w:r>
    </w:p>
    <w:p w14:paraId="07BAB8DD"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No. Publications, calendars, FAQs, templates and other resources are intended for </w:t>
      </w:r>
      <w:r w:rsidRPr="00790DFD">
        <w:rPr>
          <w:rFonts w:ascii="Times New Roman" w:eastAsia="Times New Roman" w:hAnsi="Times New Roman" w:cs="Times New Roman"/>
          <w:b/>
          <w:bCs/>
          <w:kern w:val="0"/>
          <w:lang w:eastAsia="en-GB"/>
          <w14:ligatures w14:val="none"/>
        </w:rPr>
        <w:t>general information and knowledge purposes</w:t>
      </w:r>
      <w:r w:rsidRPr="00790DFD">
        <w:rPr>
          <w:rFonts w:ascii="Times New Roman" w:eastAsia="Times New Roman" w:hAnsi="Times New Roman" w:cs="Times New Roman"/>
          <w:kern w:val="0"/>
          <w:lang w:eastAsia="en-GB"/>
          <w14:ligatures w14:val="none"/>
        </w:rPr>
        <w:t>. They should not be treated as legal, tax, regulatory, financial or other professional advice for a specific matter.</w:t>
      </w:r>
    </w:p>
    <w:p w14:paraId="2152A33F"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19. How can I verify whether an article is still current?</w:t>
      </w:r>
    </w:p>
    <w:p w14:paraId="7A4D5AC3"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Each publication should display its </w:t>
      </w:r>
      <w:r w:rsidRPr="00790DFD">
        <w:rPr>
          <w:rFonts w:ascii="Times New Roman" w:eastAsia="Times New Roman" w:hAnsi="Times New Roman" w:cs="Times New Roman"/>
          <w:b/>
          <w:bCs/>
          <w:kern w:val="0"/>
          <w:lang w:eastAsia="en-GB"/>
          <w14:ligatures w14:val="none"/>
        </w:rPr>
        <w:t>publication/update date</w:t>
      </w:r>
      <w:r w:rsidRPr="00790DFD">
        <w:rPr>
          <w:rFonts w:ascii="Times New Roman" w:eastAsia="Times New Roman" w:hAnsi="Times New Roman" w:cs="Times New Roman"/>
          <w:kern w:val="0"/>
          <w:lang w:eastAsia="en-GB"/>
          <w14:ligatures w14:val="none"/>
        </w:rPr>
        <w:t xml:space="preserve"> and, where relevant, links or references to the underlying regulatory material. Since laws and regulatory positions may subsequently change, users should check the latest applicable position before relying on an older publication.</w:t>
      </w:r>
    </w:p>
    <w:p w14:paraId="049FD17F" w14:textId="77777777" w:rsidR="00790DFD" w:rsidRPr="00790DFD" w:rsidRDefault="00790DFD" w:rsidP="00790DF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790DFD">
        <w:rPr>
          <w:rFonts w:ascii="Times New Roman" w:eastAsia="Times New Roman" w:hAnsi="Times New Roman" w:cs="Times New Roman"/>
          <w:b/>
          <w:bCs/>
          <w:kern w:val="0"/>
          <w:sz w:val="27"/>
          <w:szCs w:val="27"/>
          <w:lang w:eastAsia="en-GB"/>
          <w14:ligatures w14:val="none"/>
        </w:rPr>
        <w:t>20. How can I speak with Astronis Global about an Insight or regulatory development?</w:t>
      </w:r>
    </w:p>
    <w:p w14:paraId="0234A2C6" w14:textId="77777777" w:rsidR="00790DFD" w:rsidRPr="00790DFD" w:rsidRDefault="00790DFD" w:rsidP="00790DF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90DFD">
        <w:rPr>
          <w:rFonts w:ascii="Times New Roman" w:eastAsia="Times New Roman" w:hAnsi="Times New Roman" w:cs="Times New Roman"/>
          <w:kern w:val="0"/>
          <w:lang w:eastAsia="en-GB"/>
          <w14:ligatures w14:val="none"/>
        </w:rPr>
        <w:t xml:space="preserve">Each Insight page should contain a </w:t>
      </w:r>
      <w:r w:rsidRPr="00790DFD">
        <w:rPr>
          <w:rFonts w:ascii="Times New Roman" w:eastAsia="Times New Roman" w:hAnsi="Times New Roman" w:cs="Times New Roman"/>
          <w:b/>
          <w:bCs/>
          <w:kern w:val="0"/>
          <w:lang w:eastAsia="en-GB"/>
          <w14:ligatures w14:val="none"/>
        </w:rPr>
        <w:t>“Speak With Our Advisory Team”</w:t>
      </w:r>
      <w:r w:rsidRPr="00790DFD">
        <w:rPr>
          <w:rFonts w:ascii="Times New Roman" w:eastAsia="Times New Roman" w:hAnsi="Times New Roman" w:cs="Times New Roman"/>
          <w:kern w:val="0"/>
          <w:lang w:eastAsia="en-GB"/>
          <w14:ligatures w14:val="none"/>
        </w:rPr>
        <w:t xml:space="preserve"> or </w:t>
      </w:r>
      <w:r w:rsidRPr="00790DFD">
        <w:rPr>
          <w:rFonts w:ascii="Times New Roman" w:eastAsia="Times New Roman" w:hAnsi="Times New Roman" w:cs="Times New Roman"/>
          <w:b/>
          <w:bCs/>
          <w:kern w:val="0"/>
          <w:lang w:eastAsia="en-GB"/>
          <w14:ligatures w14:val="none"/>
        </w:rPr>
        <w:t>“Discuss This Development”</w:t>
      </w:r>
      <w:r w:rsidRPr="00790DFD">
        <w:rPr>
          <w:rFonts w:ascii="Times New Roman" w:eastAsia="Times New Roman" w:hAnsi="Times New Roman" w:cs="Times New Roman"/>
          <w:kern w:val="0"/>
          <w:lang w:eastAsia="en-GB"/>
          <w14:ligatures w14:val="none"/>
        </w:rPr>
        <w:t xml:space="preserve"> option connecting the reader with the relevant Astronis Global service or enquiry page.</w:t>
      </w:r>
    </w:p>
    <w:p w14:paraId="6B2C1019" w14:textId="77777777" w:rsidR="007B4485" w:rsidRDefault="007B4485" w:rsidP="00790DFD">
      <w:pPr>
        <w:jc w:val="both"/>
      </w:pPr>
    </w:p>
    <w:sectPr w:rsidR="007B4485" w:rsidSect="001337B3">
      <w:pgSz w:w="11901" w:h="16840"/>
      <w:pgMar w:top="1701" w:right="1418" w:bottom="1418"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FD"/>
    <w:rsid w:val="00080B13"/>
    <w:rsid w:val="000A7D0A"/>
    <w:rsid w:val="001337B3"/>
    <w:rsid w:val="001626CF"/>
    <w:rsid w:val="00333C0E"/>
    <w:rsid w:val="00363D4C"/>
    <w:rsid w:val="00790DFD"/>
    <w:rsid w:val="007B4485"/>
    <w:rsid w:val="008A4440"/>
    <w:rsid w:val="00925D2A"/>
    <w:rsid w:val="00945425"/>
    <w:rsid w:val="00A63F28"/>
    <w:rsid w:val="00D253D4"/>
    <w:rsid w:val="00E05C74"/>
    <w:rsid w:val="00F2562C"/>
    <w:rsid w:val="00FD4B06"/>
    <w:rsid w:val="00FF4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152636"/>
  <w15:chartTrackingRefBased/>
  <w15:docId w15:val="{DEF0921F-F9ED-F344-9B21-E5A44130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DFD"/>
    <w:rPr>
      <w:rFonts w:eastAsiaTheme="majorEastAsia" w:cstheme="majorBidi"/>
      <w:color w:val="272727" w:themeColor="text1" w:themeTint="D8"/>
    </w:rPr>
  </w:style>
  <w:style w:type="paragraph" w:styleId="Title">
    <w:name w:val="Title"/>
    <w:basedOn w:val="Normal"/>
    <w:next w:val="Normal"/>
    <w:link w:val="TitleChar"/>
    <w:uiPriority w:val="10"/>
    <w:qFormat/>
    <w:rsid w:val="00790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DFD"/>
    <w:pPr>
      <w:spacing w:before="160"/>
      <w:jc w:val="center"/>
    </w:pPr>
    <w:rPr>
      <w:i/>
      <w:iCs/>
      <w:color w:val="404040" w:themeColor="text1" w:themeTint="BF"/>
    </w:rPr>
  </w:style>
  <w:style w:type="character" w:customStyle="1" w:styleId="QuoteChar">
    <w:name w:val="Quote Char"/>
    <w:basedOn w:val="DefaultParagraphFont"/>
    <w:link w:val="Quote"/>
    <w:uiPriority w:val="29"/>
    <w:rsid w:val="00790DFD"/>
    <w:rPr>
      <w:i/>
      <w:iCs/>
      <w:color w:val="404040" w:themeColor="text1" w:themeTint="BF"/>
    </w:rPr>
  </w:style>
  <w:style w:type="paragraph" w:styleId="ListParagraph">
    <w:name w:val="List Paragraph"/>
    <w:basedOn w:val="Normal"/>
    <w:uiPriority w:val="34"/>
    <w:qFormat/>
    <w:rsid w:val="00790DFD"/>
    <w:pPr>
      <w:ind w:left="720"/>
      <w:contextualSpacing/>
    </w:pPr>
  </w:style>
  <w:style w:type="character" w:styleId="IntenseEmphasis">
    <w:name w:val="Intense Emphasis"/>
    <w:basedOn w:val="DefaultParagraphFont"/>
    <w:uiPriority w:val="21"/>
    <w:qFormat/>
    <w:rsid w:val="00790DFD"/>
    <w:rPr>
      <w:i/>
      <w:iCs/>
      <w:color w:val="0F4761" w:themeColor="accent1" w:themeShade="BF"/>
    </w:rPr>
  </w:style>
  <w:style w:type="paragraph" w:styleId="IntenseQuote">
    <w:name w:val="Intense Quote"/>
    <w:basedOn w:val="Normal"/>
    <w:next w:val="Normal"/>
    <w:link w:val="IntenseQuoteChar"/>
    <w:uiPriority w:val="30"/>
    <w:qFormat/>
    <w:rsid w:val="00790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DFD"/>
    <w:rPr>
      <w:i/>
      <w:iCs/>
      <w:color w:val="0F4761" w:themeColor="accent1" w:themeShade="BF"/>
    </w:rPr>
  </w:style>
  <w:style w:type="character" w:styleId="IntenseReference">
    <w:name w:val="Intense Reference"/>
    <w:basedOn w:val="DefaultParagraphFont"/>
    <w:uiPriority w:val="32"/>
    <w:qFormat/>
    <w:rsid w:val="00790DFD"/>
    <w:rPr>
      <w:b/>
      <w:bCs/>
      <w:smallCaps/>
      <w:color w:val="0F4761" w:themeColor="accent1" w:themeShade="BF"/>
      <w:spacing w:val="5"/>
    </w:rPr>
  </w:style>
  <w:style w:type="paragraph" w:styleId="NormalWeb">
    <w:name w:val="Normal (Web)"/>
    <w:basedOn w:val="Normal"/>
    <w:uiPriority w:val="99"/>
    <w:semiHidden/>
    <w:unhideWhenUsed/>
    <w:rsid w:val="00790DF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90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 Krishna Mishra</dc:creator>
  <cp:keywords/>
  <dc:description/>
  <cp:lastModifiedBy>Adv Krishna Mishra</cp:lastModifiedBy>
  <cp:revision>1</cp:revision>
  <dcterms:created xsi:type="dcterms:W3CDTF">2026-10-07T12:43:00Z</dcterms:created>
  <dcterms:modified xsi:type="dcterms:W3CDTF">2026-10-07T12:45:00Z</dcterms:modified>
</cp:coreProperties>
</file>