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Solution Requirements</w:t>
      </w:r>
    </w:p>
    <w:p>
      <w:pPr>
        <w:jc w:val="center"/>
      </w:pPr>
      <w:r>
        <w:rPr>
          <w:i/>
          <w:sz w:val="20"/>
        </w:rPr>
        <w:t>Requirement Analysis</w:t>
      </w:r>
    </w:p>
    <w:p>
      <w:pPr>
        <w:jc w:val="center"/>
      </w:pPr>
      <w:r>
        <w:rPr>
          <w:b/>
          <w:sz w:val="18"/>
        </w:rPr>
        <w:t>Team ID: SWTID-2026-1106  •  Team Size: 5  •  Team Leader: Roshan G</w:t>
      </w:r>
    </w:p>
    <w:p>
      <w:pPr>
        <w:pStyle w:val="Heading1"/>
      </w:pPr>
      <w:r>
        <w:t>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r>
              <w:rPr>
                <w:b/>
                <w:sz w:val="16"/>
              </w:rPr>
              <w:t>ID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  <w:sz w:val="16"/>
              </w:rPr>
              <w:t>Requirement</w:t>
            </w:r>
          </w:p>
        </w:tc>
        <w:tc>
          <w:tcPr>
            <w:tcW w:type="dxa" w:w="3408"/>
            <w:vAlign w:val="center"/>
          </w:tcPr>
          <w:p>
            <w:r>
              <w:rPr>
                <w:b/>
                <w:sz w:val="16"/>
              </w:rPr>
              <w:t>Implementation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FR-01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Creative brief input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Premise, character, setting, genre, tone, panel count and reference image.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FR-02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Structured story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Gemini returns validated structured story data.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FR-03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Story refinement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User can request natural-language changes to an existing story.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FR-04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Storyboard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Gemini converts the approved story into panel-level scene/camera/narration/dialogue/image-prompt data.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FR-05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Panel rendering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Gemini native image model renders panels sequentially.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FR-06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Reference image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Optional image can be passed to image generation.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FR-07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Premium rendering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User can explicitly request higher-resolution panel generation.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FR-08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Preview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Generated story, storyboard and images are displayed in the studio.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FR-09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PDF export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ReportLab produces a multi-page comic PDF.</w:t>
            </w:r>
          </w:p>
        </w:tc>
      </w:tr>
      <w:tr>
        <w:tc>
          <w:tcPr>
            <w:tcW w:type="dxa" w:w="3408"/>
          </w:tcPr>
          <w:p>
            <w:r>
              <w:rPr>
                <w:sz w:val="16"/>
              </w:rPr>
              <w:t>FR-10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Health/API</w:t>
            </w:r>
          </w:p>
        </w:tc>
        <w:tc>
          <w:tcPr>
            <w:tcW w:type="dxa" w:w="3408"/>
          </w:tcPr>
          <w:p>
            <w:r>
              <w:rPr>
                <w:sz w:val="16"/>
              </w:rPr>
              <w:t>Health and generation endpoints support operation and testing.</w:t>
            </w:r>
          </w:p>
        </w:tc>
      </w:tr>
    </w:tbl>
    <w:p>
      <w:pPr>
        <w:pStyle w:val="Heading1"/>
      </w:pPr>
      <w:r>
        <w:t>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>
              <w:rPr>
                <w:b/>
                <w:sz w:val="16"/>
              </w:rPr>
              <w:t>Area</w:t>
            </w:r>
          </w:p>
        </w:tc>
        <w:tc>
          <w:tcPr>
            <w:tcW w:type="dxa" w:w="5112"/>
            <w:vAlign w:val="center"/>
          </w:tcPr>
          <w:p>
            <w:r>
              <w:rPr>
                <w:b/>
                <w:sz w:val="16"/>
              </w:rPr>
              <w:t>Requirement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Security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API keys are stored in environment variables and not committed.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Reliability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AI failures return explicit errors instead of fake successful artwork.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Efficiency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Panel image requests are sequential; refinement/upscale are user-triggered.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Maintainability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AI, prompts, models, routes and export responsibilities are separated.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Usability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The workflow remains brief → story → storyboard → panels → PDF.</w:t>
            </w:r>
          </w:p>
        </w:tc>
      </w:tr>
      <w:tr>
        <w:tc>
          <w:tcPr>
            <w:tcW w:type="dxa" w:w="5112"/>
          </w:tcPr>
          <w:p>
            <w:r>
              <w:rPr>
                <w:sz w:val="16"/>
              </w:rPr>
              <w:t>Scalability</w:t>
            </w:r>
          </w:p>
        </w:tc>
        <w:tc>
          <w:tcPr>
            <w:tcW w:type="dxa" w:w="5112"/>
          </w:tcPr>
          <w:p>
            <w:r>
              <w:rPr>
                <w:sz w:val="16"/>
              </w:rPr>
              <w:t>Authentication, queues, storage, quotas and billing can be added independently.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ComicCraft — AI Comic Story Creator using Gemini Models  |  Team ID: SWTID-2026-1106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