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User Acceptance Testing</w:t>
      </w:r>
    </w:p>
    <w:p>
      <w:pPr>
        <w:jc w:val="center"/>
      </w:pPr>
      <w:r>
        <w:rPr>
          <w:i/>
          <w:sz w:val="20"/>
        </w:rPr>
        <w:t>Project Development Phase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UAT ID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User Action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UAT-01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Enter premise and creative settings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Studio accepts the creative brief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All required fields validate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UAT-02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Generate story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Structured story appears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Title, logline, characters and panels are present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UAT-03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Refine story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Requested changes are reflected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Updated story is returned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UAT-04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Generate storyboard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Panel production data appears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Scene, camera, narration/dialogue and image prompt exist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UAT-05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Generate panels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Images appear in order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Every requested panel has an image or explicit error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UAT-06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Export PDF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PDF downloads successfully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PDF contains comic pages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UAT-07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Reload draft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Saved input is restored where enabled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Draft state remains available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UAT-08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API failure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User sees a clear error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No fake successful artwork is shown</w:t>
            </w:r>
          </w:p>
        </w:tc>
      </w:tr>
    </w:tbl>
    <w:p>
      <w:pPr>
        <w:pStyle w:val="Heading1"/>
      </w:pPr>
      <w:r>
        <w:t>Acceptance Note</w:t>
      </w:r>
    </w:p>
    <w:p>
      <w:r>
        <w:t>Final live acceptance should be executed with a configured Gemini API key in the deployment environment. The matrix above defines the expected behavior; it does not claim a live test was performed for every case.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