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ORV-0018</w:t>
      </w:r>
    </w:p>
    <w:p>
      <w:r>
        <w:t xml:space="preserve">EVENT_ID: E5</w:t>
      </w:r>
    </w:p>
    <w:p>
      <w:r>
        <w:t xml:space="preserve">TITLE: Modelling the Orvan gap: assumptions matter more than the headline</w:t>
      </w:r>
    </w:p>
    <w:p>
      <w:r>
        <w:t xml:space="preserve">SOURCE_NAME: Ledger Analytics</w:t>
      </w:r>
    </w:p>
    <w:p>
      <w:r>
        <w:t xml:space="preserve">SOURCE_TYPE: analyst_note</w:t>
      </w:r>
    </w:p>
    <w:p>
      <w:r>
        <w:t xml:space="preserve">RELIABILITY: 3</w:t>
      </w:r>
    </w:p>
    <w:p>
      <w:r>
        <w:t xml:space="preserve">PUB_DATE: 2026-12-15</w:t>
      </w:r>
    </w:p>
    <w:p>
      <w:r>
        <w:t xml:space="preserve">PUB_TIME: 09:40</w:t>
      </w:r>
    </w:p>
    <w:p>
      <w:r>
        <w:t xml:space="preserve">COUNTRY: Orvan</w:t>
      </w:r>
    </w:p>
    <w:p>
      <w:r>
        <w:t xml:space="preserve">SECTOR: Wheat</w:t>
      </w:r>
    </w:p>
    <w:p>
      <w:r>
        <w:t xml:space="preserve">LANGUAGE: en</w:t>
      </w:r>
    </w:p>
    <w:p>
      <w:r>
        <w:t xml:space="preserve">---</w:t>
      </w:r>
    </w:p>
    <w:p>
      <w:r>
        <w:t xml:space="preserve">Modelling the Orvan gap: assumptions matter more than the headline</w:t>
      </w:r>
    </w:p>
    <w:p>
      <w:r>
        <w:t xml:space="preserve"/>
      </w:r>
    </w:p>
    <w:p>
      <w:r>
        <w:t xml:space="preserve">[P1] Our model puts the loss on the four Orvan sea routes at 50% to 60% of value in the fourth quarter, against the deal-level path.</w:t>
      </w:r>
    </w:p>
    <w:p>
      <w:r>
        <w:t xml:space="preserve"/>
      </w:r>
    </w:p>
    <w:p>
      <w:r>
        <w:t xml:space="preserve">[P2] The result depends on three assumptions. First, we treat the port index as a volume measure and apply it to the route basket.</w:t>
      </w:r>
    </w:p>
    <w:p>
      <w:r>
        <w:t xml:space="preserve"/>
      </w:r>
    </w:p>
    <w:p>
      <w:r>
        <w:t xml:space="preserve">[P3] Second, we assume rail runs at its practical limit, which we put at 54% above the pre-crisis volume on a base of USD 25M a month.</w:t>
      </w:r>
    </w:p>
    <w:p>
      <w:r>
        <w:t xml:space="preserve"/>
      </w:r>
    </w:p>
    <w:p>
      <w:r>
        <w:t xml:space="preserve">[P4] Third, we assume Vanir wheat gains of 14% to 18% in volume on the Tolan and Midgard routes.</w:t>
      </w:r>
    </w:p>
    <w:p>
      <w:r>
        <w:t xml:space="preserve"/>
      </w:r>
    </w:p>
    <w:p>
      <w:r>
        <w:t xml:space="preserve">[P5] The Asgard wheat contract is modelled separately because it is protected. We assume a loss of about 8%.</w:t>
      </w:r>
    </w:p>
    <w:p>
      <w:r>
        <w:t xml:space="preserve"/>
      </w:r>
    </w:p>
    <w:p>
      <w:r>
        <w:t xml:space="preserve">[P6] The assumptions are doing most of the work in this model, and readers should test them rather than accept the headline. A small change in the rail limit moves the net figure by several points, because the rail base is small but the gain is large in percentage terms. The Vanir assumption matters less for the total, though it matters a lot for Tolan and Midgard wheat. We have not modelled a full recovery of the sea route inside the window, because the port index does not support one. The model is a guide to the size of the gap, not a forecast of monthly prices.</w:t>
      </w:r>
    </w:p>
    <w:p>
      <w:r>
        <w:t xml:space="preserve"/>
      </w:r>
    </w:p>
    <w:p>
      <w:r>
        <w:t xml:space="preserve">[P7] The model does not include a full reopening of the sea route, because the port index does not support one. It also does not include a second strike or a new agreement. Those choices keep the estimate conservative on volumes and cautious on prices. The authors say the assumptions are the part readers should test first.</w:t>
      </w:r>
    </w:p>
    <w:p>
      <w:r>
        <w:t xml:space="preserve"/>
      </w:r>
    </w:p>
    <w:p>
      <w:r>
        <w:t xml:space="preserve">[P8] On these assumptions, the net value loss for Midgard wheat is close to 40%, once Vanir supply is included.</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