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BAD"/>
          <w:sz w:val="18"/>
        </w:rPr>
        <w:t>BLUESTOCK FINTECH INTERNSHIP</w:t>
      </w:r>
    </w:p>
    <w:p>
      <w:pPr>
        <w:jc w:val="center"/>
      </w:pPr>
      <w:r>
        <w:rPr>
          <w:b/>
          <w:color w:val="1F2937"/>
          <w:sz w:val="32"/>
        </w:rPr>
        <w:t>WEEK 2 — FINANCIAL STATEMENT ANALYSIS</w:t>
      </w:r>
    </w:p>
    <w:p>
      <w:pPr>
        <w:jc w:val="center"/>
      </w:pPr>
      <w:r>
        <w:rPr>
          <w:i/>
          <w:sz w:val="17"/>
        </w:rPr>
        <w:t>Tata Consultancy Services Limited (TCS) | FY 2025–26 vs FY 2024–25</w:t>
      </w:r>
    </w:p>
    <w:p>
      <w:r>
        <w:rPr>
          <w:b/>
        </w:rPr>
        <w:t xml:space="preserve">Objective. </w:t>
      </w:r>
      <w:r>
        <w:t>Analyse the Balance Sheet, Profit &amp; Loss Statement, Cash Flow Statement and selected financial ratios of one listed Indian company for practical FinTech/data-analysis learning.</w:t>
      </w:r>
    </w:p>
    <w:p>
      <w:pPr>
        <w:spacing w:before="100" w:after="40"/>
      </w:pPr>
      <w:r>
        <w:rPr>
          <w:b/>
          <w:color w:val="1F2937"/>
          <w:sz w:val="22"/>
        </w:rPr>
        <w:t>1. Company Snapshot</w:t>
      </w:r>
    </w:p>
    <w:p>
      <w:r>
        <w:rPr>
          <w:b/>
        </w:rPr>
        <w:t xml:space="preserve">TCS is a listed Indian IT services and consulting company. </w:t>
      </w:r>
      <w:r>
        <w:t>For FY2025–26, TCS reported consolidated revenue from operations of ₹2,67,021 crore and profit for the year of ₹49,454 crore under Ind AS. The analysis below uses audited consolidated figures from TCS’s FY2025–26 Annual Report.</w:t>
      </w:r>
    </w:p>
    <w:p>
      <w:pPr>
        <w:spacing w:before="100" w:after="40"/>
      </w:pPr>
      <w:r>
        <w:rPr>
          <w:b/>
          <w:color w:val="1F2937"/>
          <w:sz w:val="22"/>
        </w:rPr>
        <w:t>2. Profit &amp; Loss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2376"/>
        <w:gridCol w:w="2376"/>
        <w:gridCol w:w="1728"/>
      </w:tblGrid>
      <w:tr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Particulars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FY 2025–26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FY 2024–25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Revenue from operations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₹2,67,021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₹2,55,324 cr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+4.6%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Total income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₹2,71,423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₹2,59,286 cr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+4.7%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Total expenses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₹2,00,183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₹1,93,159 cr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+3.6%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Profit before tax (reported)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₹65,487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₹65,331 cr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+0.2%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Profit for the year (reported)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₹49,454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₹48,797 cr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+1.3%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EPS (FY26, adjusted / trend figure)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₹145.99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₹134.19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+8.8%</w:t>
            </w:r>
          </w:p>
        </w:tc>
      </w:tr>
    </w:tbl>
    <w:p>
      <w:pPr>
        <w:spacing w:before="60"/>
      </w:pPr>
      <w:r>
        <w:rPr>
          <w:b/>
        </w:rPr>
        <w:t xml:space="preserve">Interpretation: </w:t>
      </w:r>
      <w:r>
        <w:t>Revenue grew 4.6% year over year, while reported profit grew more slowly because FY2025–26 included exceptional items. TCS also reported a 25.0% operating margin for FY26, an improvement of 70 basis points year over year.</w:t>
      </w:r>
    </w:p>
    <w:p>
      <w:pPr>
        <w:spacing w:before="100" w:after="40"/>
      </w:pPr>
      <w:r>
        <w:rPr>
          <w:b/>
          <w:color w:val="1F2937"/>
          <w:sz w:val="22"/>
        </w:rPr>
        <w:t>3. Balance Sheet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2376"/>
        <w:gridCol w:w="2376"/>
        <w:gridCol w:w="1584"/>
      </w:tblGrid>
      <w:tr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Particulars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31 Mar 2026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31 Mar 2025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Total assets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₹1,82,372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₹1,59,629 cr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+14.2%</w:t>
            </w:r>
          </w:p>
        </w:tc>
      </w:tr>
      <w:tr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Total equity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₹1,08,478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₹95,771 cr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+13.3%</w:t>
            </w:r>
          </w:p>
        </w:tc>
      </w:tr>
      <w:tr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Current assets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₹1,35,705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₹1,23,011 cr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+10.3%</w:t>
            </w:r>
          </w:p>
        </w:tc>
      </w:tr>
      <w:tr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Current liabilities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₹60,914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₹53,001 cr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+14.9%</w:t>
            </w:r>
          </w:p>
        </w:tc>
      </w:tr>
      <w:tr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Cash &amp; cash equivalents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₹6,417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₹8,342 cr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-23.1%</w:t>
            </w:r>
          </w:p>
        </w:tc>
      </w:tr>
      <w:tr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Investments (current)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₹33,770 cr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₹30,689 cr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+10.0%</w:t>
            </w:r>
          </w:p>
        </w:tc>
      </w:tr>
    </w:tbl>
    <w:p>
      <w:r>
        <w:rPr>
          <w:b/>
        </w:rPr>
        <w:t xml:space="preserve">Interpretation: </w:t>
      </w:r>
      <w:r>
        <w:t>The balance sheet expanded materially, with total assets and equity increasing. Current assets remained more than twice current liabilities, indicating a strong short-term liquidity position. Cash and cash equivalents declined, but TCS held a larger pool of current investments.</w:t>
      </w:r>
    </w:p>
    <w:p>
      <w:pPr>
        <w:spacing w:before="100" w:after="40"/>
      </w:pPr>
      <w:r>
        <w:rPr>
          <w:b/>
          <w:color w:val="1F2937"/>
          <w:sz w:val="22"/>
        </w:rPr>
        <w:t>4. Cash Flow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2880"/>
        <w:gridCol w:w="2880"/>
      </w:tblGrid>
      <w:tr>
        <w:tc>
          <w:tcPr>
            <w:tcW w:type="dxa" w:w="3485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Cash-flow item</w:t>
            </w:r>
          </w:p>
        </w:tc>
        <w:tc>
          <w:tcPr>
            <w:tcW w:type="dxa" w:w="3485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FY 2025–26</w:t>
            </w:r>
          </w:p>
        </w:tc>
        <w:tc>
          <w:tcPr>
            <w:tcW w:type="dxa" w:w="3485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FY 2024–25</w:t>
            </w:r>
          </w:p>
        </w:tc>
      </w:tr>
      <w:tr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Net cash from operating activities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₹52,094 cr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₹48,908 cr</w:t>
            </w:r>
          </w:p>
        </w:tc>
      </w:tr>
      <w:tr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Net cash used in investing activities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₹12,845 cr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₹2,318 cr</w:t>
            </w:r>
          </w:p>
        </w:tc>
      </w:tr>
    </w:tbl>
    <w:p>
      <w:r>
        <w:rPr>
          <w:b/>
        </w:rPr>
        <w:t xml:space="preserve">Interpretation: </w:t>
      </w:r>
      <w:r>
        <w:t>Operating cash flow increased to ₹52,094 crore, demonstrating strong cash generation from core operations. Investing cash flow was more negative largely because of higher investment purchases and acquisition-related outflows.</w:t>
      </w:r>
    </w:p>
    <w:p>
      <w:pPr>
        <w:spacing w:before="100" w:after="40"/>
      </w:pPr>
      <w:r>
        <w:rPr>
          <w:b/>
          <w:color w:val="1F2937"/>
          <w:sz w:val="22"/>
        </w:rPr>
        <w:t>5. Key Ratios &amp; Calculations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528"/>
        <w:gridCol w:w="1512"/>
        <w:gridCol w:w="1944"/>
      </w:tblGrid>
      <w:tr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Ratio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FY26</w:t>
            </w:r>
          </w:p>
        </w:tc>
        <w:tc>
          <w:tcPr>
            <w:tcW w:type="dxa" w:w="2613"/>
            <w:shd w:fill="EAF0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Current Ratio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Current Assets ÷ Current Liabilities</w:t>
            </w:r>
          </w:p>
        </w:tc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5"/>
              </w:rPr>
              <w:t>2.23×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Strong liquidity</w:t>
            </w:r>
          </w:p>
        </w:tc>
      </w:tr>
      <w:t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Net Profit Margin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Profit attributable ÷ Revenue</w:t>
            </w:r>
          </w:p>
        </w:tc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18.43%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High profitability</w:t>
            </w:r>
          </w:p>
        </w:tc>
      </w:tr>
      <w:t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Operating Margin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Operating profit ÷ Revenue</w:t>
            </w:r>
          </w:p>
        </w:tc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5"/>
              </w:rPr>
              <w:t>25.03%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Strong operating efficiency</w:t>
            </w:r>
          </w:p>
        </w:tc>
      </w:tr>
      <w:t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ROE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Profit attributable ÷ Average equity</w:t>
            </w:r>
          </w:p>
        </w:tc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5"/>
              </w:rPr>
              <w:t>48.72%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Strong return on shareholder capital</w:t>
            </w:r>
          </w:p>
        </w:tc>
      </w:tr>
      <w:t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Cash Conversion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Operating Cash Flow ÷ Reported Profit</w:t>
            </w:r>
          </w:p>
        </w:tc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105.34%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Operating cash exceeded reported profit</w:t>
            </w:r>
          </w:p>
        </w:tc>
      </w:tr>
    </w:tbl>
    <w:p>
      <w:r>
        <w:rPr>
          <w:b/>
        </w:rPr>
        <w:t xml:space="preserve">Note on ROE: </w:t>
      </w:r>
      <w:r>
        <w:t>Calculated using FY26 profit attributable to TCS shareholders (₹49,210 crore) and average equity attributable to shareholders for FY25 and FY26. Ratio calculations are analyst calculations from the reported audited figures.</w:t>
      </w:r>
    </w:p>
    <w:p>
      <w:pPr>
        <w:spacing w:before="100" w:after="40"/>
      </w:pPr>
      <w:r>
        <w:rPr>
          <w:b/>
          <w:color w:val="1F2937"/>
          <w:sz w:val="22"/>
        </w:rPr>
        <w:t>6. Overall Analyst Conclusion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TCS showed healthy revenue growth and retained a strong operating margin in FY2025–26.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The company maintained a strong liquidity position, with a current ratio of about 2.23×.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Operating cash generation remained robust and exceeded reported profit, indicating strong cash conversion.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The decline in cash-and-cash-equivalent balances should be viewed along with the company’s sizeable investment holdings and investment-related outflows.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Overall, the financial statements indicate a financially strong and cash-generative business, while year-on-year reported profit growth was modest because of exceptional items in FY26.</w:t>
      </w:r>
    </w:p>
    <w:p>
      <w:pPr>
        <w:spacing w:before="80" w:after="40"/>
      </w:pPr>
      <w:r>
        <w:rPr>
          <w:b/>
          <w:color w:val="1F2937"/>
          <w:sz w:val="19"/>
        </w:rPr>
        <w:t>Sources</w:t>
      </w:r>
    </w:p>
    <w:p>
      <w:pPr>
        <w:spacing w:after="0"/>
      </w:pPr>
      <w:r>
        <w:rPr>
          <w:sz w:val="14"/>
        </w:rPr>
        <w:t>TCS Integrated Annual Report 2025–26 (audited consolidated financial statements).</w:t>
      </w:r>
    </w:p>
    <w:p>
      <w:pPr>
        <w:spacing w:after="0"/>
      </w:pPr>
      <w:r>
        <w:rPr>
          <w:sz w:val="14"/>
        </w:rPr>
        <w:t>TCS Investor Relations — FY2025–26 financial results and FY2026 fact sheet.</w:t>
      </w:r>
    </w:p>
    <w:p>
      <w:pPr>
        <w:spacing w:after="0"/>
      </w:pPr>
      <w:r>
        <w:rPr>
          <w:sz w:val="14"/>
        </w:rPr>
        <w:t>NSE filing: TCS audited consolidated statement of cash flows for the year ended 31 March 2026.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3"/>
      </w:rPr>
      <w:t>Bluestock FinTech Internship | Week 2 | TCS Financial Statement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