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0BC57" w14:textId="51E84354" w:rsidR="00CF2315" w:rsidRDefault="001A08D9" w:rsidP="00CF2315">
      <w:pPr>
        <w:pStyle w:val="ArticleTitle"/>
      </w:pPr>
      <w:r>
        <w:t>Upregulation of pro-angiogenic genes in tumor cells that promote an invasive and proliferative phenotype are found in poor responders to bevacizumab therapy.</w:t>
      </w:r>
    </w:p>
    <w:p w14:paraId="402636F0" w14:textId="77777777" w:rsidR="00B472F5" w:rsidRDefault="00B472F5" w:rsidP="00A7052A">
      <w:pPr>
        <w:rPr>
          <w:rFonts w:ascii="Arial" w:hAnsi="Arial" w:cs="Arial"/>
        </w:rPr>
      </w:pPr>
    </w:p>
    <w:p w14:paraId="15166D28" w14:textId="5F845538" w:rsidR="00B472F5" w:rsidRPr="00B03DEA" w:rsidRDefault="001A08D9" w:rsidP="00CF2315">
      <w:pPr>
        <w:pStyle w:val="AuthorNames"/>
      </w:pPr>
      <w:r>
        <w:t xml:space="preserve">Roshan </w:t>
      </w:r>
      <w:proofErr w:type="spellStart"/>
      <w:proofErr w:type="gramStart"/>
      <w:r>
        <w:t>Lodha</w:t>
      </w:r>
      <w:r w:rsidR="00B472F5" w:rsidRPr="00B03DEA">
        <w:t>,</w:t>
      </w:r>
      <w:r w:rsidR="00B472F5" w:rsidRPr="00B03DEA">
        <w:rPr>
          <w:vertAlign w:val="superscript"/>
        </w:rPr>
        <w:t>a</w:t>
      </w:r>
      <w:proofErr w:type="gramEnd"/>
      <w:r w:rsidR="00C229CF">
        <w:rPr>
          <w:vertAlign w:val="superscript"/>
        </w:rPr>
        <w:t>,b</w:t>
      </w:r>
      <w:proofErr w:type="spellEnd"/>
      <w:r w:rsidR="00B472F5" w:rsidRPr="00B03DEA">
        <w:t xml:space="preserve"> </w:t>
      </w:r>
      <w:proofErr w:type="spellStart"/>
      <w:r w:rsidR="00C229CF">
        <w:t>Candece</w:t>
      </w:r>
      <w:proofErr w:type="spellEnd"/>
      <w:r w:rsidR="00C229CF">
        <w:t xml:space="preserve"> </w:t>
      </w:r>
      <w:proofErr w:type="spellStart"/>
      <w:r w:rsidR="00C229CF">
        <w:t>Gladson</w:t>
      </w:r>
      <w:r w:rsidR="00C229CF">
        <w:rPr>
          <w:vertAlign w:val="superscript"/>
        </w:rPr>
        <w:t>b</w:t>
      </w:r>
      <w:proofErr w:type="spellEnd"/>
      <w:r w:rsidR="007A7F04">
        <w:rPr>
          <w:vertAlign w:val="superscript"/>
        </w:rPr>
        <w:t>,*</w:t>
      </w:r>
    </w:p>
    <w:p w14:paraId="4AAC09AB" w14:textId="210409E5" w:rsidR="00CC31DC" w:rsidRDefault="00B472F5" w:rsidP="00C229CF">
      <w:pPr>
        <w:pStyle w:val="AuthorAffiliations"/>
        <w:rPr>
          <w:vertAlign w:val="baseline"/>
        </w:rPr>
      </w:pPr>
      <w:proofErr w:type="spellStart"/>
      <w:r w:rsidRPr="00CF2315">
        <w:t>a</w:t>
      </w:r>
      <w:r w:rsidR="00C229CF">
        <w:rPr>
          <w:vertAlign w:val="baseline"/>
        </w:rPr>
        <w:t>Lerner</w:t>
      </w:r>
      <w:proofErr w:type="spellEnd"/>
      <w:r w:rsidR="00C229CF">
        <w:rPr>
          <w:vertAlign w:val="baseline"/>
        </w:rPr>
        <w:t xml:space="preserve"> College of Medicine</w:t>
      </w:r>
      <w:r w:rsidR="00C229CF" w:rsidRPr="00CF2315">
        <w:rPr>
          <w:vertAlign w:val="baseline"/>
        </w:rPr>
        <w:t>,</w:t>
      </w:r>
      <w:r w:rsidR="00C229CF">
        <w:rPr>
          <w:vertAlign w:val="baseline"/>
        </w:rPr>
        <w:t xml:space="preserve"> Cleveland Clinic</w:t>
      </w:r>
      <w:r w:rsidRPr="00CF2315">
        <w:rPr>
          <w:vertAlign w:val="baseline"/>
        </w:rPr>
        <w:t xml:space="preserve">, </w:t>
      </w:r>
      <w:r w:rsidR="00C229CF">
        <w:rPr>
          <w:vertAlign w:val="baseline"/>
        </w:rPr>
        <w:t>9501</w:t>
      </w:r>
      <w:r w:rsidR="00C229CF" w:rsidRPr="00C229CF">
        <w:rPr>
          <w:vertAlign w:val="baseline"/>
        </w:rPr>
        <w:t xml:space="preserve"> Euclid Avenue, Cleveland, Ohio 44195</w:t>
      </w:r>
    </w:p>
    <w:p w14:paraId="600CFF20" w14:textId="0B0A5EB6" w:rsidR="00C229CF" w:rsidRPr="00C229CF" w:rsidRDefault="00C229CF" w:rsidP="00C229CF">
      <w:pPr>
        <w:pStyle w:val="AuthorAffiliations"/>
        <w:rPr>
          <w:vertAlign w:val="baseline"/>
        </w:rPr>
      </w:pPr>
      <w:proofErr w:type="spellStart"/>
      <w:r>
        <w:t>b</w:t>
      </w:r>
      <w:r>
        <w:rPr>
          <w:vertAlign w:val="baseline"/>
        </w:rPr>
        <w:t>Lerner</w:t>
      </w:r>
      <w:proofErr w:type="spellEnd"/>
      <w:r>
        <w:rPr>
          <w:vertAlign w:val="baseline"/>
        </w:rPr>
        <w:t xml:space="preserve"> Research Institute</w:t>
      </w:r>
      <w:r w:rsidRPr="00CF2315">
        <w:rPr>
          <w:vertAlign w:val="baseline"/>
        </w:rPr>
        <w:t>,</w:t>
      </w:r>
      <w:r>
        <w:rPr>
          <w:vertAlign w:val="baseline"/>
        </w:rPr>
        <w:t xml:space="preserve"> Cleveland Clinic</w:t>
      </w:r>
      <w:r w:rsidRPr="00CF2315">
        <w:rPr>
          <w:vertAlign w:val="baseline"/>
        </w:rPr>
        <w:t xml:space="preserve">, </w:t>
      </w:r>
      <w:r w:rsidRPr="00C229CF">
        <w:rPr>
          <w:vertAlign w:val="baseline"/>
        </w:rPr>
        <w:t>9500 Euclid Avenue, Cleveland, Ohio 44195</w:t>
      </w:r>
    </w:p>
    <w:p w14:paraId="35538473" w14:textId="77777777" w:rsidR="00C229CF" w:rsidRPr="00C229CF" w:rsidRDefault="00C229CF" w:rsidP="00C229CF">
      <w:pPr>
        <w:pStyle w:val="AuthorAffiliations"/>
        <w:rPr>
          <w:vertAlign w:val="baseline"/>
        </w:rPr>
      </w:pPr>
    </w:p>
    <w:p w14:paraId="44FBBC30" w14:textId="14D58B2A" w:rsidR="00DC349A" w:rsidRPr="00CF2315" w:rsidRDefault="00DC349A" w:rsidP="00187EFA">
      <w:pPr>
        <w:pStyle w:val="Abstract"/>
      </w:pPr>
      <w:bookmarkStart w:id="0" w:name="_Hlk21513966"/>
      <w:r w:rsidRPr="00CF2315">
        <w:rPr>
          <w:b/>
        </w:rPr>
        <w:t>Abstract</w:t>
      </w:r>
      <w:r w:rsidRPr="00CF2315">
        <w:t xml:space="preserve">. </w:t>
      </w:r>
      <w:bookmarkEnd w:id="0"/>
      <w:r w:rsidR="001A08D9" w:rsidRPr="001A08D9">
        <w:t xml:space="preserve">Glioblastoma is the most common primary brain tumor in adults with a 15-month median overall-survival. After surgical resection and radio-chemotherapy, tumor recurrence occurs in more than 90% of patients. Therapies at recurrence include bevacizumab, a monoclonal antibody to vascular endothelial growth factor (VEGF) that blocks VEGF from binding to its receptor (VEGFR). While most patients do not show improvement in overall survival, a small percent are good responders to bevacizumab with a longer overall-survival. Given the poor prognosis of glioblastoma, it is important to transition patients </w:t>
      </w:r>
      <w:r w:rsidR="001A08D9">
        <w:t xml:space="preserve">from </w:t>
      </w:r>
      <w:r w:rsidR="001A08D9" w:rsidRPr="001A08D9">
        <w:t xml:space="preserve">ineffective therapy as soon as possible. To find genetic contributors to ineffective bevacizumab response, we used computational methods to analyze existing RNA-sequencing data of human glioblastoma xenograft tumors propagated in athymic nude mice that were either poor or good responders to bevacizumab. Of note, we hallmarked </w:t>
      </w:r>
      <w:r w:rsidR="001A08D9">
        <w:t xml:space="preserve">the </w:t>
      </w:r>
      <w:r w:rsidR="001A08D9" w:rsidRPr="001A08D9">
        <w:t>angiogenic genes cholinergic receptor nicotinic alpha 7 subunit (</w:t>
      </w:r>
      <w:r w:rsidR="001A08D9">
        <w:rPr>
          <w:i/>
          <w:iCs/>
        </w:rPr>
        <w:t>CHRNA7</w:t>
      </w:r>
      <w:r w:rsidR="001A08D9" w:rsidRPr="001A08D9">
        <w:t>) to be positively enriched in poor responders’ tumor cells. In endothelial cells,</w:t>
      </w:r>
      <w:r w:rsidR="001A08D9">
        <w:t xml:space="preserve"> the gene product of</w:t>
      </w:r>
      <w:r w:rsidR="001A08D9" w:rsidRPr="001A08D9">
        <w:t xml:space="preserve"> </w:t>
      </w:r>
      <w:r w:rsidR="001A08D9" w:rsidRPr="001A08D9">
        <w:rPr>
          <w:i/>
          <w:iCs/>
        </w:rPr>
        <w:t>CHRNA7</w:t>
      </w:r>
      <w:r w:rsidR="001A08D9">
        <w:t xml:space="preserve">, </w:t>
      </w:r>
      <w:r w:rsidR="001A08D9" w:rsidRPr="001A08D9">
        <w:t>α7-nAChR</w:t>
      </w:r>
      <w:r w:rsidR="001A08D9">
        <w:t xml:space="preserve">, regulates </w:t>
      </w:r>
      <w:r w:rsidR="001A08D9" w:rsidRPr="001A08D9">
        <w:t xml:space="preserve">angiogenesis, whereas in non-brain cancer cells </w:t>
      </w:r>
      <w:r w:rsidR="001A08D9">
        <w:t xml:space="preserve">it has </w:t>
      </w:r>
      <w:r w:rsidR="001A08D9" w:rsidRPr="001A08D9">
        <w:t>been reported to promote proliferation or migration. α7-nAChR expression</w:t>
      </w:r>
      <w:r w:rsidR="001A08D9">
        <w:t>, along with several other differentially expressed angiogenic factors,</w:t>
      </w:r>
      <w:r w:rsidR="001A08D9" w:rsidRPr="001A08D9">
        <w:t xml:space="preserve"> is regulated by </w:t>
      </w:r>
      <w:r w:rsidR="001A08D9">
        <w:t xml:space="preserve">the </w:t>
      </w:r>
      <w:r w:rsidR="001A08D9" w:rsidRPr="001A08D9">
        <w:t>early growth response 1 (</w:t>
      </w:r>
      <w:r w:rsidR="001A08D9" w:rsidRPr="001A08D9">
        <w:rPr>
          <w:i/>
          <w:iCs/>
        </w:rPr>
        <w:t>EGR1</w:t>
      </w:r>
      <w:r w:rsidR="001A08D9" w:rsidRPr="001A08D9">
        <w:t>)</w:t>
      </w:r>
      <w:r w:rsidR="001A08D9">
        <w:t xml:space="preserve"> transcription factor</w:t>
      </w:r>
      <w:r w:rsidR="001A08D9" w:rsidRPr="001A08D9">
        <w:t xml:space="preserve"> which is also upregulated in poor responders to bevacizumab</w:t>
      </w:r>
      <w:r w:rsidR="001A08D9">
        <w:t>, hinting at an epigenetic response to bevacizumab</w:t>
      </w:r>
      <w:r w:rsidR="001A08D9" w:rsidRPr="001A08D9">
        <w:t>. In aggregate, our data suggest that poor responders to bevacizumab therapy show aberrant expression of endothelial genes that modulate pro-tumorigenic functions.</w:t>
      </w:r>
      <w:r w:rsidRPr="00CF2315">
        <w:t xml:space="preserve"> </w:t>
      </w:r>
    </w:p>
    <w:p w14:paraId="086F59D4" w14:textId="77777777" w:rsidR="00DC349A" w:rsidRDefault="00DC349A" w:rsidP="00B472F5">
      <w:pPr>
        <w:rPr>
          <w:b/>
        </w:rPr>
      </w:pPr>
    </w:p>
    <w:p w14:paraId="32D5CC12" w14:textId="3B01A296" w:rsidR="00CC31DC" w:rsidRPr="00C229CF" w:rsidRDefault="00187EFA" w:rsidP="00187EFA">
      <w:pPr>
        <w:pStyle w:val="Keywords"/>
      </w:pPr>
      <w:r w:rsidRPr="00187EFA">
        <w:rPr>
          <w:b/>
        </w:rPr>
        <w:t>Keywords</w:t>
      </w:r>
      <w:r>
        <w:t>:</w:t>
      </w:r>
      <w:r w:rsidR="00CC31DC" w:rsidRPr="00CF2315">
        <w:t xml:space="preserve"> </w:t>
      </w:r>
      <w:r w:rsidR="00C229CF">
        <w:t>bevacizumab</w:t>
      </w:r>
      <w:r w:rsidR="00CC31DC" w:rsidRPr="00187EFA">
        <w:t xml:space="preserve">, </w:t>
      </w:r>
      <w:r w:rsidR="00C229CF">
        <w:t>VEGF</w:t>
      </w:r>
      <w:r w:rsidR="00CC31DC" w:rsidRPr="00187EFA">
        <w:t xml:space="preserve">, </w:t>
      </w:r>
      <w:r w:rsidR="00C229CF" w:rsidRPr="00C229CF">
        <w:rPr>
          <w:i/>
          <w:iCs/>
        </w:rPr>
        <w:t>CHRNA7</w:t>
      </w:r>
      <w:r w:rsidR="00CC31DC" w:rsidRPr="00187EFA">
        <w:t xml:space="preserve">, </w:t>
      </w:r>
      <w:r w:rsidR="00C229CF" w:rsidRPr="00C229CF">
        <w:rPr>
          <w:i/>
          <w:iCs/>
        </w:rPr>
        <w:t>EGR1</w:t>
      </w:r>
      <w:r w:rsidR="00C229CF">
        <w:t xml:space="preserve">, </w:t>
      </w:r>
      <w:r w:rsidR="009F69C9">
        <w:t>glioblastoma</w:t>
      </w:r>
    </w:p>
    <w:p w14:paraId="4F028EE7" w14:textId="77777777" w:rsidR="00B472F5" w:rsidRPr="00B472F5" w:rsidRDefault="00B472F5" w:rsidP="00A7052A">
      <w:pPr>
        <w:rPr>
          <w:rFonts w:ascii="Arial" w:hAnsi="Arial" w:cs="Arial"/>
        </w:rPr>
      </w:pPr>
    </w:p>
    <w:p w14:paraId="6514BB35" w14:textId="310CF559" w:rsidR="00187EFA" w:rsidRDefault="007A7F04" w:rsidP="00C229CF">
      <w:pPr>
        <w:pStyle w:val="CorrespondingAuthorFootnote"/>
      </w:pPr>
      <w:r>
        <w:rPr>
          <w:b/>
        </w:rPr>
        <w:t>*</w:t>
      </w:r>
      <w:proofErr w:type="spellStart"/>
      <w:r w:rsidR="00C229CF">
        <w:t>Candece</w:t>
      </w:r>
      <w:proofErr w:type="spellEnd"/>
      <w:r w:rsidR="00C229CF">
        <w:t xml:space="preserve"> </w:t>
      </w:r>
      <w:proofErr w:type="spellStart"/>
      <w:r w:rsidR="00C229CF">
        <w:t>Gladson</w:t>
      </w:r>
      <w:proofErr w:type="spellEnd"/>
      <w:r>
        <w:rPr>
          <w:b/>
        </w:rPr>
        <w:t>,</w:t>
      </w:r>
      <w:r w:rsidR="00E12C3D">
        <w:t xml:space="preserve"> E-mail: </w:t>
      </w:r>
      <w:hyperlink r:id="rId11" w:history="1">
        <w:r w:rsidR="00C229CF" w:rsidRPr="00C229CF">
          <w:rPr>
            <w:rStyle w:val="Hyperlink"/>
          </w:rPr>
          <w:t>gladsoc@ccf.org</w:t>
        </w:r>
      </w:hyperlink>
    </w:p>
    <w:p w14:paraId="675EC88D" w14:textId="77777777" w:rsidR="009C68F6" w:rsidRPr="00CF2315" w:rsidRDefault="00B20918" w:rsidP="00CF2315">
      <w:pPr>
        <w:pStyle w:val="Heading1"/>
      </w:pPr>
      <w:r w:rsidRPr="00CF2315">
        <w:t>1</w:t>
      </w:r>
      <w:r w:rsidRPr="00CF2315">
        <w:tab/>
      </w:r>
      <w:r w:rsidRPr="00B20918">
        <w:t>Introduction</w:t>
      </w:r>
    </w:p>
    <w:p w14:paraId="7AE02C06" w14:textId="635F3E45" w:rsidR="00094DDF" w:rsidRPr="00094DDF" w:rsidRDefault="00094DDF" w:rsidP="00094DDF">
      <w:pPr>
        <w:pStyle w:val="Heading2"/>
        <w:rPr>
          <w:i w:val="0"/>
        </w:rPr>
      </w:pPr>
      <w:r w:rsidRPr="00094DDF">
        <w:rPr>
          <w:i w:val="0"/>
        </w:rPr>
        <w:t>Grade IV glioma, or glioblastoma, is the most common primary brain tumor in adults with a median overall survival of just 14-15 months</w:t>
      </w:r>
      <w:r>
        <w:rPr>
          <w:i w:val="0"/>
        </w:rPr>
        <w:fldChar w:fldCharType="begin"/>
      </w:r>
      <w:r>
        <w:rPr>
          <w:i w:val="0"/>
        </w:rPr>
        <w:instrText xml:space="preserve"> ADDIN ZOTERO_ITEM CSL_CITATION {"citationID":"OJUKR82z","properties":{"formattedCitation":"\\super 1\\nosupersub{}","plainCitation":"1","noteIndex":0},"citationItems":[{"id":12,"uris":["http://zotero.org/users/8255195/items/YKZ7K8U6"],"uri":["http://zotero.org/users/8255195/items/YKZ7K8U6"],"itemData":{"id":12,"type":"article-journal","abstract":"Glioblastoma (GBM) or grade IV glioma is the most common primary brain tumor in adults. Standard treatment median overall survival (OS) is only 14–15 months and less than 10% of patients will survive 5 years after diagnosis. There is no standard treatment in recurrent GBM and OS ranges from 3 to 9 months. GBM is 1 of the most vascularized human tumors and GBM cells produce vascular endothelial growth factor (VEGF). Bevacizumab, a humanized monoclonal antibody against VEGF, has demonstrated activity in vitro and in phase II trials in relapse, as well as in 1 phase III trial as first line therapy. Bevacizumab also improves quality of life for patients suffering GBM. This paper reviews the mechanism of action of bevacizumab, its metabolism and pharmacokinetic profile. It summarizes the clinical studies in recurrent and newly diagnosed GBM, its potential side effects and complications and its place in therapy.","container-title":"Clinical Medicine Insights. Oncology","DOI":"10.4137/CMO.S8503","ISSN":"1179-5549","journalAbbreviation":"Clin Med Insights Oncol","note":"PMID: 23843722\nPMCID: PMC3682734","page":"123-135","source":"PubMed Central","title":"Bevacizumab for the Treatment of Glioblastoma","volume":"7","author":[{"family":"Gil-Gil","given":"Miguel J."},{"family":"Mesia","given":"Carlos"},{"family":"Rey","given":"Montserrat"},{"family":"Bruna","given":"Jordi"}],"issued":{"date-parts":[["2013",6,6]]}}}],"schema":"https://github.com/citation-style-language/schema/raw/master/csl-citation.json"} </w:instrText>
      </w:r>
      <w:r>
        <w:rPr>
          <w:i w:val="0"/>
        </w:rPr>
        <w:fldChar w:fldCharType="separate"/>
      </w:r>
      <w:r w:rsidRPr="00094DDF">
        <w:rPr>
          <w:vertAlign w:val="superscript"/>
        </w:rPr>
        <w:t>1</w:t>
      </w:r>
      <w:r>
        <w:rPr>
          <w:i w:val="0"/>
        </w:rPr>
        <w:fldChar w:fldCharType="end"/>
      </w:r>
      <w:r w:rsidRPr="00094DDF">
        <w:rPr>
          <w:i w:val="0"/>
        </w:rPr>
        <w:t>. Despite primary treatment consisting of surgical resection followed by radiotherapy and chemotherapy, glioblastoma tumors relapse in over 90% of patients</w:t>
      </w:r>
      <w:r>
        <w:rPr>
          <w:i w:val="0"/>
        </w:rPr>
        <w:fldChar w:fldCharType="begin"/>
      </w:r>
      <w:r>
        <w:rPr>
          <w:i w:val="0"/>
        </w:rPr>
        <w:instrText xml:space="preserve"> ADDIN ZOTERO_ITEM CSL_CITATION {"citationID":"mjHjl6nB","properties":{"formattedCitation":"\\super 2\\nosupersub{}","plainCitation":"2","noteIndex":0},"citationItems":[{"id":90,"uris":["http://zotero.org/users/8255195/items/YU2NKWAG"],"uri":["http://zotero.org/users/8255195/items/YU2NKWAG"],"itemData":{"id":90,"type":"article-journal","abstract":"Newly diagnosed glioblastoma is now commonly treated with surgery, if feasible, or biopsy, followed by radiation plus concomitant and adjuvant temozolomide. The treatment of recurrent glioblastoma continues to be a moving target as new therapeutic principles enrich the standards of care for newly diagnosed disease. We reviewed PubMed and American Society of Clinical Oncology abstracts from January 2006 to January 2012 to identify clinical trials investigating the treatment of recurrent or progressive glioblastoma with nitrosoureas, temozolomide, bevacizumab, and/or combinations of these agents. At recurrence, a minority of patients are eligible for second surgery or reirradiation, based on appropriate patient selection. In temozolomide-pretreated patients, progression-free survival rates at 6 months of 20%-30% may be achieved either with nitrosoureas, temozolomide in various dosing regimens, or bevacizumab. Combination regimens among these agents or with other drugs have not produced evidence for superior activity but commonly produce more toxicity. More research is needed to better define patient profiles that predict benefit from the limited therapeutic options available after the current standard of care has failed.","container-title":"Neuro-Oncology","DOI":"10.1093/neuonc/nos273","ISSN":"1523-5866","issue":"1","journalAbbreviation":"Neuro Oncol","language":"eng","note":"PMID: 23136223\nPMCID: PMC3534423","page":"4-27","source":"PubMed","title":"Standards of care for treatment of recurrent glioblastoma--are we there yet?","volume":"15","author":[{"family":"Weller","given":"Michael"},{"family":"Cloughesy","given":"Timothy"},{"family":"Perry","given":"James R."},{"family":"Wick","given":"Wolfgang"}],"issued":{"date-parts":[["2013",1]]}}}],"schema":"https://github.com/citation-style-language/schema/raw/master/csl-citation.json"} </w:instrText>
      </w:r>
      <w:r>
        <w:rPr>
          <w:i w:val="0"/>
        </w:rPr>
        <w:fldChar w:fldCharType="separate"/>
      </w:r>
      <w:r w:rsidRPr="00094DDF">
        <w:rPr>
          <w:vertAlign w:val="superscript"/>
        </w:rPr>
        <w:t>2</w:t>
      </w:r>
      <w:r>
        <w:rPr>
          <w:i w:val="0"/>
        </w:rPr>
        <w:fldChar w:fldCharType="end"/>
      </w:r>
      <w:r w:rsidRPr="00094DDF">
        <w:rPr>
          <w:i w:val="0"/>
        </w:rPr>
        <w:t xml:space="preserve"> and within 10 weeks on average</w:t>
      </w:r>
      <w:r>
        <w:rPr>
          <w:i w:val="0"/>
        </w:rPr>
        <w:fldChar w:fldCharType="begin"/>
      </w:r>
      <w:r>
        <w:rPr>
          <w:i w:val="0"/>
        </w:rPr>
        <w:instrText xml:space="preserve"> ADDIN ZOTERO_ITEM CSL_CITATION {"citationID":"b7jn4Y25","properties":{"formattedCitation":"\\super 3\\nosupersub{}","plainCitation":"3","noteIndex":0},"citationItems":[{"id":15,"uris":["http://zotero.org/users/8255195/items/9S8YDECC"],"uri":["http://zotero.org/users/8255195/items/9S8YDECC"],"itemData":{"id":15,"type":"article-journal","abstract":"Despite advances in upfront therapy, the prognosis in the great majority of patients with glioblastoma (GBM) is poor as almost all recur and result in disease-related death. Glioblastoma are highly vascularized cancers with elevated expression levels of vascular endothelial growth factor (VEGF), the dominant mediator of angiogenesis. A compelling biologic rationale, a need for improved therapy, and positive results from studies of bevacizumab in other cancers led to the evaluation of bevacizumab in the treatment of recurrent GBM. Bevacizumab, a humanized monoclonal antibody that targets VEGF, has been shown to improve patient outcomes in combination with chemotherapy (most commonly irinotecan) in recurrent GBM, and on the basis of positive results in two prospective phase 2 studies, bevacizumab was granted accelerated approval by the US Food and Drug Administration (FDA) as a single agent in recurrent GBM. Bevacizumab therapy is associated with manageable, class-specific toxicity as severe treatment-related adverse events are observed in only a minority of patients. With the goal of addressing questions and controversies regarding the optimal use of bevacizumab, the objective of this review is to provide a summary of the clinical efficacy and safety data of bevacizumab in patients with recurrent GBM, the practical issues surrounding the administration of bevacizumab, and ongoing investigations of bevacizumab in managing GBM.","container-title":"Clinical Medicine Insights. Oncology","DOI":"10.4137/CMO.S7232","ISSN":"1179-5549","journalAbbreviation":"Clin Med Insights Oncol","note":"PMID: 21603247\nPMCID: PMC3095028","page":"117-129","source":"PubMed Central","title":"Bevacizumab for the Treatment of Recurrent Glioblastoma","volume":"5","author":[{"family":"Chamberlain","given":"Marc C."}],"issued":{"date-parts":[["2011",5,2]]}}}],"schema":"https://github.com/citation-style-language/schema/raw/master/csl-citation.json"} </w:instrText>
      </w:r>
      <w:r>
        <w:rPr>
          <w:i w:val="0"/>
        </w:rPr>
        <w:fldChar w:fldCharType="separate"/>
      </w:r>
      <w:r w:rsidRPr="00094DDF">
        <w:rPr>
          <w:vertAlign w:val="superscript"/>
        </w:rPr>
        <w:t>3</w:t>
      </w:r>
      <w:r>
        <w:rPr>
          <w:i w:val="0"/>
        </w:rPr>
        <w:fldChar w:fldCharType="end"/>
      </w:r>
      <w:r w:rsidRPr="00094DDF">
        <w:rPr>
          <w:i w:val="0"/>
        </w:rPr>
        <w:t>. There is currently no consensus for second-line therapy at recurrence, and the available options include bevacizumab therapy, new combinations of existing agents, clinical trials of new agents, and additional chemotherapy.</w:t>
      </w:r>
    </w:p>
    <w:p w14:paraId="49375721" w14:textId="4B5A901B" w:rsidR="00094DDF" w:rsidRPr="00094DDF" w:rsidRDefault="00094DDF" w:rsidP="00094DDF">
      <w:pPr>
        <w:pStyle w:val="Heading2"/>
        <w:rPr>
          <w:i w:val="0"/>
        </w:rPr>
      </w:pPr>
      <w:r w:rsidRPr="00094DDF">
        <w:rPr>
          <w:i w:val="0"/>
        </w:rPr>
        <w:t>Glioblastoma is known to be a highly vascular, proliferative and invasive tumor</w:t>
      </w:r>
      <w:r>
        <w:rPr>
          <w:i w:val="0"/>
        </w:rPr>
        <w:fldChar w:fldCharType="begin"/>
      </w:r>
      <w:r>
        <w:rPr>
          <w:i w:val="0"/>
        </w:rPr>
        <w:instrText xml:space="preserve"> ADDIN ZOTERO_ITEM CSL_CITATION {"citationID":"H0PdPuhp","properties":{"formattedCitation":"\\super 3\\nosupersub{}","plainCitation":"3","noteIndex":0},"citationItems":[{"id":15,"uris":["http://zotero.org/users/8255195/items/9S8YDECC"],"uri":["http://zotero.org/users/8255195/items/9S8YDECC"],"itemData":{"id":15,"type":"article-journal","abstract":"Despite advances in upfront therapy, the prognosis in the great majority of patients with glioblastoma (GBM) is poor as almost all recur and result in disease-related death. Glioblastoma are highly vascularized cancers with elevated expression levels of vascular endothelial growth factor (VEGF), the dominant mediator of angiogenesis. A compelling biologic rationale, a need for improved therapy, and positive results from studies of bevacizumab in other cancers led to the evaluation of bevacizumab in the treatment of recurrent GBM. Bevacizumab, a humanized monoclonal antibody that targets VEGF, has been shown to improve patient outcomes in combination with chemotherapy (most commonly irinotecan) in recurrent GBM, and on the basis of positive results in two prospective phase 2 studies, bevacizumab was granted accelerated approval by the US Food and Drug Administration (FDA) as a single agent in recurrent GBM. Bevacizumab therapy is associated with manageable, class-specific toxicity as severe treatment-related adverse events are observed in only a minority of patients. With the goal of addressing questions and controversies regarding the optimal use of bevacizumab, the objective of this review is to provide a summary of the clinical efficacy and safety data of bevacizumab in patients with recurrent GBM, the practical issues surrounding the administration of bevacizumab, and ongoing investigations of bevacizumab in managing GBM.","container-title":"Clinical Medicine Insights. Oncology","DOI":"10.4137/CMO.S7232","ISSN":"1179-5549","journalAbbreviation":"Clin Med Insights Oncol","note":"PMID: 21603247\nPMCID: PMC3095028","page":"117-129","source":"PubMed Central","title":"Bevacizumab for the Treatment of Recurrent Glioblastoma","volume":"5","author":[{"family":"Chamberlain","given":"Marc C."}],"issued":{"date-parts":[["2011",5,2]]}}}],"schema":"https://github.com/citation-style-language/schema/raw/master/csl-citation.json"} </w:instrText>
      </w:r>
      <w:r>
        <w:rPr>
          <w:i w:val="0"/>
        </w:rPr>
        <w:fldChar w:fldCharType="separate"/>
      </w:r>
      <w:r w:rsidRPr="00094DDF">
        <w:rPr>
          <w:vertAlign w:val="superscript"/>
        </w:rPr>
        <w:t>3</w:t>
      </w:r>
      <w:r>
        <w:rPr>
          <w:i w:val="0"/>
        </w:rPr>
        <w:fldChar w:fldCharType="end"/>
      </w:r>
      <w:r w:rsidRPr="00094DDF">
        <w:rPr>
          <w:i w:val="0"/>
        </w:rPr>
        <w:t xml:space="preserve">. One second-line option for therapy is to selectively target angiogenesis, with the goal of reducing nutrient </w:t>
      </w:r>
      <w:r w:rsidRPr="00094DDF">
        <w:rPr>
          <w:i w:val="0"/>
        </w:rPr>
        <w:lastRenderedPageBreak/>
        <w:t>supply to tumor cells and potentially inducing downstream death of tumor cells. Due in part to the highly vascular nature of glioblastoma, the U.S. Food and Drug Administration (FDA) has approved single-agent use of bevacizumab as a second-line treatment for recurrent glioblastoma</w:t>
      </w:r>
      <w:r>
        <w:rPr>
          <w:i w:val="0"/>
        </w:rPr>
        <w:fldChar w:fldCharType="begin"/>
      </w:r>
      <w:r>
        <w:rPr>
          <w:i w:val="0"/>
        </w:rPr>
        <w:instrText xml:space="preserve"> ADDIN ZOTERO_ITEM CSL_CITATION {"citationID":"rxsUzpCb","properties":{"formattedCitation":"\\super 4\\nosupersub{}","plainCitation":"4","noteIndex":0},"citationItems":[{"id":21,"uris":["http://zotero.org/users/8255195/items/QZ7HIQSH"],"uri":["http://zotero.org/users/8255195/items/QZ7HIQSH"],"itemData":{"id":21,"type":"article-journal","abstract":"On May 5, 2009, the U.S. Food and Drug Administration granted accelerated approval to bevacizumab injection (Avastin; Genentech, Inc., South San Francisco, CA) as a single agent for patients with glioblastoma multiforme (GBM) with progressive disease following prior therapy. The approval was based on durable objective responses (independent radiologic review with stable or decreasing corticosteroid use). Two trials evaluating bevacizumab, 10 mg/kg by i.v. infusion every 2 weeks, were submitted. One trial also randomized patients to bevacizumab plus irinotecan treatment. All patients had received prior surgery, radiotherapy, and temozolomide. Patients with active brain hemorrhage were excluded. One trial enrolled 78 independently confirmed GBM patients. Partial responses were observed in 25.9% (95% confidence interval [CI], 17.0%-36.1%) of the patients. The median response duration was 4.2 months (95% CI, 3.0-5.7 months). The second trial enrolled 56 GBM patients. Partial responses were observed in 19.6% (95% CI, 10.9%-31.3%) of the patients. The median response duration was 3.9 months (95% CI, 2.4-17.4 months). Safety data were provided for the first study. The most frequently reported bevacizumab adverse events of any grade were infection, fatigue, headache, hypertension, epistaxis, and diarrhea. Grade 3-5 bevacizumab-related adverse events included bleeding/hemorrhage, central nervous system (CNS) hemorrhage, hypertension, venous and arterial thromboembolic events, wound-healing complications, proteinuria, gastrointestinal perforation, and reversible posterior leukoencephalopathy. The attribution of certain adverse events (e.g., CNS hemorrhage, wound-healing complications, and thromboembolic events) to either bevacizumab, underlying disease, or both could not be determined because of the single-arm, noncomparative study design.","container-title":"The Oncologist","DOI":"10.1634/theoncologist.2009-0121","ISSN":"1549-490X","issue":"11","journalAbbreviation":"Oncologist","language":"eng","note":"PMID: 19897538","page":"1131-1138","source":"PubMed","title":"FDA drug approval summary: bevacizumab (Avastin) as treatment of recurrent glioblastoma multiforme","title-short":"FDA drug approval summary","volume":"14","author":[{"family":"Cohen","given":"Martin H."},{"family":"Shen","given":"Yuan Li"},{"family":"Keegan","given":"Patricia"},{"family":"Pazdur","given":"Richard"}],"issued":{"date-parts":[["2009",11]]}}}],"schema":"https://github.com/citation-style-language/schema/raw/master/csl-citation.json"} </w:instrText>
      </w:r>
      <w:r>
        <w:rPr>
          <w:i w:val="0"/>
        </w:rPr>
        <w:fldChar w:fldCharType="separate"/>
      </w:r>
      <w:r w:rsidRPr="00094DDF">
        <w:rPr>
          <w:vertAlign w:val="superscript"/>
        </w:rPr>
        <w:t>4</w:t>
      </w:r>
      <w:r>
        <w:rPr>
          <w:i w:val="0"/>
        </w:rPr>
        <w:fldChar w:fldCharType="end"/>
      </w:r>
      <w:r w:rsidRPr="00094DDF">
        <w:rPr>
          <w:i w:val="0"/>
        </w:rPr>
        <w:t>. Bevacizumab is a humanized monoclonal antibody directed towards vascular endothelial growth factor-A (VEGF) and is a frequently</w:t>
      </w:r>
      <w:r>
        <w:rPr>
          <w:i w:val="0"/>
        </w:rPr>
        <w:t xml:space="preserve"> </w:t>
      </w:r>
      <w:r w:rsidRPr="00094DDF">
        <w:rPr>
          <w:i w:val="0"/>
        </w:rPr>
        <w:t>used therapy for patients with recurrent glioblastoma. VEGF binds the VEGF receptors (VEGFR1 and 2) and signals for survival, proliferation and migration. Bevacizumab binds to circulating VEGF, as well as VEGF in the perivascular tumor niche</w:t>
      </w:r>
      <w:r>
        <w:rPr>
          <w:i w:val="0"/>
        </w:rPr>
        <w:fldChar w:fldCharType="begin"/>
      </w:r>
      <w:r>
        <w:rPr>
          <w:i w:val="0"/>
        </w:rPr>
        <w:instrText xml:space="preserve"> ADDIN ZOTERO_ITEM CSL_CITATION {"citationID":"vq0yNVVW","properties":{"formattedCitation":"\\super 5\\nosupersub{}","plainCitation":"5","noteIndex":0},"citationItems":[{"id":69,"uris":["http://zotero.org/users/8255195/items/GUTQ5933"],"uri":["http://zotero.org/users/8255195/items/GUTQ5933"],"itemData":{"id":69,"type":"article-journal","abstract":"Purpose: Bevacizumab, a humanized monoclonal antibody to VEGF, is used routinely in the treatment of patients with recurrent glioblastoma (GBM). However, very little is known regarding the effects of bevacizumab on the cells in the perivascular space in tumors.\nExperimental Design: Established orthotopic xenograft and syngeneic models of GBM were used to determine entry of monoclonal anti-VEGF-A into, and uptake by cells in, the perivascular space. Based on the results, we examined CD133+ cells derived from GBM tumors in vitro. Bevacizumab internalization, trafficking, and effects on cell survival were analyzed using multilabel confocal microscopy, immunoblotting, and cytotoxicity assays in the presence/absence of inhibitors.\nResults: In the GBM mouse models, administered anti-mouse-VEGF-A entered the perivascular tumor niche and was internalized by Sox2+/CD44+ tumor cells. In the perivascular tumor cells, bevacizumab was detected in the recycling compartment or the lysosomes, and increased autophagy was found. Bevacizumab was internalized rapidly by CD133+/Sox2+-GBM cells in vitro through macropinocytosis with a fraction being trafficked to a recycling compartment, independent of FcRn, and a fraction to lysosomes. Bevacizumab treatment of CD133+ GBM cells depleted VEGF-A and induced autophagy thereby improving cell survival. An inhibitor of lysosomal acidification decreased bevacizumab-induced autophagy and increased cell death. Inhibition of macropinocytosis increased cell death, suggesting macropinocytosis of bevacizumab promotes CD133+ cell survival.\nConclusions: We demonstrate that bevacizumab is internalized by Sox2+/CD44+-GBM tumor cells residing in the perivascular tumor niche. Macropinocytosis of bevacizumab and trafficking to the lysosomes promotes CD133+ cell survival, as does the autophagy induced by bevacizumab depletion of VEGF-A. Clin Cancer Res; 23(22); 7059–71. ©2017 AACR.","container-title":"Clinical Cancer Research","DOI":"10.1158/1078-0432.CCR-17-0249","ISSN":"1078-0432, 1557-3265","issue":"22","journalAbbreviation":"Clin Cancer Res","language":"en","note":"publisher: American Association for Cancer Research\nsection: Biology of Human Tumors\nPMID: 28912141","page":"7059-7071","source":"clincancerres.aacrjournals.org","title":"Macropinocytosis of Bevacizumab by Glioblastoma Cells in the Perivascular Niche Affects their Survival","volume":"23","author":[{"family":"Müller-Greven","given":"Gaëlle"},{"family":"Carlin","given":"Cathleen R."},{"family":"Burgett","given":"Monica E."},{"family":"Ahluwalia","given":"Manmeet S."},{"family":"Lauko","given":"Adam"},{"family":"Nowacki","given":"Amy S."},{"family":"Herting","given":"Cameron J."},{"family":"Qadan","given":"Maha A."},{"family":"Bredel","given":"Markus"},{"family":"Toms","given":"Steven A."},{"family":"Lathia","given":"Justin D."},{"family":"Hambardzumyan","given":"Dolores"},{"family":"Sarkaria","given":"Jann N."},{"family":"Hamerlik","given":"Petra"},{"family":"Gladson","given":"Candece L."}],"issued":{"date-parts":[["2017",11,15]]}}}],"schema":"https://github.com/citation-style-language/schema/raw/master/csl-citation.json"} </w:instrText>
      </w:r>
      <w:r>
        <w:rPr>
          <w:i w:val="0"/>
        </w:rPr>
        <w:fldChar w:fldCharType="separate"/>
      </w:r>
      <w:r w:rsidRPr="00094DDF">
        <w:rPr>
          <w:vertAlign w:val="superscript"/>
        </w:rPr>
        <w:t>5</w:t>
      </w:r>
      <w:r>
        <w:rPr>
          <w:i w:val="0"/>
        </w:rPr>
        <w:fldChar w:fldCharType="end"/>
      </w:r>
      <w:r w:rsidRPr="00094DDF">
        <w:rPr>
          <w:i w:val="0"/>
        </w:rPr>
        <w:t>, competitively preventing VEGF binding/signaling through its receptor (VEGFR), and thereby dampening angiogenesis and in some instances tumor progression</w:t>
      </w:r>
      <w:r>
        <w:rPr>
          <w:i w:val="0"/>
        </w:rPr>
        <w:fldChar w:fldCharType="begin"/>
      </w:r>
      <w:r>
        <w:rPr>
          <w:i w:val="0"/>
        </w:rPr>
        <w:instrText xml:space="preserve"> ADDIN ZOTERO_ITEM CSL_CITATION {"citationID":"bxwL3HIx","properties":{"formattedCitation":"\\super 6\\nosupersub{}","plainCitation":"6","noteIndex":0},"citationItems":[{"id":18,"uris":["http://zotero.org/users/8255195/items/CHYZHQCX"],"uri":["http://zotero.org/users/8255195/items/CHYZHQCX"],"itemData":{"id":18,"type":"article-journal","abstract":"The use of bevacizumab as a single agent and in combination therapy for different tumor types is reviewed., After completing this course, the reader will be able to:\nEvaluate the clinical use of bevacizumab, both for cancer and for non-oncologic diseases, and discuss approved and investigational combination chemotherapies that include bevacizumab.Describe the pharmacology of bevacizumab and its mechanism of action in order to predict degrees of patient response., This article is available for continuing medical education credit at CME.TheOncologist.com.","container-title":"The Oncologist","DOI":"10.1634/theoncologist.2009-0317","ISSN":"1083-7159","issue":"8","journalAbbreviation":"Oncologist","note":"PMID: 20688807\nPMCID: PMC3228024","page":"819-825","source":"PubMed Central","title":"Bevacizumab","volume":"15","author":[{"family":"Kazazi-Hyseni","given":"Filis"},{"family":"Beijnen","given":"Jos H."},{"family":"Schellens","given":"Jan H. M."}],"issued":{"date-parts":[["2010",8]]}}}],"schema":"https://github.com/citation-style-language/schema/raw/master/csl-citation.json"} </w:instrText>
      </w:r>
      <w:r>
        <w:rPr>
          <w:i w:val="0"/>
        </w:rPr>
        <w:fldChar w:fldCharType="separate"/>
      </w:r>
      <w:r w:rsidRPr="00094DDF">
        <w:rPr>
          <w:vertAlign w:val="superscript"/>
        </w:rPr>
        <w:t>6</w:t>
      </w:r>
      <w:r>
        <w:rPr>
          <w:i w:val="0"/>
        </w:rPr>
        <w:fldChar w:fldCharType="end"/>
      </w:r>
      <w:r w:rsidRPr="00094DDF">
        <w:rPr>
          <w:i w:val="0"/>
        </w:rPr>
        <w:t>.</w:t>
      </w:r>
      <w:r>
        <w:rPr>
          <w:i w:val="0"/>
        </w:rPr>
        <w:t xml:space="preserve"> </w:t>
      </w:r>
      <w:r w:rsidRPr="00094DDF">
        <w:rPr>
          <w:i w:val="0"/>
        </w:rPr>
        <w:t>Unfortunately, bevacizumab therapy alone improves overall patient survival in only a small percentage of patients</w:t>
      </w:r>
      <w:r>
        <w:rPr>
          <w:i w:val="0"/>
        </w:rPr>
        <w:fldChar w:fldCharType="begin"/>
      </w:r>
      <w:r>
        <w:rPr>
          <w:i w:val="0"/>
        </w:rPr>
        <w:instrText xml:space="preserve"> ADDIN ZOTERO_ITEM CSL_CITATION {"citationID":"T7C3CvIt","properties":{"formattedCitation":"\\super 6\\nosupersub{}","plainCitation":"6","noteIndex":0},"citationItems":[{"id":18,"uris":["http://zotero.org/users/8255195/items/CHYZHQCX"],"uri":["http://zotero.org/users/8255195/items/CHYZHQCX"],"itemData":{"id":18,"type":"article-journal","abstract":"The use of bevacizumab as a single agent and in combination therapy for different tumor types is reviewed., After completing this course, the reader will be able to:\nEvaluate the clinical use of bevacizumab, both for cancer and for non-oncologic diseases, and discuss approved and investigational combination chemotherapies that include bevacizumab.Describe the pharmacology of bevacizumab and its mechanism of action in order to predict degrees of patient response., This article is available for continuing medical education credit at CME.TheOncologist.com.","container-title":"The Oncologist","DOI":"10.1634/theoncologist.2009-0317","ISSN":"1083-7159","issue":"8","journalAbbreviation":"Oncologist","note":"PMID: 20688807\nPMCID: PMC3228024","page":"819-825","source":"PubMed Central","title":"Bevacizumab","volume":"15","author":[{"family":"Kazazi-Hyseni","given":"Filis"},{"family":"Beijnen","given":"Jos H."},{"family":"Schellens","given":"Jan H. M."}],"issued":{"date-parts":[["2010",8]]}}}],"schema":"https://github.com/citation-style-language/schema/raw/master/csl-citation.json"} </w:instrText>
      </w:r>
      <w:r>
        <w:rPr>
          <w:i w:val="0"/>
        </w:rPr>
        <w:fldChar w:fldCharType="separate"/>
      </w:r>
      <w:r w:rsidRPr="00094DDF">
        <w:rPr>
          <w:vertAlign w:val="superscript"/>
        </w:rPr>
        <w:t>6</w:t>
      </w:r>
      <w:r>
        <w:rPr>
          <w:i w:val="0"/>
        </w:rPr>
        <w:fldChar w:fldCharType="end"/>
      </w:r>
      <w:r w:rsidRPr="00094DDF">
        <w:rPr>
          <w:i w:val="0"/>
        </w:rPr>
        <w:t>, nevertheless bevacizumab therapy is frequently used as a second line therapy as it mitigates brain edema and enhances the quality of life for patients. The mechanisms for resistance to anti-VEGF therapy in glioblastoma are still being identified. Therefore, identifying molecular drivers of poor response to bevacizumab therapy could aid in identifying patients with glioblastoma who would be poor responders, in order to transition such patients to alternative therapies.</w:t>
      </w:r>
    </w:p>
    <w:p w14:paraId="47830FFD" w14:textId="5B5D67BF" w:rsidR="00094DDF" w:rsidRDefault="00094DDF" w:rsidP="00094DDF">
      <w:pPr>
        <w:pStyle w:val="Heading2"/>
        <w:rPr>
          <w:i w:val="0"/>
        </w:rPr>
      </w:pPr>
      <w:r w:rsidRPr="00094DDF">
        <w:rPr>
          <w:i w:val="0"/>
        </w:rPr>
        <w:t>While computational identification of differentially expressed genes can be used to delineate patients with predicted poor response to bevacizumab, it alone does not improve patient prognosis. In the long term, understanding the molecular mechanisms driving a good and a poor response to bevacizumab could highlight candidate targets for combination therapy, opening a new subset of patients to bevacizumab therapy through synthetic lethality. Thus, finding candidate molecular targets that when targeted would be additive or synergistic in effect with bevacizumab</w:t>
      </w:r>
      <w:r>
        <w:rPr>
          <w:i w:val="0"/>
        </w:rPr>
        <w:t xml:space="preserve"> </w:t>
      </w:r>
      <w:r w:rsidRPr="00094DDF">
        <w:rPr>
          <w:i w:val="0"/>
        </w:rPr>
        <w:t>therapy, could improve median overall survival while retaining the anti-</w:t>
      </w:r>
      <w:r w:rsidRPr="00094DDF">
        <w:rPr>
          <w:i w:val="0"/>
        </w:rPr>
        <w:lastRenderedPageBreak/>
        <w:t>symptomatic benefits (enhanced quality of life) for patients with recurrent glioblastoma that are treated with bevacizumab.</w:t>
      </w:r>
      <w:r w:rsidR="00DB490D">
        <w:rPr>
          <w:i w:val="0"/>
        </w:rPr>
        <w:t xml:space="preserve"> Here we use bulk RNA-sequencing techniques in tandem with immunohistochemical validation to highlight key genomic differences in differential responders to bevacizumab and propose potential novel therapeutic targets to be used in conjunction with bevacizumab therapy. </w:t>
      </w:r>
    </w:p>
    <w:p w14:paraId="603EAE9D" w14:textId="2A0147DC" w:rsidR="00023A72" w:rsidRPr="00CF2315" w:rsidRDefault="00B20918" w:rsidP="00CF2315">
      <w:pPr>
        <w:pStyle w:val="Heading1"/>
      </w:pPr>
      <w:r>
        <w:t>2</w:t>
      </w:r>
      <w:r>
        <w:tab/>
      </w:r>
      <w:r w:rsidR="00DB490D">
        <w:t>Methods</w:t>
      </w:r>
    </w:p>
    <w:p w14:paraId="5FBDAF13" w14:textId="01E9282B" w:rsidR="00574E5A" w:rsidRPr="00F155F4" w:rsidRDefault="00DB490D" w:rsidP="00B03DEA">
      <w:pPr>
        <w:pStyle w:val="BodyText"/>
      </w:pPr>
      <w:r>
        <w:t xml:space="preserve">Human patient-derived xenograft tumors (PDXs) were </w:t>
      </w:r>
      <w:r w:rsidRPr="00DB490D">
        <w:t>propagated orthotopically in athymic nude mice</w:t>
      </w:r>
      <w:r>
        <w:t xml:space="preserve">. Good and poor responders to bevacizumab therapy were defined by their median overall survival time under bevacizumab treatment, with poor responders having a significantly shorter median overall survival time and good responders having no significant change or a significantly longer median overall survival time relative to the median. Tumor tissues were harvested at euthanasia for immunohistochemical and RNA-sequencing analysis. </w:t>
      </w:r>
    </w:p>
    <w:p w14:paraId="0AF25747" w14:textId="296554E1" w:rsidR="00E12C3D" w:rsidRPr="00B20918" w:rsidRDefault="00EB71E2" w:rsidP="00B20918">
      <w:pPr>
        <w:pStyle w:val="Heading2"/>
      </w:pPr>
      <w:r w:rsidRPr="00B20918">
        <w:t>2</w:t>
      </w:r>
      <w:r w:rsidR="00E12C3D" w:rsidRPr="00B20918">
        <w:t xml:space="preserve">.1 </w:t>
      </w:r>
      <w:r w:rsidR="00DB490D">
        <w:t>Biochemical Methods</w:t>
      </w:r>
    </w:p>
    <w:p w14:paraId="56A95F78" w14:textId="4864D7C5" w:rsidR="00E12C3D" w:rsidRPr="00E12C3D" w:rsidRDefault="007C3061" w:rsidP="00DB706E">
      <w:pPr>
        <w:pStyle w:val="BodyTextIndented"/>
        <w:ind w:firstLine="0"/>
      </w:pPr>
      <w:r>
        <w:t>FLAG</w:t>
      </w:r>
    </w:p>
    <w:p w14:paraId="3B8B547A" w14:textId="548FDCC6" w:rsidR="00D018A6" w:rsidRDefault="00EB71E2" w:rsidP="00B20918">
      <w:pPr>
        <w:pStyle w:val="Heading2"/>
      </w:pPr>
      <w:r w:rsidRPr="00B20918">
        <w:t>2</w:t>
      </w:r>
      <w:r w:rsidR="00F155F4" w:rsidRPr="00B20918">
        <w:t>.</w:t>
      </w:r>
      <w:r w:rsidRPr="00B20918">
        <w:t>2</w:t>
      </w:r>
      <w:r w:rsidR="00EF010D" w:rsidRPr="00B20918">
        <w:tab/>
      </w:r>
      <w:r w:rsidR="00DB490D">
        <w:t xml:space="preserve">Computational </w:t>
      </w:r>
      <w:r w:rsidR="00882DD3">
        <w:t>Analysis</w:t>
      </w:r>
    </w:p>
    <w:p w14:paraId="6D377F33" w14:textId="5CDDABD4" w:rsidR="00DF55BE" w:rsidRPr="00DF55BE" w:rsidRDefault="00FD071F" w:rsidP="00DF55BE">
      <w:pPr>
        <w:pStyle w:val="BodyTextIndented"/>
        <w:tabs>
          <w:tab w:val="left" w:pos="3459"/>
        </w:tabs>
        <w:ind w:firstLine="0"/>
      </w:pPr>
      <w:r>
        <w:t xml:space="preserve">RNA sequencing was done through the </w:t>
      </w:r>
      <w:r w:rsidR="00DB490D">
        <w:t>Illumina Next-Gen</w:t>
      </w:r>
      <w:r>
        <w:t>eration</w:t>
      </w:r>
      <w:r w:rsidR="00DB490D">
        <w:t xml:space="preserve"> Sequencing </w:t>
      </w:r>
      <w:r w:rsidR="00DB490D">
        <w:tab/>
        <w:t>(NGS)</w:t>
      </w:r>
      <w:r>
        <w:t xml:space="preserve"> protocol. Following quality control,</w:t>
      </w:r>
      <w:r w:rsidR="00DB490D">
        <w:t xml:space="preserve"> reads were </w:t>
      </w:r>
      <w:r>
        <w:t>processed through sequential pairing</w:t>
      </w:r>
      <w:r w:rsidR="00DB490D">
        <w:t xml:space="preserve">, </w:t>
      </w:r>
      <w:r>
        <w:t xml:space="preserve">alignment, </w:t>
      </w:r>
      <w:r w:rsidR="0090621F">
        <w:t>and mapping</w:t>
      </w:r>
      <w:r>
        <w:t>.</w:t>
      </w:r>
      <w:r w:rsidR="006F6C5D">
        <w:t xml:space="preserve"> Subsequently processed reads </w:t>
      </w:r>
      <w:r w:rsidR="00E61DAF">
        <w:t xml:space="preserve">were analyzed in R. </w:t>
      </w:r>
      <w:r w:rsidR="00515ADD">
        <w:t xml:space="preserve">Group factoring by PDX is shown in </w:t>
      </w:r>
      <w:r w:rsidR="00CC0911">
        <w:t xml:space="preserve">Supplemental </w:t>
      </w:r>
      <w:r w:rsidR="00515ADD">
        <w:t>Table 1.</w:t>
      </w:r>
    </w:p>
    <w:p w14:paraId="25A8E758" w14:textId="20E84E94" w:rsidR="00DB706E" w:rsidRPr="00DB706E" w:rsidRDefault="00DB706E" w:rsidP="00B20918">
      <w:pPr>
        <w:pStyle w:val="Heading2"/>
        <w:rPr>
          <w:i w:val="0"/>
          <w:iCs/>
        </w:rPr>
      </w:pPr>
      <w:r w:rsidRPr="00DB706E">
        <w:rPr>
          <w:i w:val="0"/>
          <w:iCs/>
        </w:rPr>
        <w:lastRenderedPageBreak/>
        <w:t xml:space="preserve">All analysis was done using </w:t>
      </w:r>
      <w:proofErr w:type="spellStart"/>
      <w:r w:rsidRPr="00DB706E">
        <w:rPr>
          <w:i w:val="0"/>
          <w:iCs/>
        </w:rPr>
        <w:t>GalaxyProject</w:t>
      </w:r>
      <w:proofErr w:type="spellEnd"/>
      <w:r w:rsidRPr="00DB706E">
        <w:rPr>
          <w:i w:val="0"/>
          <w:iCs/>
        </w:rPr>
        <w:t xml:space="preserve"> (version 2.11.0) and R (version 4.0.3). All plots were generated using ggplot2 (version 3.3.5) and all tables were generated using </w:t>
      </w:r>
      <w:proofErr w:type="spellStart"/>
      <w:r w:rsidRPr="00DB706E">
        <w:rPr>
          <w:i w:val="0"/>
          <w:iCs/>
        </w:rPr>
        <w:t>gt</w:t>
      </w:r>
      <w:proofErr w:type="spellEnd"/>
      <w:r w:rsidRPr="00DB706E">
        <w:rPr>
          <w:i w:val="0"/>
          <w:iCs/>
        </w:rPr>
        <w:t xml:space="preserve"> (version 0.3.0).</w:t>
      </w:r>
    </w:p>
    <w:p w14:paraId="3D7B3603" w14:textId="37CBEF52" w:rsidR="00CC31DC" w:rsidRPr="00B20918" w:rsidRDefault="00EB71E2" w:rsidP="00B20918">
      <w:pPr>
        <w:pStyle w:val="Heading2"/>
      </w:pPr>
      <w:r w:rsidRPr="00B20918">
        <w:t>2</w:t>
      </w:r>
      <w:r w:rsidR="00CC31DC" w:rsidRPr="00B20918">
        <w:t>.</w:t>
      </w:r>
      <w:r w:rsidR="00DB490D">
        <w:t>2.1</w:t>
      </w:r>
      <w:r w:rsidR="00CC31DC" w:rsidRPr="00B20918">
        <w:t xml:space="preserve"> </w:t>
      </w:r>
      <w:r w:rsidR="00E61DAF">
        <w:t>Data loading</w:t>
      </w:r>
      <w:r w:rsidR="00882DD3">
        <w:t xml:space="preserve">, </w:t>
      </w:r>
      <w:r w:rsidR="00E61DAF">
        <w:t>FASTQ extraction</w:t>
      </w:r>
      <w:r w:rsidR="00882DD3">
        <w:t>, and preprocessing</w:t>
      </w:r>
    </w:p>
    <w:p w14:paraId="3C7349C4" w14:textId="45271FFB" w:rsidR="00F454C9" w:rsidRDefault="00E61DAF" w:rsidP="00F454C9">
      <w:pPr>
        <w:pStyle w:val="Heading2"/>
        <w:rPr>
          <w:i w:val="0"/>
        </w:rPr>
      </w:pPr>
      <w:r w:rsidRPr="00E61DAF">
        <w:rPr>
          <w:i w:val="0"/>
        </w:rPr>
        <w:t xml:space="preserve">Data was retrieved in the SRA format from the NCBI directly onto </w:t>
      </w:r>
      <w:proofErr w:type="spellStart"/>
      <w:r w:rsidRPr="00E61DAF">
        <w:rPr>
          <w:i w:val="0"/>
        </w:rPr>
        <w:t>GalaxyProject</w:t>
      </w:r>
      <w:proofErr w:type="spellEnd"/>
      <w:r w:rsidRPr="00E61DAF">
        <w:rPr>
          <w:i w:val="0"/>
        </w:rPr>
        <w:t xml:space="preserve"> servers. Using the </w:t>
      </w:r>
      <w:r w:rsidR="00AC60DD">
        <w:rPr>
          <w:i w:val="0"/>
        </w:rPr>
        <w:t>“</w:t>
      </w:r>
      <w:r w:rsidRPr="00AC60DD">
        <w:rPr>
          <w:i w:val="0"/>
        </w:rPr>
        <w:t>Download and Extract Reads in FASTA/Q</w:t>
      </w:r>
      <w:r w:rsidR="00AC60DD">
        <w:rPr>
          <w:i w:val="0"/>
        </w:rPr>
        <w:t>”</w:t>
      </w:r>
      <w:r w:rsidR="00515ADD">
        <w:rPr>
          <w:i w:val="0"/>
        </w:rPr>
        <w:t xml:space="preserve"> </w:t>
      </w:r>
      <w:r w:rsidRPr="00E61DAF">
        <w:rPr>
          <w:i w:val="0"/>
        </w:rPr>
        <w:t xml:space="preserve">workflow, </w:t>
      </w:r>
      <w:proofErr w:type="spellStart"/>
      <w:r w:rsidRPr="00E61DAF">
        <w:rPr>
          <w:i w:val="0"/>
        </w:rPr>
        <w:t>fastq</w:t>
      </w:r>
      <w:proofErr w:type="spellEnd"/>
      <w:r w:rsidRPr="00E61DAF">
        <w:rPr>
          <w:i w:val="0"/>
        </w:rPr>
        <w:t xml:space="preserve"> files were generated from the </w:t>
      </w:r>
      <w:r>
        <w:rPr>
          <w:i w:val="0"/>
        </w:rPr>
        <w:t>SRA</w:t>
      </w:r>
      <w:r w:rsidRPr="00E61DAF">
        <w:rPr>
          <w:i w:val="0"/>
        </w:rPr>
        <w:t>.</w:t>
      </w:r>
      <w:r>
        <w:rPr>
          <w:i w:val="0"/>
        </w:rPr>
        <w:t xml:space="preserve"> </w:t>
      </w:r>
      <w:r w:rsidRPr="00E61DAF">
        <w:rPr>
          <w:i w:val="0"/>
        </w:rPr>
        <w:t xml:space="preserve">Reads were aligned to the hg19 reference genome using HISAT2. Specified parameters were </w:t>
      </w:r>
      <w:proofErr w:type="spellStart"/>
      <w:r w:rsidRPr="00E61DAF">
        <w:rPr>
          <w:i w:val="0"/>
        </w:rPr>
        <w:t>unstranded</w:t>
      </w:r>
      <w:proofErr w:type="spellEnd"/>
      <w:r w:rsidRPr="00E61DAF">
        <w:rPr>
          <w:i w:val="0"/>
        </w:rPr>
        <w:t xml:space="preserve"> paired-end data from a single interleaved dataset.</w:t>
      </w:r>
      <w:r w:rsidR="00882DD3">
        <w:rPr>
          <w:i w:val="0"/>
        </w:rPr>
        <w:t xml:space="preserve"> </w:t>
      </w:r>
      <w:r w:rsidR="00F454C9">
        <w:rPr>
          <w:i w:val="0"/>
        </w:rPr>
        <w:t>Sample-level quality</w:t>
      </w:r>
      <w:r w:rsidR="00DF55BE">
        <w:rPr>
          <w:i w:val="0"/>
        </w:rPr>
        <w:t xml:space="preserve"> control </w:t>
      </w:r>
      <w:r w:rsidR="00F454C9">
        <w:rPr>
          <w:i w:val="0"/>
        </w:rPr>
        <w:t>was done through principal component analysis</w:t>
      </w:r>
      <w:r w:rsidR="00DF55BE">
        <w:rPr>
          <w:i w:val="0"/>
        </w:rPr>
        <w:t xml:space="preserve"> (PCA)</w:t>
      </w:r>
      <w:r w:rsidR="00F454C9">
        <w:rPr>
          <w:i w:val="0"/>
        </w:rPr>
        <w:t>. Properly clustered points were retained for downstream analysis</w:t>
      </w:r>
      <w:r w:rsidR="00D94F98">
        <w:rPr>
          <w:i w:val="0"/>
        </w:rPr>
        <w:t xml:space="preserve"> (Supplemental Figure 1A)</w:t>
      </w:r>
      <w:r w:rsidR="00F454C9">
        <w:rPr>
          <w:i w:val="0"/>
        </w:rPr>
        <w:t xml:space="preserve">. </w:t>
      </w:r>
      <w:r w:rsidR="00DF55BE">
        <w:rPr>
          <w:i w:val="0"/>
        </w:rPr>
        <w:t xml:space="preserve">A </w:t>
      </w:r>
      <w:r w:rsidR="00F454C9" w:rsidRPr="00F454C9">
        <w:rPr>
          <w:i w:val="0"/>
        </w:rPr>
        <w:t xml:space="preserve">dendrogram </w:t>
      </w:r>
      <w:r w:rsidR="00DF55BE">
        <w:rPr>
          <w:i w:val="0"/>
        </w:rPr>
        <w:t xml:space="preserve">was generated </w:t>
      </w:r>
      <w:r w:rsidR="007473EC">
        <w:rPr>
          <w:i w:val="0"/>
        </w:rPr>
        <w:t xml:space="preserve">using </w:t>
      </w:r>
      <w:proofErr w:type="spellStart"/>
      <w:r w:rsidR="007473EC" w:rsidRPr="00F454C9">
        <w:rPr>
          <w:i w:val="0"/>
        </w:rPr>
        <w:t>euclidean</w:t>
      </w:r>
      <w:proofErr w:type="spellEnd"/>
      <w:r w:rsidR="00F454C9" w:rsidRPr="00F454C9">
        <w:rPr>
          <w:i w:val="0"/>
        </w:rPr>
        <w:t xml:space="preserve"> distances between PCA </w:t>
      </w:r>
      <w:r w:rsidR="00DF55BE">
        <w:rPr>
          <w:i w:val="0"/>
        </w:rPr>
        <w:t>points to better visualize outliers</w:t>
      </w:r>
      <w:r w:rsidR="00D94F98">
        <w:rPr>
          <w:i w:val="0"/>
        </w:rPr>
        <w:t xml:space="preserve"> (Supplemental Figure 1B)</w:t>
      </w:r>
      <w:r w:rsidR="00F454C9" w:rsidRPr="00F454C9">
        <w:rPr>
          <w:i w:val="0"/>
        </w:rPr>
        <w:t>.</w:t>
      </w:r>
      <w:r w:rsidR="00DF55BE">
        <w:rPr>
          <w:i w:val="0"/>
        </w:rPr>
        <w:t xml:space="preserve"> Following PCA filtering, transcript-level filtering was done through mean-variance analysis</w:t>
      </w:r>
      <w:r w:rsidR="002D439E">
        <w:rPr>
          <w:i w:val="0"/>
        </w:rPr>
        <w:t xml:space="preserve"> (Supplemental Figure 2)</w:t>
      </w:r>
      <w:r w:rsidR="00DF55BE">
        <w:rPr>
          <w:i w:val="0"/>
        </w:rPr>
        <w:t xml:space="preserve">. Through hyperparameter optimization, a minimum read count of </w:t>
      </w:r>
      <w:r w:rsidR="007473EC">
        <w:rPr>
          <w:i w:val="0"/>
        </w:rPr>
        <w:t xml:space="preserve">350 reads </w:t>
      </w:r>
      <w:r w:rsidR="00DF55BE">
        <w:rPr>
          <w:i w:val="0"/>
        </w:rPr>
        <w:t xml:space="preserve">was chosen as </w:t>
      </w:r>
      <w:r w:rsidR="00347E33">
        <w:rPr>
          <w:i w:val="0"/>
        </w:rPr>
        <w:t xml:space="preserve">the cutoff </w:t>
      </w:r>
      <w:r w:rsidR="00DF55BE">
        <w:rPr>
          <w:i w:val="0"/>
        </w:rPr>
        <w:t>threshold.</w:t>
      </w:r>
    </w:p>
    <w:p w14:paraId="4C57C991" w14:textId="57587ECA" w:rsidR="00DF55BE" w:rsidRDefault="00DF55BE" w:rsidP="00DF55BE">
      <w:pPr>
        <w:pStyle w:val="Heading2"/>
        <w:ind w:left="432" w:hanging="432"/>
      </w:pPr>
      <w:r w:rsidRPr="00B20918">
        <w:t>2.</w:t>
      </w:r>
      <w:r>
        <w:t>2.</w:t>
      </w:r>
      <w:r w:rsidR="00882DD3">
        <w:t>2 Biological analysis</w:t>
      </w:r>
    </w:p>
    <w:p w14:paraId="0B4B408C" w14:textId="63467C7E" w:rsidR="00DF55BE" w:rsidRDefault="00DF55BE" w:rsidP="00DF55BE">
      <w:pPr>
        <w:pStyle w:val="Heading2"/>
        <w:rPr>
          <w:i w:val="0"/>
        </w:rPr>
      </w:pPr>
      <w:r w:rsidRPr="00DF55BE">
        <w:rPr>
          <w:i w:val="0"/>
        </w:rPr>
        <w:t xml:space="preserve">Gene annotation was carried out in R using the </w:t>
      </w:r>
      <w:proofErr w:type="spellStart"/>
      <w:r w:rsidRPr="00DF55BE">
        <w:rPr>
          <w:i w:val="0"/>
        </w:rPr>
        <w:t>ensembldb</w:t>
      </w:r>
      <w:proofErr w:type="spellEnd"/>
      <w:r w:rsidRPr="00DF55BE">
        <w:rPr>
          <w:i w:val="0"/>
        </w:rPr>
        <w:t xml:space="preserve"> (version 2.12.1) package. </w:t>
      </w:r>
      <w:proofErr w:type="spellStart"/>
      <w:r w:rsidRPr="00DF55BE">
        <w:rPr>
          <w:i w:val="0"/>
        </w:rPr>
        <w:t>EntrezID</w:t>
      </w:r>
      <w:proofErr w:type="spellEnd"/>
      <w:r w:rsidRPr="00DF55BE">
        <w:rPr>
          <w:i w:val="0"/>
        </w:rPr>
        <w:t xml:space="preserve"> was paired to gene symbol.</w:t>
      </w:r>
      <w:r>
        <w:rPr>
          <w:i w:val="0"/>
        </w:rPr>
        <w:t xml:space="preserve"> Differential gene expression analysis (DGE) was carried out using </w:t>
      </w:r>
      <w:r w:rsidRPr="00DF55BE">
        <w:rPr>
          <w:i w:val="0"/>
        </w:rPr>
        <w:t>DESeq2</w:t>
      </w:r>
      <w:r w:rsidR="007473EC">
        <w:rPr>
          <w:i w:val="0"/>
        </w:rPr>
        <w:t xml:space="preserve"> (version 3.13)</w:t>
      </w:r>
      <w:r w:rsidRPr="00DF55BE">
        <w:rPr>
          <w:i w:val="0"/>
        </w:rPr>
        <w:t xml:space="preserve"> started with loading samples using </w:t>
      </w:r>
      <w:proofErr w:type="spellStart"/>
      <w:r w:rsidRPr="00DF55BE">
        <w:rPr>
          <w:i w:val="0"/>
        </w:rPr>
        <w:t>DESeqDataSetFromMatrix</w:t>
      </w:r>
      <w:proofErr w:type="spellEnd"/>
      <w:r w:rsidRPr="00DF55BE">
        <w:rPr>
          <w:i w:val="0"/>
        </w:rPr>
        <w:t xml:space="preserve"> function. The filter was chosen using hyper-parameter optimization of the mean-variance plot. Samples </w:t>
      </w:r>
      <w:r w:rsidRPr="00DF55BE">
        <w:rPr>
          <w:i w:val="0"/>
        </w:rPr>
        <w:lastRenderedPageBreak/>
        <w:t xml:space="preserve">were normalized using the </w:t>
      </w:r>
      <w:proofErr w:type="spellStart"/>
      <w:r w:rsidRPr="00DF55BE">
        <w:rPr>
          <w:i w:val="0"/>
        </w:rPr>
        <w:t>estimateSizeFactors</w:t>
      </w:r>
      <w:proofErr w:type="spellEnd"/>
      <w:r w:rsidRPr="00DF55BE">
        <w:rPr>
          <w:i w:val="0"/>
        </w:rPr>
        <w:t xml:space="preserve"> function. The resulting matrix was calculated using </w:t>
      </w:r>
      <w:proofErr w:type="spellStart"/>
      <w:r w:rsidRPr="00DF55BE">
        <w:rPr>
          <w:i w:val="0"/>
        </w:rPr>
        <w:t>lfcShrink</w:t>
      </w:r>
      <w:proofErr w:type="spellEnd"/>
      <w:r w:rsidRPr="00DF55BE">
        <w:rPr>
          <w:i w:val="0"/>
        </w:rPr>
        <w:t xml:space="preserve"> function using </w:t>
      </w:r>
      <w:proofErr w:type="spellStart"/>
      <w:r w:rsidRPr="00DF55BE">
        <w:rPr>
          <w:i w:val="0"/>
        </w:rPr>
        <w:t>ashr</w:t>
      </w:r>
      <w:proofErr w:type="spellEnd"/>
      <w:r w:rsidRPr="00DF55BE">
        <w:rPr>
          <w:i w:val="0"/>
        </w:rPr>
        <w:t xml:space="preserve"> (version 1.10.0) from shrinking. </w:t>
      </w:r>
    </w:p>
    <w:p w14:paraId="026E84A3" w14:textId="11CC1B99" w:rsidR="00AC4F18" w:rsidRPr="00E22498" w:rsidRDefault="00AC60DD" w:rsidP="00E22498">
      <w:pPr>
        <w:pStyle w:val="Heading2"/>
        <w:rPr>
          <w:i w:val="0"/>
        </w:rPr>
      </w:pPr>
      <w:r w:rsidRPr="00AC60DD">
        <w:rPr>
          <w:i w:val="0"/>
        </w:rPr>
        <w:t xml:space="preserve">Differentially expressed genes were sorted in descending order by </w:t>
      </w:r>
      <m:oMath>
        <m:f>
          <m:fPr>
            <m:ctrlPr>
              <w:rPr>
                <w:rFonts w:ascii="Cambria Math" w:hAnsi="Cambria Math"/>
              </w:rPr>
            </m:ctrlPr>
          </m:fPr>
          <m:num>
            <m:sSub>
              <m:sSubPr>
                <m:ctrlPr>
                  <w:rPr>
                    <w:rFonts w:ascii="Cambria Math" w:hAnsi="Cambria Math"/>
                  </w:rPr>
                </m:ctrlPr>
              </m:sSubPr>
              <m:e>
                <m:r>
                  <w:rPr>
                    <w:rFonts w:ascii="Cambria Math" w:hAnsi="Cambria Math"/>
                  </w:rPr>
                  <m:t>log</m:t>
                </m:r>
              </m:e>
              <m:sub>
                <m:sSup>
                  <m:sSupPr>
                    <m:ctrlPr>
                      <w:rPr>
                        <w:rFonts w:ascii="Cambria Math" w:hAnsi="Cambria Math"/>
                      </w:rPr>
                    </m:ctrlPr>
                  </m:sSupPr>
                  <m:e>
                    <m:r>
                      <w:rPr>
                        <w:rFonts w:ascii="Cambria Math" w:hAnsi="Cambria Math"/>
                      </w:rPr>
                      <m:t>2</m:t>
                    </m:r>
                  </m:e>
                  <m:sup>
                    <m:r>
                      <w:rPr>
                        <w:rFonts w:ascii="Cambria Math" w:hAnsi="Cambria Math"/>
                      </w:rPr>
                      <m:t>FC</m:t>
                    </m:r>
                  </m:sup>
                </m:sSup>
              </m:sub>
            </m:sSub>
          </m:num>
          <m:den>
            <m:sSub>
              <m:sSubPr>
                <m:ctrlPr>
                  <w:rPr>
                    <w:rFonts w:ascii="Cambria Math" w:hAnsi="Cambria Math"/>
                  </w:rPr>
                </m:ctrlPr>
              </m:sSubPr>
              <m:e>
                <m:r>
                  <w:rPr>
                    <w:rFonts w:ascii="Cambria Math" w:hAnsi="Cambria Math"/>
                  </w:rPr>
                  <m:t>|log</m:t>
                </m:r>
              </m:e>
              <m:sub>
                <m:sSup>
                  <m:sSupPr>
                    <m:ctrlPr>
                      <w:rPr>
                        <w:rFonts w:ascii="Cambria Math" w:hAnsi="Cambria Math"/>
                      </w:rPr>
                    </m:ctrlPr>
                  </m:sSupPr>
                  <m:e>
                    <m:r>
                      <w:rPr>
                        <w:rFonts w:ascii="Cambria Math" w:hAnsi="Cambria Math"/>
                      </w:rPr>
                      <m:t>2</m:t>
                    </m:r>
                  </m:e>
                  <m:sup>
                    <m:r>
                      <w:rPr>
                        <w:rFonts w:ascii="Cambria Math" w:hAnsi="Cambria Math"/>
                      </w:rPr>
                      <m:t>FC</m:t>
                    </m:r>
                  </m:sup>
                </m:sSup>
              </m:sub>
            </m:sSub>
            <m:r>
              <w:rPr>
                <w:rFonts w:ascii="Cambria Math" w:hAnsi="Cambria Math"/>
              </w:rPr>
              <m:t>|</m:t>
            </m:r>
          </m:den>
        </m:f>
        <m:r>
          <w:rPr>
            <w:rFonts w:ascii="Cambria Math" w:hAnsi="Cambria Math"/>
          </w:rPr>
          <m:t>×adj(p)</m:t>
        </m:r>
      </m:oMath>
      <w:r w:rsidR="00CB7C2D">
        <w:rPr>
          <w:i w:val="0"/>
        </w:rPr>
        <w:t xml:space="preserve">, </w:t>
      </w:r>
      <w:r w:rsidRPr="00AC60DD">
        <w:rPr>
          <w:i w:val="0"/>
        </w:rPr>
        <w:t xml:space="preserve">where </w:t>
      </w:r>
      <w:r w:rsidR="00CB7C2D" w:rsidRPr="00CB7C2D">
        <w:rPr>
          <w:iCs/>
        </w:rPr>
        <w:t xml:space="preserve">adj(p) </w:t>
      </w:r>
      <w:r w:rsidRPr="00AC60DD">
        <w:rPr>
          <w:i w:val="0"/>
        </w:rPr>
        <w:t xml:space="preserve">represented the </w:t>
      </w:r>
      <w:proofErr w:type="spellStart"/>
      <w:r w:rsidRPr="00AC60DD">
        <w:rPr>
          <w:i w:val="0"/>
        </w:rPr>
        <w:t>Benjamini</w:t>
      </w:r>
      <w:proofErr w:type="spellEnd"/>
      <w:r w:rsidRPr="00AC60DD">
        <w:rPr>
          <w:i w:val="0"/>
        </w:rPr>
        <w:t xml:space="preserve">-Hochberg adjusted p-value and </w:t>
      </w:r>
      <w:r w:rsidRPr="00CB7C2D">
        <w:rPr>
          <w:iCs/>
        </w:rPr>
        <w:t>FC</w:t>
      </w:r>
      <w:r w:rsidR="00CB7C2D">
        <w:rPr>
          <w:i w:val="0"/>
        </w:rPr>
        <w:t xml:space="preserve"> </w:t>
      </w:r>
      <w:r w:rsidRPr="00AC60DD">
        <w:rPr>
          <w:i w:val="0"/>
        </w:rPr>
        <w:t xml:space="preserve">represents the fold-change output in RNA levels from differential gene expression analysis. Subsequently, the GSEA function of </w:t>
      </w:r>
      <w:proofErr w:type="spellStart"/>
      <w:r w:rsidRPr="00AC60DD">
        <w:rPr>
          <w:i w:val="0"/>
        </w:rPr>
        <w:t>clusterProfiler</w:t>
      </w:r>
      <w:proofErr w:type="spellEnd"/>
      <w:r w:rsidRPr="00AC60DD">
        <w:rPr>
          <w:i w:val="0"/>
        </w:rPr>
        <w:t xml:space="preserve"> (version 3.16.1) was used to perform enrichment analysis of several curated gene sets, including KEGG, GO, and Hallmark. The gene sets were retrieved from </w:t>
      </w:r>
      <w:proofErr w:type="spellStart"/>
      <w:r w:rsidRPr="00AC60DD">
        <w:rPr>
          <w:i w:val="0"/>
        </w:rPr>
        <w:t>msigdbr</w:t>
      </w:r>
      <w:proofErr w:type="spellEnd"/>
      <w:r w:rsidRPr="00AC60DD">
        <w:rPr>
          <w:i w:val="0"/>
        </w:rPr>
        <w:t xml:space="preserve"> (version 7.4.1). </w:t>
      </w:r>
      <w:r w:rsidR="00AC4F18">
        <w:br w:type="page"/>
      </w:r>
    </w:p>
    <w:p w14:paraId="75330588" w14:textId="02654757" w:rsidR="00BE4BA9" w:rsidRPr="005A58FF" w:rsidRDefault="00B20918" w:rsidP="006D5CD8">
      <w:pPr>
        <w:pStyle w:val="Heading1"/>
      </w:pPr>
      <w:r>
        <w:lastRenderedPageBreak/>
        <w:t>3</w:t>
      </w:r>
      <w:r w:rsidRPr="00CF2315">
        <w:tab/>
      </w:r>
      <w:r w:rsidR="00A10AAD">
        <w:t xml:space="preserve">Results </w:t>
      </w:r>
    </w:p>
    <w:p w14:paraId="41682B1E" w14:textId="3FAFEC2C" w:rsidR="0015075D" w:rsidRPr="00B20918" w:rsidRDefault="00EB71E2" w:rsidP="00B20918">
      <w:pPr>
        <w:pStyle w:val="Heading2"/>
      </w:pPr>
      <w:r w:rsidRPr="00B20918">
        <w:t>3</w:t>
      </w:r>
      <w:r w:rsidR="009E01E8" w:rsidRPr="00B20918">
        <w:t>.1</w:t>
      </w:r>
      <w:r w:rsidR="002F15B8" w:rsidRPr="00B20918">
        <w:tab/>
      </w:r>
      <w:r w:rsidR="002F15B8" w:rsidRPr="00B20918">
        <w:tab/>
      </w:r>
      <w:r w:rsidR="002A5916">
        <w:t xml:space="preserve">Poor responders to anti-VEGF therapy delineate a distinct subtype of glioblastoma. </w:t>
      </w:r>
    </w:p>
    <w:p w14:paraId="1AB1B7DF" w14:textId="77777777" w:rsidR="00E90311" w:rsidRDefault="00512393" w:rsidP="008F5EE6">
      <w:pPr>
        <w:pStyle w:val="BodyText"/>
        <w:keepNext/>
        <w:ind w:left="1" w:hanging="1"/>
        <w:jc w:val="center"/>
      </w:pPr>
      <w:r>
        <w:rPr>
          <w:noProof/>
        </w:rPr>
        <w:drawing>
          <wp:inline distT="0" distB="0" distL="0" distR="0" wp14:anchorId="4BA4931E" wp14:editId="5641A661">
            <wp:extent cx="5943600" cy="594360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140FB29" w14:textId="7757FE82" w:rsidR="00512393" w:rsidRPr="00336327" w:rsidRDefault="00E90311" w:rsidP="00E90311">
      <w:pPr>
        <w:pStyle w:val="Caption"/>
        <w:jc w:val="both"/>
        <w:rPr>
          <w:b w:val="0"/>
          <w:bCs w:val="0"/>
        </w:rPr>
      </w:pPr>
      <w:r w:rsidRPr="00336327">
        <w:rPr>
          <w:b w:val="0"/>
          <w:bCs w:val="0"/>
        </w:rPr>
        <w:t xml:space="preserve">Figure </w:t>
      </w:r>
      <w:r w:rsidRPr="00336327">
        <w:rPr>
          <w:b w:val="0"/>
          <w:bCs w:val="0"/>
        </w:rPr>
        <w:fldChar w:fldCharType="begin"/>
      </w:r>
      <w:r w:rsidRPr="00336327">
        <w:rPr>
          <w:b w:val="0"/>
          <w:bCs w:val="0"/>
        </w:rPr>
        <w:instrText xml:space="preserve"> SEQ Figure \* ARABIC </w:instrText>
      </w:r>
      <w:r w:rsidRPr="00336327">
        <w:rPr>
          <w:b w:val="0"/>
          <w:bCs w:val="0"/>
        </w:rPr>
        <w:fldChar w:fldCharType="separate"/>
      </w:r>
      <w:r w:rsidR="00EF2969">
        <w:rPr>
          <w:b w:val="0"/>
          <w:bCs w:val="0"/>
          <w:noProof/>
        </w:rPr>
        <w:t>1</w:t>
      </w:r>
      <w:r w:rsidRPr="00336327">
        <w:rPr>
          <w:b w:val="0"/>
          <w:bCs w:val="0"/>
        </w:rPr>
        <w:fldChar w:fldCharType="end"/>
      </w:r>
      <w:r w:rsidRPr="00336327">
        <w:rPr>
          <w:b w:val="0"/>
          <w:bCs w:val="0"/>
        </w:rPr>
        <w:t xml:space="preserve"> Across all plots, points in orange are enriched in poor responders to bevacizumab therapy while points in blue are enriched in good responders. A. Volcano plot of differential gene expression. </w:t>
      </w:r>
      <w:r w:rsidR="0020608F" w:rsidRPr="00336327">
        <w:rPr>
          <w:b w:val="0"/>
          <w:bCs w:val="0"/>
        </w:rPr>
        <w:t xml:space="preserve">Log </w:t>
      </w:r>
      <w:proofErr w:type="gramStart"/>
      <w:r w:rsidR="0020608F" w:rsidRPr="00336327">
        <w:rPr>
          <w:b w:val="0"/>
          <w:bCs w:val="0"/>
        </w:rPr>
        <w:t>2 fold</w:t>
      </w:r>
      <w:proofErr w:type="gramEnd"/>
      <w:r w:rsidR="0020608F" w:rsidRPr="00336327">
        <w:rPr>
          <w:b w:val="0"/>
          <w:bCs w:val="0"/>
        </w:rPr>
        <w:t xml:space="preserve"> change is plotted against negative log-scaled significance. </w:t>
      </w:r>
      <w:r w:rsidRPr="00336327">
        <w:rPr>
          <w:b w:val="0"/>
          <w:bCs w:val="0"/>
        </w:rPr>
        <w:t>Labeled points indicate the top 20 differentially expressed genes. B. Hallmark gene set enrichment analysis of responders to bevacizumab.</w:t>
      </w:r>
      <w:r w:rsidR="00A942A8" w:rsidRPr="00336327">
        <w:rPr>
          <w:b w:val="0"/>
          <w:bCs w:val="0"/>
        </w:rPr>
        <w:t xml:space="preserve"> Normalized enrichment score is plotted against negative log-scaled significance. The KRAS signaling downregulation gene set is labeled. </w:t>
      </w:r>
      <w:r w:rsidR="00336327" w:rsidRPr="00336327">
        <w:rPr>
          <w:b w:val="0"/>
          <w:bCs w:val="0"/>
        </w:rPr>
        <w:t xml:space="preserve">C. </w:t>
      </w:r>
      <w:r w:rsidR="00336327">
        <w:rPr>
          <w:b w:val="0"/>
          <w:bCs w:val="0"/>
        </w:rPr>
        <w:t xml:space="preserve">Heatmap of log-scaled raw RNA-expression of differentially expressed angiogenic genes. Points in orange indicate higher overall expression while points in blue indicate lower overall expression. </w:t>
      </w:r>
    </w:p>
    <w:p w14:paraId="04CC7CF4" w14:textId="066F2311" w:rsidR="00B046C4" w:rsidRDefault="002A5916" w:rsidP="002664E9">
      <w:pPr>
        <w:pStyle w:val="BodyText"/>
        <w:ind w:left="1" w:hanging="1"/>
      </w:pPr>
      <w:r>
        <w:lastRenderedPageBreak/>
        <w:t>Differential gene expression (DGE) analysis and gene set enrichment analysis (GSEA) using the Hallmark curated gene sets</w:t>
      </w:r>
      <w:r w:rsidR="0086633F">
        <w:fldChar w:fldCharType="begin"/>
      </w:r>
      <w:r w:rsidR="0086633F">
        <w:instrText xml:space="preserve"> ADDIN ZOTERO_ITEM CSL_CITATION {"citationID":"PXwqjwh9","properties":{"formattedCitation":"\\super 7\\nosupersub{}","plainCitation":"7","noteIndex":0},"citationItems":[{"id":93,"uris":["http://zotero.org/users/8255195/items/ZWK9AJCX"],"uri":["http://zotero.org/users/8255195/items/ZWK9AJCX"],"itemData":{"id":93,"type":"article-journal","abstract":"The Molecular Signatures Database (MSigDB) is one of the most widely used and comprehensive databases of gene sets for performing gene set enrichment analysis. Since its creation, MSigDB has grown beyond its roots in metabolic disease and cancer to include &gt;10,000 gene sets. These better represent a wider range of biological processes and diseases, but the utility of the database is reduced by increased redundancy across, and heterogeneity within, gene sets. To address this challenge, here we use a combination of automated approaches and expert curation to develop a collection of “hallmark” gene sets as part of MSigDB. Each hallmark in this collection consists of a “refined” gene set, derived from multiple “founder” sets, that conveys a specific biological state or process and displays coherent expression. The hallmarks effectively summarize most of the relevant information of the original founder sets and, by reducing both variation and redundancy, provide more refined and concise inputs for gene set enrichment analysis.","container-title":"Cell Systems","DOI":"10.1016/j.cels.2015.12.004","ISSN":"2405-4712","issue":"6","journalAbbreviation":"Cell Systems","language":"en","page":"417-425","source":"ScienceDirect","title":"The Molecular Signatures Database Hallmark Gene Set Collection","volume":"1","author":[{"family":"Liberzon","given":"Arthur"},{"family":"Birger","given":"Chet"},{"family":"Thorvaldsdóttir","given":"Helga"},{"family":"Ghandi","given":"Mahmoud"},{"family":"Mesirov","given":"Jill P."},{"family":"Tamayo","given":"Pablo"}],"issued":{"date-parts":[["2015",12,23]]}}}],"schema":"https://github.com/citation-style-language/schema/raw/master/csl-citation.json"} </w:instrText>
      </w:r>
      <w:r w:rsidR="0086633F">
        <w:fldChar w:fldCharType="separate"/>
      </w:r>
      <w:r w:rsidR="0086633F" w:rsidRPr="0086633F">
        <w:rPr>
          <w:vertAlign w:val="superscript"/>
        </w:rPr>
        <w:t>7</w:t>
      </w:r>
      <w:r w:rsidR="0086633F">
        <w:fldChar w:fldCharType="end"/>
      </w:r>
      <w:r>
        <w:t xml:space="preserve"> revealed global and pathway-specific genomic differences between poor responders and good responders to bevacizumab therapy</w:t>
      </w:r>
      <w:r w:rsidR="0086633F">
        <w:t xml:space="preserve">, respectively. </w:t>
      </w:r>
      <w:r>
        <w:t xml:space="preserve">9.5% of all protein coding genes </w:t>
      </w:r>
      <w:r w:rsidR="0086633F">
        <w:t xml:space="preserve">were </w:t>
      </w:r>
      <w:r w:rsidR="006D5CD8">
        <w:t xml:space="preserve">significantly </w:t>
      </w:r>
      <w:r>
        <w:t xml:space="preserve">differentially expressed between the two response groups </w:t>
      </w:r>
      <w:r w:rsidR="0086633F">
        <w:t>(Figure 1A</w:t>
      </w:r>
      <w:r w:rsidR="00F36423">
        <w:t>, Table 1</w:t>
      </w:r>
      <w:r w:rsidR="0086633F">
        <w:t>).</w:t>
      </w:r>
      <w:r w:rsidR="006D5CD8">
        <w:t xml:space="preserve"> Specific pathways similarly showed perturbations, with dozens of gene sets being downregulated in poor responders to </w:t>
      </w:r>
      <w:r w:rsidR="00F80AAB">
        <w:t>bevacizumab</w:t>
      </w:r>
      <w:r w:rsidR="006D5CD8">
        <w:t xml:space="preserve"> therapy</w:t>
      </w:r>
      <w:r w:rsidR="005F65B8">
        <w:t xml:space="preserve"> (Figure 1B)</w:t>
      </w:r>
      <w:r w:rsidR="006D5CD8">
        <w:t xml:space="preserve">. </w:t>
      </w:r>
      <w:r w:rsidR="00707D51">
        <w:t xml:space="preserve">Some downregulated gene sets included FLAG (Figure 1B). </w:t>
      </w:r>
      <w:r w:rsidR="00BA5717">
        <w:t>Notably</w:t>
      </w:r>
      <w:r w:rsidR="006D5CD8">
        <w:t>, only genes downregulated with KRAS activation showed positive enrichment in poor responders to bevacizumab</w:t>
      </w:r>
      <w:r w:rsidR="005F65B8">
        <w:t xml:space="preserve"> (Figure 1B)</w:t>
      </w:r>
      <w:r w:rsidR="006D5CD8">
        <w:t>. The high degree of synteny between the KRAS and angiogenic pathways</w:t>
      </w:r>
      <w:r w:rsidR="005F65B8">
        <w:fldChar w:fldCharType="begin"/>
      </w:r>
      <w:r w:rsidR="005F65B8">
        <w:instrText xml:space="preserve"> ADDIN ZOTERO_ITEM CSL_CITATION {"citationID":"1ct0SbDY","properties":{"formattedCitation":"\\super 8\\nosupersub{}","plainCitation":"8","noteIndex":0},"citationItems":[{"id":96,"uris":["http://zotero.org/users/8255195/items/JFYC4F86"],"uri":["http://zotero.org/users/8255195/items/JFYC4F86"],"itemData":{"id":96,"type":"article-journal","abstract":"Activating point mutations in the K-Ras oncogene are among the most common genetic alterations in pancreatic cancer, occurring early in the progression of the disease. However, the function of mutant K-Ras activity in tumor angiogenesis remains poorly understood. Using human pancreatic duct epithelial (HPDE) and K-Ras4BG12V–transformed HPDE (HPDE-KRas) cells, we show that activated K-Ras significantly enhanced the production of angiogenic factors including CXC chemokines and vascular endothelial growth factor (VEGF). Western blot analysis revealed that K-Ras activation promoted the phosphorylation of Raf/mitogen-activated protein kinase kinase-1/2 (MEK1/2) and expression of c-Jun. MEK1/2 inhibitors, U0126 and PD98059, significantly inhibited the secretion of both CXC chemokines and VEGF, whereas the c-Jun NH2-terminal kinase inhibitor SP600125 abrogated only CXC chemokine production. To further elucidate the biological functions of oncogenic K-Ras in promoting angiogenesis, we did in vitro invasion and tube formation assays using human umbilical vein endothelial cells (HUVEC). HUVEC cocultured with HPDE-KRas showed significantly enhanced invasiveness and tube formation as compared with either control (without coculture) or coculture with HPDE. Moreover, SB225002 (a CXCR2 inhibitor) and 2C3 (an anti-VEGF monoclonal antibody) either alone or in a cooperative manner significantly reduced the degree of both Ras-dependent HUVEC invasiveness and tube formation. Similar results were obtained using another pair of immortalized human pancreatic duct–derived cells, E6/E7/st and its oncogenic K-Ras variant, E6/E7/Ras/st. Taken together, our results suggest that angiogenesis is initiated by paracrine epithelial secretion of CXC chemokines and VEGF downstream of activated oncogenic K-Ras, and that this vascular maturation is in part dependent on MEK1/2 and c-Jun signaling.","container-title":"Molecular cancer research : MCR","DOI":"10.1158/1541-7786.MCR-08-0577","ISSN":"1541-7786","issue":"6","journalAbbreviation":"Mol Cancer Res","note":"PMID: 19509115\nPMCID: PMC4267726","page":"799-808","source":"PubMed Central","title":"K-Ras Promotes Angiogenesis Mediated by Immortalized Human Pancreatic Epithelial Cells through Mitogen-Activated Protein Kinase Signaling Pathways","volume":"7","author":[{"family":"Matsuo","given":"Yoichi"},{"family":"Campbell","given":"Paul M."},{"family":"Brekken","given":"Rolf A."},{"family":"Sung","given":"Bokyung"},{"family":"Ouellette","given":"Michel M."},{"family":"Fleming","given":"Jason B."},{"family":"Aggarwal","given":"Bharat B."},{"family":"Der","given":"Channing J."},{"family":"Guha","given":"Sushovan"}],"issued":{"date-parts":[["2009",6]]}}}],"schema":"https://github.com/citation-style-language/schema/raw/master/csl-citation.json"} </w:instrText>
      </w:r>
      <w:r w:rsidR="005F65B8">
        <w:fldChar w:fldCharType="separate"/>
      </w:r>
      <w:r w:rsidR="005F65B8" w:rsidRPr="005F65B8">
        <w:rPr>
          <w:vertAlign w:val="superscript"/>
        </w:rPr>
        <w:t>8</w:t>
      </w:r>
      <w:r w:rsidR="005F65B8">
        <w:fldChar w:fldCharType="end"/>
      </w:r>
      <w:r w:rsidR="005F65B8" w:rsidRPr="005F65B8">
        <w:rPr>
          <w:vertAlign w:val="superscript"/>
        </w:rPr>
        <w:t>,</w:t>
      </w:r>
      <w:r w:rsidR="005F65B8">
        <w:fldChar w:fldCharType="begin"/>
      </w:r>
      <w:r w:rsidR="005F65B8">
        <w:instrText xml:space="preserve"> ADDIN ZOTERO_ITEM CSL_CITATION {"citationID":"RAu9UUkt","properties":{"formattedCitation":"\\super 9\\nosupersub{}","plainCitation":"9","noteIndex":0},"citationItems":[{"id":99,"uris":["http://zotero.org/users/8255195/items/H4KAY3WQ"],"uri":["http://zotero.org/users/8255195/items/H4KAY3WQ"],"itemData":{"id":99,"type":"article-journal","abstract":"Oncogenic KRAS mutations are the most frequent mutations in human cancer, but most difficult to target. While sustained proliferation caused by oncogenic KRAS-downstream signalling is a main driver of carcinogenesis, there is increasing evidence that it also mediates autocrine effects and crosstalk with the tumour microenvironment (TME). Here, we discuss recent reports connecting KRAS mutations with tumour-promoting inflammation and immune modulation caused by KRAS that leads to immune escape in the TME. We discuss the preclinical work on KRAS-induced inflammation and immune modulation in the context of currently ongoing clinical trials targeting cancer entities that carry KRAS mutations and strategies to overcome the oncogene-induced effects on the immune system.","container-title":"Nature Communications","DOI":"10.1038/s41467-020-19288-6","ISSN":"2041-1723","issue":"1","journalAbbreviation":"Nat Commun","language":"en","note":"Bandiera_abtest: a\nCc_license_type: cc_by\nCg_type: Nature Research Journals\nnumber: 1\nPrimary_atype: Reviews\npublisher: Nature Publishing Group\nSubject_term: Immunosurveillance;Tumour immunology\nSubject_term_id: immunosurveillance;tumour-immunology","page":"5439","source":"www.nature.com","title":"Immune modulatory effects of oncogenic KRAS in cancer","volume":"11","author":[{"family":"Hamarsheh","given":"Shaima’a"},{"family":"Groß","given":"Olaf"},{"family":"Brummer","given":"Tilman"},{"family":"Zeiser","given":"Robert"}],"issued":{"date-parts":[["2020",10,28]]}}}],"schema":"https://github.com/citation-style-language/schema/raw/master/csl-citation.json"} </w:instrText>
      </w:r>
      <w:r w:rsidR="005F65B8">
        <w:fldChar w:fldCharType="separate"/>
      </w:r>
      <w:r w:rsidR="005F65B8" w:rsidRPr="005F65B8">
        <w:rPr>
          <w:vertAlign w:val="superscript"/>
        </w:rPr>
        <w:t>9</w:t>
      </w:r>
      <w:r w:rsidR="005F65B8">
        <w:fldChar w:fldCharType="end"/>
      </w:r>
      <w:r w:rsidR="005F65B8">
        <w:t xml:space="preserve"> suggested differential expression of angiogenic factors as a method of cellular bevacizumab evasion. To better understand the role of differential expression of angiogenic factors on bevacizumab therapy, we looked at raw expression data of </w:t>
      </w:r>
      <w:r w:rsidR="00F80AAB">
        <w:t xml:space="preserve">genes </w:t>
      </w:r>
      <w:r w:rsidR="005F65B8">
        <w:t xml:space="preserve">annotated </w:t>
      </w:r>
      <w:r w:rsidR="00F80AAB">
        <w:t>under the G</w:t>
      </w:r>
      <w:r w:rsidR="00BA5717">
        <w:t xml:space="preserve">ene Ontology </w:t>
      </w:r>
      <w:r w:rsidR="00F80AAB">
        <w:t>Angiogenesis pathway</w:t>
      </w:r>
      <w:r w:rsidR="00BA5717">
        <w:t xml:space="preserve"> FLAG</w:t>
      </w:r>
      <w:r w:rsidR="005F65B8">
        <w:t xml:space="preserve">. Poor responders to bevacizumab therapy showed upregulation of several angiogenic factors </w:t>
      </w:r>
      <w:r w:rsidR="00F80AAB">
        <w:t>(Figure 1C)</w:t>
      </w:r>
      <w:r w:rsidR="00BA5717">
        <w:t>, including FLAG</w:t>
      </w:r>
      <w:r w:rsidR="00F80AAB">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1120"/>
        <w:gridCol w:w="1486"/>
        <w:gridCol w:w="926"/>
        <w:gridCol w:w="1826"/>
        <w:gridCol w:w="1899"/>
      </w:tblGrid>
      <w:tr w:rsidR="00512393" w14:paraId="7518C36F" w14:textId="77777777" w:rsidTr="008F5EE6">
        <w:trPr>
          <w:jc w:val="center"/>
        </w:trPr>
        <w:tc>
          <w:tcPr>
            <w:tcW w:w="0" w:type="auto"/>
            <w:gridSpan w:val="5"/>
            <w:tcBorders>
              <w:top w:val="nil"/>
              <w:left w:val="nil"/>
              <w:bottom w:val="nil"/>
              <w:right w:val="nil"/>
            </w:tcBorders>
            <w:tcMar>
              <w:top w:w="113" w:type="dxa"/>
              <w:left w:w="113" w:type="dxa"/>
              <w:bottom w:w="113" w:type="dxa"/>
              <w:right w:w="113" w:type="dxa"/>
            </w:tcMar>
            <w:vAlign w:val="center"/>
            <w:hideMark/>
          </w:tcPr>
          <w:p w14:paraId="677E5892" w14:textId="77777777" w:rsidR="00512393" w:rsidRDefault="00512393" w:rsidP="00517CD2">
            <w:pPr>
              <w:rPr>
                <w:b/>
                <w:bCs/>
              </w:rPr>
            </w:pPr>
            <w:r>
              <w:rPr>
                <w:b/>
                <w:bCs/>
              </w:rPr>
              <w:t>Differential Gene Expression</w:t>
            </w:r>
          </w:p>
        </w:tc>
      </w:tr>
      <w:tr w:rsidR="00512393" w14:paraId="2F0309B9" w14:textId="77777777" w:rsidTr="008F5EE6">
        <w:trPr>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520E76D4" w14:textId="77777777" w:rsidR="00512393" w:rsidRDefault="00512393" w:rsidP="00517CD2">
            <w:pPr>
              <w:rPr>
                <w:i/>
                <w:iCs/>
              </w:rPr>
            </w:pPr>
            <w:r>
              <w:rPr>
                <w:i/>
                <w:iCs/>
              </w:rPr>
              <w:t>Gene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0FF18673" w14:textId="77777777" w:rsidR="00512393" w:rsidRDefault="00512393" w:rsidP="00517CD2">
            <w:pPr>
              <w:jc w:val="center"/>
              <w:rPr>
                <w:i/>
                <w:iCs/>
              </w:rPr>
            </w:pPr>
            <w:proofErr w:type="spellStart"/>
            <w:r>
              <w:rPr>
                <w:i/>
                <w:iCs/>
              </w:rPr>
              <w:t>Fold.Change</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3FBF9EAD" w14:textId="77777777" w:rsidR="00512393" w:rsidRDefault="00512393" w:rsidP="00517CD2">
            <w:pPr>
              <w:jc w:val="center"/>
              <w:rPr>
                <w:i/>
                <w:iCs/>
              </w:rPr>
            </w:pPr>
            <w:proofErr w:type="spellStart"/>
            <w:r>
              <w:rPr>
                <w:i/>
                <w:iCs/>
              </w:rPr>
              <w:t>p.value</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353735D4" w14:textId="77777777" w:rsidR="00512393" w:rsidRDefault="00512393" w:rsidP="00517CD2">
            <w:pPr>
              <w:jc w:val="center"/>
              <w:rPr>
                <w:i/>
                <w:iCs/>
              </w:rPr>
            </w:pPr>
            <w:proofErr w:type="spellStart"/>
            <w:r>
              <w:rPr>
                <w:i/>
                <w:iCs/>
              </w:rPr>
              <w:t>Adjusted.p.value</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2218DDD5" w14:textId="77777777" w:rsidR="00512393" w:rsidRDefault="00512393" w:rsidP="00517CD2">
            <w:pPr>
              <w:jc w:val="center"/>
              <w:rPr>
                <w:i/>
                <w:iCs/>
              </w:rPr>
            </w:pPr>
            <w:proofErr w:type="spellStart"/>
            <w:r>
              <w:rPr>
                <w:i/>
                <w:iCs/>
              </w:rPr>
              <w:t>Mean.Expression</w:t>
            </w:r>
            <w:proofErr w:type="spellEnd"/>
          </w:p>
        </w:tc>
      </w:tr>
      <w:tr w:rsidR="00512393" w14:paraId="68E7E272" w14:textId="77777777" w:rsidTr="008F5EE6">
        <w:trPr>
          <w:jc w:val="center"/>
        </w:trPr>
        <w:tc>
          <w:tcPr>
            <w:tcW w:w="0" w:type="auto"/>
            <w:tcMar>
              <w:top w:w="113" w:type="dxa"/>
              <w:left w:w="113" w:type="dxa"/>
              <w:bottom w:w="113" w:type="dxa"/>
              <w:right w:w="113" w:type="dxa"/>
            </w:tcMar>
            <w:hideMark/>
          </w:tcPr>
          <w:p w14:paraId="2298D3C7" w14:textId="77777777" w:rsidR="00512393" w:rsidRDefault="00512393" w:rsidP="00517CD2">
            <w:r>
              <w:t>MXRA5</w:t>
            </w:r>
          </w:p>
        </w:tc>
        <w:tc>
          <w:tcPr>
            <w:tcW w:w="0" w:type="auto"/>
            <w:tcMar>
              <w:top w:w="113" w:type="dxa"/>
              <w:left w:w="113" w:type="dxa"/>
              <w:bottom w:w="113" w:type="dxa"/>
              <w:right w:w="113" w:type="dxa"/>
            </w:tcMar>
            <w:hideMark/>
          </w:tcPr>
          <w:p w14:paraId="5C013D67" w14:textId="77777777" w:rsidR="00512393" w:rsidRDefault="00512393" w:rsidP="00517CD2">
            <w:pPr>
              <w:jc w:val="center"/>
            </w:pPr>
            <w:r>
              <w:t>1868.27</w:t>
            </w:r>
          </w:p>
        </w:tc>
        <w:tc>
          <w:tcPr>
            <w:tcW w:w="0" w:type="auto"/>
            <w:tcMar>
              <w:top w:w="113" w:type="dxa"/>
              <w:left w:w="113" w:type="dxa"/>
              <w:bottom w:w="113" w:type="dxa"/>
              <w:right w:w="113" w:type="dxa"/>
            </w:tcMar>
            <w:hideMark/>
          </w:tcPr>
          <w:p w14:paraId="369D7687" w14:textId="77777777" w:rsidR="00512393" w:rsidRDefault="00512393" w:rsidP="00517CD2">
            <w:pPr>
              <w:jc w:val="center"/>
            </w:pPr>
            <w:r>
              <w:t>0.00</w:t>
            </w:r>
          </w:p>
        </w:tc>
        <w:tc>
          <w:tcPr>
            <w:tcW w:w="0" w:type="auto"/>
            <w:tcMar>
              <w:top w:w="113" w:type="dxa"/>
              <w:left w:w="113" w:type="dxa"/>
              <w:bottom w:w="113" w:type="dxa"/>
              <w:right w:w="113" w:type="dxa"/>
            </w:tcMar>
            <w:hideMark/>
          </w:tcPr>
          <w:p w14:paraId="51D8F847" w14:textId="77777777" w:rsidR="00512393" w:rsidRDefault="00512393" w:rsidP="00517CD2">
            <w:pPr>
              <w:jc w:val="center"/>
            </w:pPr>
            <w:r>
              <w:t>0.00</w:t>
            </w:r>
          </w:p>
        </w:tc>
        <w:tc>
          <w:tcPr>
            <w:tcW w:w="0" w:type="auto"/>
            <w:tcMar>
              <w:top w:w="113" w:type="dxa"/>
              <w:left w:w="113" w:type="dxa"/>
              <w:bottom w:w="113" w:type="dxa"/>
              <w:right w:w="113" w:type="dxa"/>
            </w:tcMar>
            <w:hideMark/>
          </w:tcPr>
          <w:p w14:paraId="0BB99077" w14:textId="77777777" w:rsidR="00512393" w:rsidRDefault="00512393" w:rsidP="00517CD2">
            <w:pPr>
              <w:jc w:val="center"/>
            </w:pPr>
            <w:r>
              <w:t>1759.89</w:t>
            </w:r>
          </w:p>
        </w:tc>
      </w:tr>
      <w:tr w:rsidR="00512393" w14:paraId="1D1CD601" w14:textId="77777777" w:rsidTr="008F5EE6">
        <w:trPr>
          <w:jc w:val="center"/>
        </w:trPr>
        <w:tc>
          <w:tcPr>
            <w:tcW w:w="0" w:type="auto"/>
            <w:shd w:val="clear" w:color="auto" w:fill="F2F2F2"/>
            <w:tcMar>
              <w:top w:w="113" w:type="dxa"/>
              <w:left w:w="113" w:type="dxa"/>
              <w:bottom w:w="113" w:type="dxa"/>
              <w:right w:w="113" w:type="dxa"/>
            </w:tcMar>
            <w:hideMark/>
          </w:tcPr>
          <w:p w14:paraId="22E7189E" w14:textId="77777777" w:rsidR="00512393" w:rsidRDefault="00512393" w:rsidP="00517CD2">
            <w:r>
              <w:t>FIGNL2</w:t>
            </w:r>
          </w:p>
        </w:tc>
        <w:tc>
          <w:tcPr>
            <w:tcW w:w="0" w:type="auto"/>
            <w:shd w:val="clear" w:color="auto" w:fill="F2F2F2"/>
            <w:tcMar>
              <w:top w:w="113" w:type="dxa"/>
              <w:left w:w="113" w:type="dxa"/>
              <w:bottom w:w="113" w:type="dxa"/>
              <w:right w:w="113" w:type="dxa"/>
            </w:tcMar>
            <w:hideMark/>
          </w:tcPr>
          <w:p w14:paraId="16A819C7" w14:textId="77777777" w:rsidR="00512393" w:rsidRDefault="00512393" w:rsidP="00517CD2">
            <w:pPr>
              <w:jc w:val="center"/>
            </w:pPr>
            <w:r>
              <w:t>1569.38</w:t>
            </w:r>
          </w:p>
        </w:tc>
        <w:tc>
          <w:tcPr>
            <w:tcW w:w="0" w:type="auto"/>
            <w:shd w:val="clear" w:color="auto" w:fill="F2F2F2"/>
            <w:tcMar>
              <w:top w:w="113" w:type="dxa"/>
              <w:left w:w="113" w:type="dxa"/>
              <w:bottom w:w="113" w:type="dxa"/>
              <w:right w:w="113" w:type="dxa"/>
            </w:tcMar>
            <w:hideMark/>
          </w:tcPr>
          <w:p w14:paraId="49F1997F"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549A6B70"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43187A69" w14:textId="77777777" w:rsidR="00512393" w:rsidRDefault="00512393" w:rsidP="00517CD2">
            <w:pPr>
              <w:jc w:val="center"/>
            </w:pPr>
            <w:r>
              <w:t>436.46</w:t>
            </w:r>
          </w:p>
        </w:tc>
      </w:tr>
      <w:tr w:rsidR="00512393" w14:paraId="75E69B0F" w14:textId="77777777" w:rsidTr="008F5EE6">
        <w:trPr>
          <w:jc w:val="center"/>
        </w:trPr>
        <w:tc>
          <w:tcPr>
            <w:tcW w:w="0" w:type="auto"/>
            <w:tcMar>
              <w:top w:w="113" w:type="dxa"/>
              <w:left w:w="113" w:type="dxa"/>
              <w:bottom w:w="113" w:type="dxa"/>
              <w:right w:w="113" w:type="dxa"/>
            </w:tcMar>
            <w:hideMark/>
          </w:tcPr>
          <w:p w14:paraId="764A9F41" w14:textId="77777777" w:rsidR="00512393" w:rsidRDefault="00512393" w:rsidP="00517CD2">
            <w:r>
              <w:t>DPP10</w:t>
            </w:r>
          </w:p>
        </w:tc>
        <w:tc>
          <w:tcPr>
            <w:tcW w:w="0" w:type="auto"/>
            <w:tcMar>
              <w:top w:w="113" w:type="dxa"/>
              <w:left w:w="113" w:type="dxa"/>
              <w:bottom w:w="113" w:type="dxa"/>
              <w:right w:w="113" w:type="dxa"/>
            </w:tcMar>
            <w:hideMark/>
          </w:tcPr>
          <w:p w14:paraId="27CC77FA" w14:textId="77777777" w:rsidR="00512393" w:rsidRDefault="00512393" w:rsidP="00517CD2">
            <w:pPr>
              <w:jc w:val="center"/>
            </w:pPr>
            <w:r>
              <w:t>1492.07</w:t>
            </w:r>
          </w:p>
        </w:tc>
        <w:tc>
          <w:tcPr>
            <w:tcW w:w="0" w:type="auto"/>
            <w:tcMar>
              <w:top w:w="113" w:type="dxa"/>
              <w:left w:w="113" w:type="dxa"/>
              <w:bottom w:w="113" w:type="dxa"/>
              <w:right w:w="113" w:type="dxa"/>
            </w:tcMar>
            <w:hideMark/>
          </w:tcPr>
          <w:p w14:paraId="6A2372EE" w14:textId="77777777" w:rsidR="00512393" w:rsidRDefault="00512393" w:rsidP="00517CD2">
            <w:pPr>
              <w:jc w:val="center"/>
            </w:pPr>
            <w:r>
              <w:t>0.00</w:t>
            </w:r>
          </w:p>
        </w:tc>
        <w:tc>
          <w:tcPr>
            <w:tcW w:w="0" w:type="auto"/>
            <w:tcMar>
              <w:top w:w="113" w:type="dxa"/>
              <w:left w:w="113" w:type="dxa"/>
              <w:bottom w:w="113" w:type="dxa"/>
              <w:right w:w="113" w:type="dxa"/>
            </w:tcMar>
            <w:hideMark/>
          </w:tcPr>
          <w:p w14:paraId="6CFD0EBE" w14:textId="77777777" w:rsidR="00512393" w:rsidRDefault="00512393" w:rsidP="00517CD2">
            <w:pPr>
              <w:jc w:val="center"/>
            </w:pPr>
            <w:r>
              <w:t>0.00</w:t>
            </w:r>
          </w:p>
        </w:tc>
        <w:tc>
          <w:tcPr>
            <w:tcW w:w="0" w:type="auto"/>
            <w:tcMar>
              <w:top w:w="113" w:type="dxa"/>
              <w:left w:w="113" w:type="dxa"/>
              <w:bottom w:w="113" w:type="dxa"/>
              <w:right w:w="113" w:type="dxa"/>
            </w:tcMar>
            <w:hideMark/>
          </w:tcPr>
          <w:p w14:paraId="432B79A6" w14:textId="77777777" w:rsidR="00512393" w:rsidRDefault="00512393" w:rsidP="00517CD2">
            <w:pPr>
              <w:jc w:val="center"/>
            </w:pPr>
            <w:r>
              <w:t>2903.70</w:t>
            </w:r>
          </w:p>
        </w:tc>
      </w:tr>
      <w:tr w:rsidR="00512393" w14:paraId="4B69C692" w14:textId="77777777" w:rsidTr="008F5EE6">
        <w:trPr>
          <w:jc w:val="center"/>
        </w:trPr>
        <w:tc>
          <w:tcPr>
            <w:tcW w:w="0" w:type="auto"/>
            <w:shd w:val="clear" w:color="auto" w:fill="F2F2F2"/>
            <w:tcMar>
              <w:top w:w="113" w:type="dxa"/>
              <w:left w:w="113" w:type="dxa"/>
              <w:bottom w:w="113" w:type="dxa"/>
              <w:right w:w="113" w:type="dxa"/>
            </w:tcMar>
            <w:hideMark/>
          </w:tcPr>
          <w:p w14:paraId="2AD792C6" w14:textId="77777777" w:rsidR="00512393" w:rsidRDefault="00512393" w:rsidP="00517CD2">
            <w:r>
              <w:t>SHD</w:t>
            </w:r>
          </w:p>
        </w:tc>
        <w:tc>
          <w:tcPr>
            <w:tcW w:w="0" w:type="auto"/>
            <w:shd w:val="clear" w:color="auto" w:fill="F2F2F2"/>
            <w:tcMar>
              <w:top w:w="113" w:type="dxa"/>
              <w:left w:w="113" w:type="dxa"/>
              <w:bottom w:w="113" w:type="dxa"/>
              <w:right w:w="113" w:type="dxa"/>
            </w:tcMar>
            <w:hideMark/>
          </w:tcPr>
          <w:p w14:paraId="2B268761" w14:textId="77777777" w:rsidR="00512393" w:rsidRDefault="00512393" w:rsidP="00517CD2">
            <w:pPr>
              <w:jc w:val="center"/>
            </w:pPr>
            <w:r>
              <w:t>1490.51</w:t>
            </w:r>
          </w:p>
        </w:tc>
        <w:tc>
          <w:tcPr>
            <w:tcW w:w="0" w:type="auto"/>
            <w:shd w:val="clear" w:color="auto" w:fill="F2F2F2"/>
            <w:tcMar>
              <w:top w:w="113" w:type="dxa"/>
              <w:left w:w="113" w:type="dxa"/>
              <w:bottom w:w="113" w:type="dxa"/>
              <w:right w:w="113" w:type="dxa"/>
            </w:tcMar>
            <w:hideMark/>
          </w:tcPr>
          <w:p w14:paraId="002458BA"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0D6C8BCC"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183BDBBE" w14:textId="77777777" w:rsidR="00512393" w:rsidRDefault="00512393" w:rsidP="00517CD2">
            <w:pPr>
              <w:jc w:val="center"/>
            </w:pPr>
            <w:r>
              <w:t>3325.96</w:t>
            </w:r>
          </w:p>
        </w:tc>
      </w:tr>
      <w:tr w:rsidR="00512393" w14:paraId="25E07469" w14:textId="77777777" w:rsidTr="008F5EE6">
        <w:trPr>
          <w:jc w:val="center"/>
        </w:trPr>
        <w:tc>
          <w:tcPr>
            <w:tcW w:w="0" w:type="auto"/>
            <w:tcMar>
              <w:top w:w="113" w:type="dxa"/>
              <w:left w:w="113" w:type="dxa"/>
              <w:bottom w:w="113" w:type="dxa"/>
              <w:right w:w="113" w:type="dxa"/>
            </w:tcMar>
            <w:hideMark/>
          </w:tcPr>
          <w:p w14:paraId="33F3A411" w14:textId="77777777" w:rsidR="00512393" w:rsidRDefault="00512393" w:rsidP="00517CD2">
            <w:r>
              <w:t>IGLON5</w:t>
            </w:r>
          </w:p>
        </w:tc>
        <w:tc>
          <w:tcPr>
            <w:tcW w:w="0" w:type="auto"/>
            <w:tcMar>
              <w:top w:w="113" w:type="dxa"/>
              <w:left w:w="113" w:type="dxa"/>
              <w:bottom w:w="113" w:type="dxa"/>
              <w:right w:w="113" w:type="dxa"/>
            </w:tcMar>
            <w:hideMark/>
          </w:tcPr>
          <w:p w14:paraId="24E9E1BD" w14:textId="77777777" w:rsidR="00512393" w:rsidRDefault="00512393" w:rsidP="00517CD2">
            <w:pPr>
              <w:jc w:val="center"/>
            </w:pPr>
            <w:r>
              <w:t>1353.83</w:t>
            </w:r>
          </w:p>
        </w:tc>
        <w:tc>
          <w:tcPr>
            <w:tcW w:w="0" w:type="auto"/>
            <w:tcMar>
              <w:top w:w="113" w:type="dxa"/>
              <w:left w:w="113" w:type="dxa"/>
              <w:bottom w:w="113" w:type="dxa"/>
              <w:right w:w="113" w:type="dxa"/>
            </w:tcMar>
            <w:hideMark/>
          </w:tcPr>
          <w:p w14:paraId="3B85E707" w14:textId="77777777" w:rsidR="00512393" w:rsidRDefault="00512393" w:rsidP="00517CD2">
            <w:pPr>
              <w:jc w:val="center"/>
            </w:pPr>
            <w:r>
              <w:t>0.00</w:t>
            </w:r>
          </w:p>
        </w:tc>
        <w:tc>
          <w:tcPr>
            <w:tcW w:w="0" w:type="auto"/>
            <w:tcMar>
              <w:top w:w="113" w:type="dxa"/>
              <w:left w:w="113" w:type="dxa"/>
              <w:bottom w:w="113" w:type="dxa"/>
              <w:right w:w="113" w:type="dxa"/>
            </w:tcMar>
            <w:hideMark/>
          </w:tcPr>
          <w:p w14:paraId="1AFCC971" w14:textId="77777777" w:rsidR="00512393" w:rsidRDefault="00512393" w:rsidP="00517CD2">
            <w:pPr>
              <w:jc w:val="center"/>
            </w:pPr>
            <w:r>
              <w:t>0.00</w:t>
            </w:r>
          </w:p>
        </w:tc>
        <w:tc>
          <w:tcPr>
            <w:tcW w:w="0" w:type="auto"/>
            <w:tcMar>
              <w:top w:w="113" w:type="dxa"/>
              <w:left w:w="113" w:type="dxa"/>
              <w:bottom w:w="113" w:type="dxa"/>
              <w:right w:w="113" w:type="dxa"/>
            </w:tcMar>
            <w:hideMark/>
          </w:tcPr>
          <w:p w14:paraId="6EC8BBFB" w14:textId="77777777" w:rsidR="00512393" w:rsidRDefault="00512393" w:rsidP="00517CD2">
            <w:pPr>
              <w:jc w:val="center"/>
            </w:pPr>
            <w:r>
              <w:t>2933.21</w:t>
            </w:r>
          </w:p>
        </w:tc>
      </w:tr>
      <w:tr w:rsidR="00512393" w14:paraId="12B63F66" w14:textId="77777777" w:rsidTr="008F5EE6">
        <w:trPr>
          <w:jc w:val="center"/>
        </w:trPr>
        <w:tc>
          <w:tcPr>
            <w:tcW w:w="0" w:type="auto"/>
            <w:shd w:val="clear" w:color="auto" w:fill="F2F2F2"/>
            <w:tcMar>
              <w:top w:w="113" w:type="dxa"/>
              <w:left w:w="113" w:type="dxa"/>
              <w:bottom w:w="113" w:type="dxa"/>
              <w:right w:w="113" w:type="dxa"/>
            </w:tcMar>
            <w:hideMark/>
          </w:tcPr>
          <w:p w14:paraId="2EDEAD19" w14:textId="77777777" w:rsidR="00512393" w:rsidRDefault="00512393" w:rsidP="00517CD2">
            <w:r>
              <w:t>SYT13</w:t>
            </w:r>
          </w:p>
        </w:tc>
        <w:tc>
          <w:tcPr>
            <w:tcW w:w="0" w:type="auto"/>
            <w:shd w:val="clear" w:color="auto" w:fill="F2F2F2"/>
            <w:tcMar>
              <w:top w:w="113" w:type="dxa"/>
              <w:left w:w="113" w:type="dxa"/>
              <w:bottom w:w="113" w:type="dxa"/>
              <w:right w:w="113" w:type="dxa"/>
            </w:tcMar>
            <w:hideMark/>
          </w:tcPr>
          <w:p w14:paraId="2FA36077" w14:textId="77777777" w:rsidR="00512393" w:rsidRDefault="00512393" w:rsidP="00517CD2">
            <w:pPr>
              <w:jc w:val="center"/>
            </w:pPr>
            <w:r>
              <w:t>1308.00</w:t>
            </w:r>
          </w:p>
        </w:tc>
        <w:tc>
          <w:tcPr>
            <w:tcW w:w="0" w:type="auto"/>
            <w:shd w:val="clear" w:color="auto" w:fill="F2F2F2"/>
            <w:tcMar>
              <w:top w:w="113" w:type="dxa"/>
              <w:left w:w="113" w:type="dxa"/>
              <w:bottom w:w="113" w:type="dxa"/>
              <w:right w:w="113" w:type="dxa"/>
            </w:tcMar>
            <w:hideMark/>
          </w:tcPr>
          <w:p w14:paraId="29B87A8A"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2541DAA6"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6A6DD5F6" w14:textId="77777777" w:rsidR="00512393" w:rsidRDefault="00512393" w:rsidP="00517CD2">
            <w:pPr>
              <w:jc w:val="center"/>
            </w:pPr>
            <w:r>
              <w:t>925.22</w:t>
            </w:r>
          </w:p>
        </w:tc>
      </w:tr>
      <w:tr w:rsidR="00512393" w14:paraId="36340634" w14:textId="77777777" w:rsidTr="008F5EE6">
        <w:trPr>
          <w:jc w:val="center"/>
        </w:trPr>
        <w:tc>
          <w:tcPr>
            <w:tcW w:w="0" w:type="auto"/>
            <w:tcMar>
              <w:top w:w="113" w:type="dxa"/>
              <w:left w:w="113" w:type="dxa"/>
              <w:bottom w:w="113" w:type="dxa"/>
              <w:right w:w="113" w:type="dxa"/>
            </w:tcMar>
            <w:hideMark/>
          </w:tcPr>
          <w:p w14:paraId="74AAD749" w14:textId="77777777" w:rsidR="00512393" w:rsidRDefault="00512393" w:rsidP="00517CD2">
            <w:r>
              <w:t>NCAN</w:t>
            </w:r>
          </w:p>
        </w:tc>
        <w:tc>
          <w:tcPr>
            <w:tcW w:w="0" w:type="auto"/>
            <w:tcMar>
              <w:top w:w="113" w:type="dxa"/>
              <w:left w:w="113" w:type="dxa"/>
              <w:bottom w:w="113" w:type="dxa"/>
              <w:right w:w="113" w:type="dxa"/>
            </w:tcMar>
            <w:hideMark/>
          </w:tcPr>
          <w:p w14:paraId="5912044D" w14:textId="77777777" w:rsidR="00512393" w:rsidRDefault="00512393" w:rsidP="00517CD2">
            <w:pPr>
              <w:jc w:val="center"/>
            </w:pPr>
            <w:r>
              <w:t>1187.78</w:t>
            </w:r>
          </w:p>
        </w:tc>
        <w:tc>
          <w:tcPr>
            <w:tcW w:w="0" w:type="auto"/>
            <w:tcMar>
              <w:top w:w="113" w:type="dxa"/>
              <w:left w:w="113" w:type="dxa"/>
              <w:bottom w:w="113" w:type="dxa"/>
              <w:right w:w="113" w:type="dxa"/>
            </w:tcMar>
            <w:hideMark/>
          </w:tcPr>
          <w:p w14:paraId="233BF6AF" w14:textId="77777777" w:rsidR="00512393" w:rsidRDefault="00512393" w:rsidP="00517CD2">
            <w:pPr>
              <w:jc w:val="center"/>
            </w:pPr>
            <w:r>
              <w:t>0.00</w:t>
            </w:r>
          </w:p>
        </w:tc>
        <w:tc>
          <w:tcPr>
            <w:tcW w:w="0" w:type="auto"/>
            <w:tcMar>
              <w:top w:w="113" w:type="dxa"/>
              <w:left w:w="113" w:type="dxa"/>
              <w:bottom w:w="113" w:type="dxa"/>
              <w:right w:w="113" w:type="dxa"/>
            </w:tcMar>
            <w:hideMark/>
          </w:tcPr>
          <w:p w14:paraId="4E7362F4" w14:textId="77777777" w:rsidR="00512393" w:rsidRDefault="00512393" w:rsidP="00517CD2">
            <w:pPr>
              <w:jc w:val="center"/>
            </w:pPr>
            <w:r>
              <w:t>0.00</w:t>
            </w:r>
          </w:p>
        </w:tc>
        <w:tc>
          <w:tcPr>
            <w:tcW w:w="0" w:type="auto"/>
            <w:tcMar>
              <w:top w:w="113" w:type="dxa"/>
              <w:left w:w="113" w:type="dxa"/>
              <w:bottom w:w="113" w:type="dxa"/>
              <w:right w:w="113" w:type="dxa"/>
            </w:tcMar>
            <w:hideMark/>
          </w:tcPr>
          <w:p w14:paraId="3BA7FA24" w14:textId="77777777" w:rsidR="00512393" w:rsidRDefault="00512393" w:rsidP="00517CD2">
            <w:pPr>
              <w:jc w:val="center"/>
            </w:pPr>
            <w:r>
              <w:t>38401.23</w:t>
            </w:r>
          </w:p>
        </w:tc>
      </w:tr>
      <w:tr w:rsidR="00512393" w14:paraId="006DB301" w14:textId="77777777" w:rsidTr="008F5EE6">
        <w:trPr>
          <w:jc w:val="center"/>
        </w:trPr>
        <w:tc>
          <w:tcPr>
            <w:tcW w:w="0" w:type="auto"/>
            <w:shd w:val="clear" w:color="auto" w:fill="F2F2F2"/>
            <w:tcMar>
              <w:top w:w="113" w:type="dxa"/>
              <w:left w:w="113" w:type="dxa"/>
              <w:bottom w:w="113" w:type="dxa"/>
              <w:right w:w="113" w:type="dxa"/>
            </w:tcMar>
            <w:hideMark/>
          </w:tcPr>
          <w:p w14:paraId="04DECB8A" w14:textId="77777777" w:rsidR="00512393" w:rsidRDefault="00512393" w:rsidP="00517CD2">
            <w:r>
              <w:t>SIX6</w:t>
            </w:r>
          </w:p>
        </w:tc>
        <w:tc>
          <w:tcPr>
            <w:tcW w:w="0" w:type="auto"/>
            <w:shd w:val="clear" w:color="auto" w:fill="F2F2F2"/>
            <w:tcMar>
              <w:top w:w="113" w:type="dxa"/>
              <w:left w:w="113" w:type="dxa"/>
              <w:bottom w:w="113" w:type="dxa"/>
              <w:right w:w="113" w:type="dxa"/>
            </w:tcMar>
            <w:hideMark/>
          </w:tcPr>
          <w:p w14:paraId="72332E05" w14:textId="77777777" w:rsidR="00512393" w:rsidRDefault="00512393" w:rsidP="00517CD2">
            <w:pPr>
              <w:jc w:val="center"/>
            </w:pPr>
            <w:r>
              <w:t>1050.67</w:t>
            </w:r>
          </w:p>
        </w:tc>
        <w:tc>
          <w:tcPr>
            <w:tcW w:w="0" w:type="auto"/>
            <w:shd w:val="clear" w:color="auto" w:fill="F2F2F2"/>
            <w:tcMar>
              <w:top w:w="113" w:type="dxa"/>
              <w:left w:w="113" w:type="dxa"/>
              <w:bottom w:w="113" w:type="dxa"/>
              <w:right w:w="113" w:type="dxa"/>
            </w:tcMar>
            <w:hideMark/>
          </w:tcPr>
          <w:p w14:paraId="30795B32"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3AAC5DDD"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0199B2D1" w14:textId="77777777" w:rsidR="00512393" w:rsidRDefault="00512393" w:rsidP="00517CD2">
            <w:pPr>
              <w:jc w:val="center"/>
            </w:pPr>
            <w:r>
              <w:t>646.75</w:t>
            </w:r>
          </w:p>
        </w:tc>
      </w:tr>
      <w:tr w:rsidR="00512393" w14:paraId="65019266" w14:textId="77777777" w:rsidTr="008F5EE6">
        <w:trPr>
          <w:jc w:val="center"/>
        </w:trPr>
        <w:tc>
          <w:tcPr>
            <w:tcW w:w="0" w:type="auto"/>
            <w:tcMar>
              <w:top w:w="113" w:type="dxa"/>
              <w:left w:w="113" w:type="dxa"/>
              <w:bottom w:w="113" w:type="dxa"/>
              <w:right w:w="113" w:type="dxa"/>
            </w:tcMar>
            <w:hideMark/>
          </w:tcPr>
          <w:p w14:paraId="0B78CDE3" w14:textId="77777777" w:rsidR="00512393" w:rsidRDefault="00512393" w:rsidP="00517CD2">
            <w:r>
              <w:lastRenderedPageBreak/>
              <w:t>SCN3B</w:t>
            </w:r>
          </w:p>
        </w:tc>
        <w:tc>
          <w:tcPr>
            <w:tcW w:w="0" w:type="auto"/>
            <w:tcMar>
              <w:top w:w="113" w:type="dxa"/>
              <w:left w:w="113" w:type="dxa"/>
              <w:bottom w:w="113" w:type="dxa"/>
              <w:right w:w="113" w:type="dxa"/>
            </w:tcMar>
            <w:hideMark/>
          </w:tcPr>
          <w:p w14:paraId="347F35FF" w14:textId="77777777" w:rsidR="00512393" w:rsidRDefault="00512393" w:rsidP="00517CD2">
            <w:pPr>
              <w:jc w:val="center"/>
            </w:pPr>
            <w:r>
              <w:t>923.04</w:t>
            </w:r>
          </w:p>
        </w:tc>
        <w:tc>
          <w:tcPr>
            <w:tcW w:w="0" w:type="auto"/>
            <w:tcMar>
              <w:top w:w="113" w:type="dxa"/>
              <w:left w:w="113" w:type="dxa"/>
              <w:bottom w:w="113" w:type="dxa"/>
              <w:right w:w="113" w:type="dxa"/>
            </w:tcMar>
            <w:hideMark/>
          </w:tcPr>
          <w:p w14:paraId="0F474F81" w14:textId="77777777" w:rsidR="00512393" w:rsidRDefault="00512393" w:rsidP="00517CD2">
            <w:pPr>
              <w:jc w:val="center"/>
            </w:pPr>
            <w:r>
              <w:t>0.00</w:t>
            </w:r>
          </w:p>
        </w:tc>
        <w:tc>
          <w:tcPr>
            <w:tcW w:w="0" w:type="auto"/>
            <w:tcMar>
              <w:top w:w="113" w:type="dxa"/>
              <w:left w:w="113" w:type="dxa"/>
              <w:bottom w:w="113" w:type="dxa"/>
              <w:right w:w="113" w:type="dxa"/>
            </w:tcMar>
            <w:hideMark/>
          </w:tcPr>
          <w:p w14:paraId="3DC1B665" w14:textId="77777777" w:rsidR="00512393" w:rsidRDefault="00512393" w:rsidP="00517CD2">
            <w:pPr>
              <w:jc w:val="center"/>
            </w:pPr>
            <w:r>
              <w:t>0.00</w:t>
            </w:r>
          </w:p>
        </w:tc>
        <w:tc>
          <w:tcPr>
            <w:tcW w:w="0" w:type="auto"/>
            <w:tcMar>
              <w:top w:w="113" w:type="dxa"/>
              <w:left w:w="113" w:type="dxa"/>
              <w:bottom w:w="113" w:type="dxa"/>
              <w:right w:w="113" w:type="dxa"/>
            </w:tcMar>
            <w:hideMark/>
          </w:tcPr>
          <w:p w14:paraId="4B7F12D0" w14:textId="77777777" w:rsidR="00512393" w:rsidRDefault="00512393" w:rsidP="00517CD2">
            <w:pPr>
              <w:jc w:val="center"/>
            </w:pPr>
            <w:r>
              <w:t>1313.92</w:t>
            </w:r>
          </w:p>
        </w:tc>
      </w:tr>
      <w:tr w:rsidR="00512393" w14:paraId="1D3EBF7C" w14:textId="77777777" w:rsidTr="008F5EE6">
        <w:trPr>
          <w:jc w:val="center"/>
        </w:trPr>
        <w:tc>
          <w:tcPr>
            <w:tcW w:w="0" w:type="auto"/>
            <w:shd w:val="clear" w:color="auto" w:fill="F2F2F2"/>
            <w:tcMar>
              <w:top w:w="113" w:type="dxa"/>
              <w:left w:w="113" w:type="dxa"/>
              <w:bottom w:w="113" w:type="dxa"/>
              <w:right w:w="113" w:type="dxa"/>
            </w:tcMar>
            <w:hideMark/>
          </w:tcPr>
          <w:p w14:paraId="085A2EEC" w14:textId="77777777" w:rsidR="00512393" w:rsidRDefault="00512393" w:rsidP="00517CD2">
            <w:r>
              <w:t>VGF</w:t>
            </w:r>
          </w:p>
        </w:tc>
        <w:tc>
          <w:tcPr>
            <w:tcW w:w="0" w:type="auto"/>
            <w:shd w:val="clear" w:color="auto" w:fill="F2F2F2"/>
            <w:tcMar>
              <w:top w:w="113" w:type="dxa"/>
              <w:left w:w="113" w:type="dxa"/>
              <w:bottom w:w="113" w:type="dxa"/>
              <w:right w:w="113" w:type="dxa"/>
            </w:tcMar>
            <w:hideMark/>
          </w:tcPr>
          <w:p w14:paraId="06C6BB60" w14:textId="77777777" w:rsidR="00512393" w:rsidRDefault="00512393" w:rsidP="00517CD2">
            <w:pPr>
              <w:jc w:val="center"/>
            </w:pPr>
            <w:r>
              <w:t>878.53</w:t>
            </w:r>
          </w:p>
        </w:tc>
        <w:tc>
          <w:tcPr>
            <w:tcW w:w="0" w:type="auto"/>
            <w:shd w:val="clear" w:color="auto" w:fill="F2F2F2"/>
            <w:tcMar>
              <w:top w:w="113" w:type="dxa"/>
              <w:left w:w="113" w:type="dxa"/>
              <w:bottom w:w="113" w:type="dxa"/>
              <w:right w:w="113" w:type="dxa"/>
            </w:tcMar>
            <w:hideMark/>
          </w:tcPr>
          <w:p w14:paraId="110F08BA"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08CE798D"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7419CF9D" w14:textId="77777777" w:rsidR="00512393" w:rsidRDefault="00512393" w:rsidP="00517CD2">
            <w:pPr>
              <w:jc w:val="center"/>
            </w:pPr>
            <w:r>
              <w:t>27375.38</w:t>
            </w:r>
          </w:p>
        </w:tc>
      </w:tr>
      <w:tr w:rsidR="00512393" w14:paraId="4C0895EC" w14:textId="77777777" w:rsidTr="008F5EE6">
        <w:trPr>
          <w:jc w:val="center"/>
        </w:trPr>
        <w:tc>
          <w:tcPr>
            <w:tcW w:w="0" w:type="auto"/>
            <w:tcMar>
              <w:top w:w="113" w:type="dxa"/>
              <w:left w:w="113" w:type="dxa"/>
              <w:bottom w:w="113" w:type="dxa"/>
              <w:right w:w="113" w:type="dxa"/>
            </w:tcMar>
            <w:hideMark/>
          </w:tcPr>
          <w:p w14:paraId="0B44BEDC" w14:textId="77777777" w:rsidR="00512393" w:rsidRDefault="00512393" w:rsidP="00517CD2">
            <w:r>
              <w:t>MMD2</w:t>
            </w:r>
          </w:p>
        </w:tc>
        <w:tc>
          <w:tcPr>
            <w:tcW w:w="0" w:type="auto"/>
            <w:tcMar>
              <w:top w:w="113" w:type="dxa"/>
              <w:left w:w="113" w:type="dxa"/>
              <w:bottom w:w="113" w:type="dxa"/>
              <w:right w:w="113" w:type="dxa"/>
            </w:tcMar>
            <w:hideMark/>
          </w:tcPr>
          <w:p w14:paraId="675AA3FC" w14:textId="77777777" w:rsidR="00512393" w:rsidRDefault="00512393" w:rsidP="00517CD2">
            <w:pPr>
              <w:jc w:val="center"/>
            </w:pPr>
            <w:r>
              <w:t>784.09</w:t>
            </w:r>
          </w:p>
        </w:tc>
        <w:tc>
          <w:tcPr>
            <w:tcW w:w="0" w:type="auto"/>
            <w:tcMar>
              <w:top w:w="113" w:type="dxa"/>
              <w:left w:w="113" w:type="dxa"/>
              <w:bottom w:w="113" w:type="dxa"/>
              <w:right w:w="113" w:type="dxa"/>
            </w:tcMar>
            <w:hideMark/>
          </w:tcPr>
          <w:p w14:paraId="1B51DEE1" w14:textId="77777777" w:rsidR="00512393" w:rsidRDefault="00512393" w:rsidP="00517CD2">
            <w:pPr>
              <w:jc w:val="center"/>
            </w:pPr>
            <w:r>
              <w:t>0.00</w:t>
            </w:r>
          </w:p>
        </w:tc>
        <w:tc>
          <w:tcPr>
            <w:tcW w:w="0" w:type="auto"/>
            <w:tcMar>
              <w:top w:w="113" w:type="dxa"/>
              <w:left w:w="113" w:type="dxa"/>
              <w:bottom w:w="113" w:type="dxa"/>
              <w:right w:w="113" w:type="dxa"/>
            </w:tcMar>
            <w:hideMark/>
          </w:tcPr>
          <w:p w14:paraId="2EE01988" w14:textId="77777777" w:rsidR="00512393" w:rsidRDefault="00512393" w:rsidP="00517CD2">
            <w:pPr>
              <w:jc w:val="center"/>
            </w:pPr>
            <w:r>
              <w:t>0.00</w:t>
            </w:r>
          </w:p>
        </w:tc>
        <w:tc>
          <w:tcPr>
            <w:tcW w:w="0" w:type="auto"/>
            <w:tcMar>
              <w:top w:w="113" w:type="dxa"/>
              <w:left w:w="113" w:type="dxa"/>
              <w:bottom w:w="113" w:type="dxa"/>
              <w:right w:w="113" w:type="dxa"/>
            </w:tcMar>
            <w:hideMark/>
          </w:tcPr>
          <w:p w14:paraId="66404E4C" w14:textId="77777777" w:rsidR="00512393" w:rsidRDefault="00512393" w:rsidP="00517CD2">
            <w:pPr>
              <w:jc w:val="center"/>
            </w:pPr>
            <w:r>
              <w:t>300.90</w:t>
            </w:r>
          </w:p>
        </w:tc>
      </w:tr>
      <w:tr w:rsidR="00512393" w14:paraId="14F7ECD9" w14:textId="77777777" w:rsidTr="008F5EE6">
        <w:trPr>
          <w:jc w:val="center"/>
        </w:trPr>
        <w:tc>
          <w:tcPr>
            <w:tcW w:w="0" w:type="auto"/>
            <w:shd w:val="clear" w:color="auto" w:fill="F2F2F2"/>
            <w:tcMar>
              <w:top w:w="113" w:type="dxa"/>
              <w:left w:w="113" w:type="dxa"/>
              <w:bottom w:w="113" w:type="dxa"/>
              <w:right w:w="113" w:type="dxa"/>
            </w:tcMar>
            <w:hideMark/>
          </w:tcPr>
          <w:p w14:paraId="006C5030" w14:textId="77777777" w:rsidR="00512393" w:rsidRDefault="00512393" w:rsidP="00517CD2">
            <w:r>
              <w:t>B3GAT1</w:t>
            </w:r>
          </w:p>
        </w:tc>
        <w:tc>
          <w:tcPr>
            <w:tcW w:w="0" w:type="auto"/>
            <w:shd w:val="clear" w:color="auto" w:fill="F2F2F2"/>
            <w:tcMar>
              <w:top w:w="113" w:type="dxa"/>
              <w:left w:w="113" w:type="dxa"/>
              <w:bottom w:w="113" w:type="dxa"/>
              <w:right w:w="113" w:type="dxa"/>
            </w:tcMar>
            <w:hideMark/>
          </w:tcPr>
          <w:p w14:paraId="564CDF8F" w14:textId="77777777" w:rsidR="00512393" w:rsidRDefault="00512393" w:rsidP="00517CD2">
            <w:pPr>
              <w:jc w:val="center"/>
            </w:pPr>
            <w:r>
              <w:t>733.52</w:t>
            </w:r>
          </w:p>
        </w:tc>
        <w:tc>
          <w:tcPr>
            <w:tcW w:w="0" w:type="auto"/>
            <w:shd w:val="clear" w:color="auto" w:fill="F2F2F2"/>
            <w:tcMar>
              <w:top w:w="113" w:type="dxa"/>
              <w:left w:w="113" w:type="dxa"/>
              <w:bottom w:w="113" w:type="dxa"/>
              <w:right w:w="113" w:type="dxa"/>
            </w:tcMar>
            <w:hideMark/>
          </w:tcPr>
          <w:p w14:paraId="5E294B8A"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7143C339"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4FA55698" w14:textId="77777777" w:rsidR="00512393" w:rsidRDefault="00512393" w:rsidP="00517CD2">
            <w:pPr>
              <w:jc w:val="center"/>
            </w:pPr>
            <w:r>
              <w:t>9828.08</w:t>
            </w:r>
          </w:p>
        </w:tc>
      </w:tr>
      <w:tr w:rsidR="00512393" w14:paraId="6AF91D21" w14:textId="77777777" w:rsidTr="008F5EE6">
        <w:trPr>
          <w:jc w:val="center"/>
        </w:trPr>
        <w:tc>
          <w:tcPr>
            <w:tcW w:w="0" w:type="auto"/>
            <w:tcMar>
              <w:top w:w="113" w:type="dxa"/>
              <w:left w:w="113" w:type="dxa"/>
              <w:bottom w:w="113" w:type="dxa"/>
              <w:right w:w="113" w:type="dxa"/>
            </w:tcMar>
            <w:hideMark/>
          </w:tcPr>
          <w:p w14:paraId="0645FC54" w14:textId="77777777" w:rsidR="00512393" w:rsidRDefault="00512393" w:rsidP="00517CD2">
            <w:r>
              <w:t>NAT16</w:t>
            </w:r>
          </w:p>
        </w:tc>
        <w:tc>
          <w:tcPr>
            <w:tcW w:w="0" w:type="auto"/>
            <w:tcMar>
              <w:top w:w="113" w:type="dxa"/>
              <w:left w:w="113" w:type="dxa"/>
              <w:bottom w:w="113" w:type="dxa"/>
              <w:right w:w="113" w:type="dxa"/>
            </w:tcMar>
            <w:hideMark/>
          </w:tcPr>
          <w:p w14:paraId="45EDDE88" w14:textId="77777777" w:rsidR="00512393" w:rsidRDefault="00512393" w:rsidP="00517CD2">
            <w:pPr>
              <w:jc w:val="center"/>
            </w:pPr>
            <w:r>
              <w:t>699.09</w:t>
            </w:r>
          </w:p>
        </w:tc>
        <w:tc>
          <w:tcPr>
            <w:tcW w:w="0" w:type="auto"/>
            <w:tcMar>
              <w:top w:w="113" w:type="dxa"/>
              <w:left w:w="113" w:type="dxa"/>
              <w:bottom w:w="113" w:type="dxa"/>
              <w:right w:w="113" w:type="dxa"/>
            </w:tcMar>
            <w:hideMark/>
          </w:tcPr>
          <w:p w14:paraId="517EF434" w14:textId="77777777" w:rsidR="00512393" w:rsidRDefault="00512393" w:rsidP="00517CD2">
            <w:pPr>
              <w:jc w:val="center"/>
            </w:pPr>
            <w:r>
              <w:t>0.00</w:t>
            </w:r>
          </w:p>
        </w:tc>
        <w:tc>
          <w:tcPr>
            <w:tcW w:w="0" w:type="auto"/>
            <w:tcMar>
              <w:top w:w="113" w:type="dxa"/>
              <w:left w:w="113" w:type="dxa"/>
              <w:bottom w:w="113" w:type="dxa"/>
              <w:right w:w="113" w:type="dxa"/>
            </w:tcMar>
            <w:hideMark/>
          </w:tcPr>
          <w:p w14:paraId="0E6B3ED8" w14:textId="77777777" w:rsidR="00512393" w:rsidRDefault="00512393" w:rsidP="00517CD2">
            <w:pPr>
              <w:jc w:val="center"/>
            </w:pPr>
            <w:r>
              <w:t>0.00</w:t>
            </w:r>
          </w:p>
        </w:tc>
        <w:tc>
          <w:tcPr>
            <w:tcW w:w="0" w:type="auto"/>
            <w:tcMar>
              <w:top w:w="113" w:type="dxa"/>
              <w:left w:w="113" w:type="dxa"/>
              <w:bottom w:w="113" w:type="dxa"/>
              <w:right w:w="113" w:type="dxa"/>
            </w:tcMar>
            <w:hideMark/>
          </w:tcPr>
          <w:p w14:paraId="435690AD" w14:textId="77777777" w:rsidR="00512393" w:rsidRDefault="00512393" w:rsidP="00517CD2">
            <w:pPr>
              <w:jc w:val="center"/>
            </w:pPr>
            <w:r>
              <w:t>1335.63</w:t>
            </w:r>
          </w:p>
        </w:tc>
      </w:tr>
      <w:tr w:rsidR="00512393" w14:paraId="664A1CEB" w14:textId="77777777" w:rsidTr="008F5EE6">
        <w:trPr>
          <w:jc w:val="center"/>
        </w:trPr>
        <w:tc>
          <w:tcPr>
            <w:tcW w:w="0" w:type="auto"/>
            <w:shd w:val="clear" w:color="auto" w:fill="F2F2F2"/>
            <w:tcMar>
              <w:top w:w="113" w:type="dxa"/>
              <w:left w:w="113" w:type="dxa"/>
              <w:bottom w:w="113" w:type="dxa"/>
              <w:right w:w="113" w:type="dxa"/>
            </w:tcMar>
            <w:hideMark/>
          </w:tcPr>
          <w:p w14:paraId="71DF647C" w14:textId="77777777" w:rsidR="00512393" w:rsidRDefault="00512393" w:rsidP="00517CD2">
            <w:r>
              <w:t>USP43</w:t>
            </w:r>
          </w:p>
        </w:tc>
        <w:tc>
          <w:tcPr>
            <w:tcW w:w="0" w:type="auto"/>
            <w:shd w:val="clear" w:color="auto" w:fill="F2F2F2"/>
            <w:tcMar>
              <w:top w:w="113" w:type="dxa"/>
              <w:left w:w="113" w:type="dxa"/>
              <w:bottom w:w="113" w:type="dxa"/>
              <w:right w:w="113" w:type="dxa"/>
            </w:tcMar>
            <w:hideMark/>
          </w:tcPr>
          <w:p w14:paraId="221EDFA9" w14:textId="77777777" w:rsidR="00512393" w:rsidRDefault="00512393" w:rsidP="00517CD2">
            <w:pPr>
              <w:jc w:val="center"/>
            </w:pPr>
            <w:r>
              <w:t>683.91</w:t>
            </w:r>
          </w:p>
        </w:tc>
        <w:tc>
          <w:tcPr>
            <w:tcW w:w="0" w:type="auto"/>
            <w:shd w:val="clear" w:color="auto" w:fill="F2F2F2"/>
            <w:tcMar>
              <w:top w:w="113" w:type="dxa"/>
              <w:left w:w="113" w:type="dxa"/>
              <w:bottom w:w="113" w:type="dxa"/>
              <w:right w:w="113" w:type="dxa"/>
            </w:tcMar>
            <w:hideMark/>
          </w:tcPr>
          <w:p w14:paraId="15771E8E"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15DBDDFE"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2EE019CA" w14:textId="77777777" w:rsidR="00512393" w:rsidRDefault="00512393" w:rsidP="00517CD2">
            <w:pPr>
              <w:jc w:val="center"/>
            </w:pPr>
            <w:r>
              <w:t>816.73</w:t>
            </w:r>
          </w:p>
        </w:tc>
      </w:tr>
      <w:tr w:rsidR="00512393" w14:paraId="7AE801D9" w14:textId="77777777" w:rsidTr="008F5EE6">
        <w:trPr>
          <w:jc w:val="center"/>
        </w:trPr>
        <w:tc>
          <w:tcPr>
            <w:tcW w:w="0" w:type="auto"/>
            <w:tcMar>
              <w:top w:w="113" w:type="dxa"/>
              <w:left w:w="113" w:type="dxa"/>
              <w:bottom w:w="113" w:type="dxa"/>
              <w:right w:w="113" w:type="dxa"/>
            </w:tcMar>
            <w:hideMark/>
          </w:tcPr>
          <w:p w14:paraId="44444899" w14:textId="77777777" w:rsidR="00512393" w:rsidRDefault="00512393" w:rsidP="00517CD2">
            <w:r>
              <w:t>ABCC8</w:t>
            </w:r>
          </w:p>
        </w:tc>
        <w:tc>
          <w:tcPr>
            <w:tcW w:w="0" w:type="auto"/>
            <w:tcMar>
              <w:top w:w="113" w:type="dxa"/>
              <w:left w:w="113" w:type="dxa"/>
              <w:bottom w:w="113" w:type="dxa"/>
              <w:right w:w="113" w:type="dxa"/>
            </w:tcMar>
            <w:hideMark/>
          </w:tcPr>
          <w:p w14:paraId="0AA1FEA3" w14:textId="77777777" w:rsidR="00512393" w:rsidRDefault="00512393" w:rsidP="00517CD2">
            <w:pPr>
              <w:jc w:val="center"/>
            </w:pPr>
            <w:r>
              <w:t>630.66</w:t>
            </w:r>
          </w:p>
        </w:tc>
        <w:tc>
          <w:tcPr>
            <w:tcW w:w="0" w:type="auto"/>
            <w:tcMar>
              <w:top w:w="113" w:type="dxa"/>
              <w:left w:w="113" w:type="dxa"/>
              <w:bottom w:w="113" w:type="dxa"/>
              <w:right w:w="113" w:type="dxa"/>
            </w:tcMar>
            <w:hideMark/>
          </w:tcPr>
          <w:p w14:paraId="03B259A8" w14:textId="77777777" w:rsidR="00512393" w:rsidRDefault="00512393" w:rsidP="00517CD2">
            <w:pPr>
              <w:jc w:val="center"/>
            </w:pPr>
            <w:r>
              <w:t>0.00</w:t>
            </w:r>
          </w:p>
        </w:tc>
        <w:tc>
          <w:tcPr>
            <w:tcW w:w="0" w:type="auto"/>
            <w:tcMar>
              <w:top w:w="113" w:type="dxa"/>
              <w:left w:w="113" w:type="dxa"/>
              <w:bottom w:w="113" w:type="dxa"/>
              <w:right w:w="113" w:type="dxa"/>
            </w:tcMar>
            <w:hideMark/>
          </w:tcPr>
          <w:p w14:paraId="6C263C79" w14:textId="77777777" w:rsidR="00512393" w:rsidRDefault="00512393" w:rsidP="00517CD2">
            <w:pPr>
              <w:jc w:val="center"/>
            </w:pPr>
            <w:r>
              <w:t>0.00</w:t>
            </w:r>
          </w:p>
        </w:tc>
        <w:tc>
          <w:tcPr>
            <w:tcW w:w="0" w:type="auto"/>
            <w:tcMar>
              <w:top w:w="113" w:type="dxa"/>
              <w:left w:w="113" w:type="dxa"/>
              <w:bottom w:w="113" w:type="dxa"/>
              <w:right w:w="113" w:type="dxa"/>
            </w:tcMar>
            <w:hideMark/>
          </w:tcPr>
          <w:p w14:paraId="11EAE1E0" w14:textId="77777777" w:rsidR="00512393" w:rsidRDefault="00512393" w:rsidP="00517CD2">
            <w:pPr>
              <w:jc w:val="center"/>
            </w:pPr>
            <w:r>
              <w:t>2770.25</w:t>
            </w:r>
          </w:p>
        </w:tc>
      </w:tr>
      <w:tr w:rsidR="00512393" w14:paraId="69800545" w14:textId="77777777" w:rsidTr="008F5EE6">
        <w:trPr>
          <w:jc w:val="center"/>
        </w:trPr>
        <w:tc>
          <w:tcPr>
            <w:tcW w:w="0" w:type="auto"/>
            <w:shd w:val="clear" w:color="auto" w:fill="F2F2F2"/>
            <w:tcMar>
              <w:top w:w="113" w:type="dxa"/>
              <w:left w:w="113" w:type="dxa"/>
              <w:bottom w:w="113" w:type="dxa"/>
              <w:right w:w="113" w:type="dxa"/>
            </w:tcMar>
            <w:hideMark/>
          </w:tcPr>
          <w:p w14:paraId="319BD9DE" w14:textId="77777777" w:rsidR="00512393" w:rsidRDefault="00512393" w:rsidP="00517CD2">
            <w:r>
              <w:t>ATCAY</w:t>
            </w:r>
          </w:p>
        </w:tc>
        <w:tc>
          <w:tcPr>
            <w:tcW w:w="0" w:type="auto"/>
            <w:shd w:val="clear" w:color="auto" w:fill="F2F2F2"/>
            <w:tcMar>
              <w:top w:w="113" w:type="dxa"/>
              <w:left w:w="113" w:type="dxa"/>
              <w:bottom w:w="113" w:type="dxa"/>
              <w:right w:w="113" w:type="dxa"/>
            </w:tcMar>
            <w:hideMark/>
          </w:tcPr>
          <w:p w14:paraId="4301F330" w14:textId="77777777" w:rsidR="00512393" w:rsidRDefault="00512393" w:rsidP="00517CD2">
            <w:pPr>
              <w:jc w:val="center"/>
            </w:pPr>
            <w:r>
              <w:t>624.96</w:t>
            </w:r>
          </w:p>
        </w:tc>
        <w:tc>
          <w:tcPr>
            <w:tcW w:w="0" w:type="auto"/>
            <w:shd w:val="clear" w:color="auto" w:fill="F2F2F2"/>
            <w:tcMar>
              <w:top w:w="113" w:type="dxa"/>
              <w:left w:w="113" w:type="dxa"/>
              <w:bottom w:w="113" w:type="dxa"/>
              <w:right w:w="113" w:type="dxa"/>
            </w:tcMar>
            <w:hideMark/>
          </w:tcPr>
          <w:p w14:paraId="3CDB549A"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45495B75"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2A46643B" w14:textId="77777777" w:rsidR="00512393" w:rsidRDefault="00512393" w:rsidP="00517CD2">
            <w:pPr>
              <w:jc w:val="center"/>
            </w:pPr>
            <w:r>
              <w:t>10365.40</w:t>
            </w:r>
          </w:p>
        </w:tc>
      </w:tr>
      <w:tr w:rsidR="00512393" w14:paraId="748D262C" w14:textId="77777777" w:rsidTr="008F5EE6">
        <w:trPr>
          <w:jc w:val="center"/>
        </w:trPr>
        <w:tc>
          <w:tcPr>
            <w:tcW w:w="0" w:type="auto"/>
            <w:tcMar>
              <w:top w:w="113" w:type="dxa"/>
              <w:left w:w="113" w:type="dxa"/>
              <w:bottom w:w="113" w:type="dxa"/>
              <w:right w:w="113" w:type="dxa"/>
            </w:tcMar>
            <w:hideMark/>
          </w:tcPr>
          <w:p w14:paraId="6F572019" w14:textId="77777777" w:rsidR="00512393" w:rsidRDefault="00512393" w:rsidP="00517CD2">
            <w:r>
              <w:t>EXTL1</w:t>
            </w:r>
          </w:p>
        </w:tc>
        <w:tc>
          <w:tcPr>
            <w:tcW w:w="0" w:type="auto"/>
            <w:tcMar>
              <w:top w:w="113" w:type="dxa"/>
              <w:left w:w="113" w:type="dxa"/>
              <w:bottom w:w="113" w:type="dxa"/>
              <w:right w:w="113" w:type="dxa"/>
            </w:tcMar>
            <w:hideMark/>
          </w:tcPr>
          <w:p w14:paraId="7C775ED5" w14:textId="77777777" w:rsidR="00512393" w:rsidRDefault="00512393" w:rsidP="00517CD2">
            <w:pPr>
              <w:jc w:val="center"/>
            </w:pPr>
            <w:r>
              <w:t>621.35</w:t>
            </w:r>
          </w:p>
        </w:tc>
        <w:tc>
          <w:tcPr>
            <w:tcW w:w="0" w:type="auto"/>
            <w:tcMar>
              <w:top w:w="113" w:type="dxa"/>
              <w:left w:w="113" w:type="dxa"/>
              <w:bottom w:w="113" w:type="dxa"/>
              <w:right w:w="113" w:type="dxa"/>
            </w:tcMar>
            <w:hideMark/>
          </w:tcPr>
          <w:p w14:paraId="0A7E060C" w14:textId="77777777" w:rsidR="00512393" w:rsidRDefault="00512393" w:rsidP="00517CD2">
            <w:pPr>
              <w:jc w:val="center"/>
            </w:pPr>
            <w:r>
              <w:t>0.00</w:t>
            </w:r>
          </w:p>
        </w:tc>
        <w:tc>
          <w:tcPr>
            <w:tcW w:w="0" w:type="auto"/>
            <w:tcMar>
              <w:top w:w="113" w:type="dxa"/>
              <w:left w:w="113" w:type="dxa"/>
              <w:bottom w:w="113" w:type="dxa"/>
              <w:right w:w="113" w:type="dxa"/>
            </w:tcMar>
            <w:hideMark/>
          </w:tcPr>
          <w:p w14:paraId="1FBAA6CB" w14:textId="77777777" w:rsidR="00512393" w:rsidRDefault="00512393" w:rsidP="00517CD2">
            <w:pPr>
              <w:jc w:val="center"/>
            </w:pPr>
            <w:r>
              <w:t>0.00</w:t>
            </w:r>
          </w:p>
        </w:tc>
        <w:tc>
          <w:tcPr>
            <w:tcW w:w="0" w:type="auto"/>
            <w:tcMar>
              <w:top w:w="113" w:type="dxa"/>
              <w:left w:w="113" w:type="dxa"/>
              <w:bottom w:w="113" w:type="dxa"/>
              <w:right w:w="113" w:type="dxa"/>
            </w:tcMar>
            <w:hideMark/>
          </w:tcPr>
          <w:p w14:paraId="569D8892" w14:textId="77777777" w:rsidR="00512393" w:rsidRDefault="00512393" w:rsidP="00517CD2">
            <w:pPr>
              <w:jc w:val="center"/>
            </w:pPr>
            <w:r>
              <w:t>622.66</w:t>
            </w:r>
          </w:p>
        </w:tc>
      </w:tr>
      <w:tr w:rsidR="00512393" w14:paraId="59A9F5C0" w14:textId="77777777" w:rsidTr="008F5EE6">
        <w:trPr>
          <w:jc w:val="center"/>
        </w:trPr>
        <w:tc>
          <w:tcPr>
            <w:tcW w:w="0" w:type="auto"/>
            <w:shd w:val="clear" w:color="auto" w:fill="F2F2F2"/>
            <w:tcMar>
              <w:top w:w="113" w:type="dxa"/>
              <w:left w:w="113" w:type="dxa"/>
              <w:bottom w:w="113" w:type="dxa"/>
              <w:right w:w="113" w:type="dxa"/>
            </w:tcMar>
            <w:hideMark/>
          </w:tcPr>
          <w:p w14:paraId="65FE5DB8" w14:textId="77777777" w:rsidR="00512393" w:rsidRDefault="00512393" w:rsidP="00517CD2">
            <w:r>
              <w:t>KCNA6</w:t>
            </w:r>
          </w:p>
        </w:tc>
        <w:tc>
          <w:tcPr>
            <w:tcW w:w="0" w:type="auto"/>
            <w:shd w:val="clear" w:color="auto" w:fill="F2F2F2"/>
            <w:tcMar>
              <w:top w:w="113" w:type="dxa"/>
              <w:left w:w="113" w:type="dxa"/>
              <w:bottom w:w="113" w:type="dxa"/>
              <w:right w:w="113" w:type="dxa"/>
            </w:tcMar>
            <w:hideMark/>
          </w:tcPr>
          <w:p w14:paraId="6A5E3FDF" w14:textId="77777777" w:rsidR="00512393" w:rsidRDefault="00512393" w:rsidP="00517CD2">
            <w:pPr>
              <w:jc w:val="center"/>
            </w:pPr>
            <w:r>
              <w:t>619.83</w:t>
            </w:r>
          </w:p>
        </w:tc>
        <w:tc>
          <w:tcPr>
            <w:tcW w:w="0" w:type="auto"/>
            <w:shd w:val="clear" w:color="auto" w:fill="F2F2F2"/>
            <w:tcMar>
              <w:top w:w="113" w:type="dxa"/>
              <w:left w:w="113" w:type="dxa"/>
              <w:bottom w:w="113" w:type="dxa"/>
              <w:right w:w="113" w:type="dxa"/>
            </w:tcMar>
            <w:hideMark/>
          </w:tcPr>
          <w:p w14:paraId="3CC53AA9"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75682767" w14:textId="77777777" w:rsidR="00512393" w:rsidRDefault="00512393" w:rsidP="00517CD2">
            <w:pPr>
              <w:jc w:val="center"/>
            </w:pPr>
            <w:r>
              <w:t>0.00</w:t>
            </w:r>
          </w:p>
        </w:tc>
        <w:tc>
          <w:tcPr>
            <w:tcW w:w="0" w:type="auto"/>
            <w:shd w:val="clear" w:color="auto" w:fill="F2F2F2"/>
            <w:tcMar>
              <w:top w:w="113" w:type="dxa"/>
              <w:left w:w="113" w:type="dxa"/>
              <w:bottom w:w="113" w:type="dxa"/>
              <w:right w:w="113" w:type="dxa"/>
            </w:tcMar>
            <w:hideMark/>
          </w:tcPr>
          <w:p w14:paraId="37BC9B98" w14:textId="77777777" w:rsidR="00512393" w:rsidRDefault="00512393" w:rsidP="00517CD2">
            <w:pPr>
              <w:jc w:val="center"/>
            </w:pPr>
            <w:r>
              <w:t>1845.29</w:t>
            </w:r>
          </w:p>
        </w:tc>
      </w:tr>
      <w:tr w:rsidR="00512393" w14:paraId="366BB573" w14:textId="77777777" w:rsidTr="008F5EE6">
        <w:trPr>
          <w:jc w:val="center"/>
        </w:trPr>
        <w:tc>
          <w:tcPr>
            <w:tcW w:w="0" w:type="auto"/>
            <w:tcMar>
              <w:top w:w="113" w:type="dxa"/>
              <w:left w:w="113" w:type="dxa"/>
              <w:bottom w:w="113" w:type="dxa"/>
              <w:right w:w="113" w:type="dxa"/>
            </w:tcMar>
            <w:hideMark/>
          </w:tcPr>
          <w:p w14:paraId="6845B74A" w14:textId="77777777" w:rsidR="00512393" w:rsidRDefault="00512393" w:rsidP="00517CD2">
            <w:r>
              <w:t>TLX1</w:t>
            </w:r>
          </w:p>
        </w:tc>
        <w:tc>
          <w:tcPr>
            <w:tcW w:w="0" w:type="auto"/>
            <w:tcMar>
              <w:top w:w="113" w:type="dxa"/>
              <w:left w:w="113" w:type="dxa"/>
              <w:bottom w:w="113" w:type="dxa"/>
              <w:right w:w="113" w:type="dxa"/>
            </w:tcMar>
            <w:hideMark/>
          </w:tcPr>
          <w:p w14:paraId="55958B57" w14:textId="77777777" w:rsidR="00512393" w:rsidRDefault="00512393" w:rsidP="00517CD2">
            <w:pPr>
              <w:jc w:val="center"/>
            </w:pPr>
            <w:r>
              <w:t>570.41</w:t>
            </w:r>
          </w:p>
        </w:tc>
        <w:tc>
          <w:tcPr>
            <w:tcW w:w="0" w:type="auto"/>
            <w:tcMar>
              <w:top w:w="113" w:type="dxa"/>
              <w:left w:w="113" w:type="dxa"/>
              <w:bottom w:w="113" w:type="dxa"/>
              <w:right w:w="113" w:type="dxa"/>
            </w:tcMar>
            <w:hideMark/>
          </w:tcPr>
          <w:p w14:paraId="650F734D" w14:textId="77777777" w:rsidR="00512393" w:rsidRDefault="00512393" w:rsidP="00517CD2">
            <w:pPr>
              <w:jc w:val="center"/>
            </w:pPr>
            <w:r>
              <w:t>0.00</w:t>
            </w:r>
          </w:p>
        </w:tc>
        <w:tc>
          <w:tcPr>
            <w:tcW w:w="0" w:type="auto"/>
            <w:tcMar>
              <w:top w:w="113" w:type="dxa"/>
              <w:left w:w="113" w:type="dxa"/>
              <w:bottom w:w="113" w:type="dxa"/>
              <w:right w:w="113" w:type="dxa"/>
            </w:tcMar>
            <w:hideMark/>
          </w:tcPr>
          <w:p w14:paraId="1CC743FD" w14:textId="77777777" w:rsidR="00512393" w:rsidRDefault="00512393" w:rsidP="00517CD2">
            <w:pPr>
              <w:jc w:val="center"/>
            </w:pPr>
            <w:r>
              <w:t>0.00</w:t>
            </w:r>
          </w:p>
        </w:tc>
        <w:tc>
          <w:tcPr>
            <w:tcW w:w="0" w:type="auto"/>
            <w:tcMar>
              <w:top w:w="113" w:type="dxa"/>
              <w:left w:w="113" w:type="dxa"/>
              <w:bottom w:w="113" w:type="dxa"/>
              <w:right w:w="113" w:type="dxa"/>
            </w:tcMar>
            <w:hideMark/>
          </w:tcPr>
          <w:p w14:paraId="238813C8" w14:textId="77777777" w:rsidR="00512393" w:rsidRDefault="00512393" w:rsidP="00517CD2">
            <w:pPr>
              <w:jc w:val="center"/>
            </w:pPr>
            <w:r>
              <w:t>795.25</w:t>
            </w:r>
          </w:p>
        </w:tc>
      </w:tr>
      <w:tr w:rsidR="00512393" w14:paraId="1FA9CD4F" w14:textId="77777777" w:rsidTr="008F5EE6">
        <w:trPr>
          <w:jc w:val="center"/>
        </w:trPr>
        <w:tc>
          <w:tcPr>
            <w:tcW w:w="0" w:type="auto"/>
            <w:tcBorders>
              <w:bottom w:val="double" w:sz="6" w:space="0" w:color="auto"/>
            </w:tcBorders>
            <w:shd w:val="clear" w:color="auto" w:fill="F2F2F2"/>
            <w:tcMar>
              <w:top w:w="113" w:type="dxa"/>
              <w:left w:w="113" w:type="dxa"/>
              <w:bottom w:w="113" w:type="dxa"/>
              <w:right w:w="113" w:type="dxa"/>
            </w:tcMar>
            <w:hideMark/>
          </w:tcPr>
          <w:p w14:paraId="5D1CD5CA" w14:textId="77777777" w:rsidR="00512393" w:rsidRDefault="00512393" w:rsidP="00517CD2">
            <w:r>
              <w:t>SCG3</w:t>
            </w:r>
          </w:p>
        </w:tc>
        <w:tc>
          <w:tcPr>
            <w:tcW w:w="0" w:type="auto"/>
            <w:tcBorders>
              <w:bottom w:val="double" w:sz="6" w:space="0" w:color="auto"/>
            </w:tcBorders>
            <w:shd w:val="clear" w:color="auto" w:fill="F2F2F2"/>
            <w:tcMar>
              <w:top w:w="113" w:type="dxa"/>
              <w:left w:w="113" w:type="dxa"/>
              <w:bottom w:w="113" w:type="dxa"/>
              <w:right w:w="113" w:type="dxa"/>
            </w:tcMar>
            <w:hideMark/>
          </w:tcPr>
          <w:p w14:paraId="36429E7E" w14:textId="77777777" w:rsidR="00512393" w:rsidRDefault="00512393" w:rsidP="00517CD2">
            <w:pPr>
              <w:jc w:val="center"/>
            </w:pPr>
            <w:r>
              <w:t>567.91</w:t>
            </w:r>
          </w:p>
        </w:tc>
        <w:tc>
          <w:tcPr>
            <w:tcW w:w="0" w:type="auto"/>
            <w:tcBorders>
              <w:bottom w:val="double" w:sz="6" w:space="0" w:color="auto"/>
            </w:tcBorders>
            <w:shd w:val="clear" w:color="auto" w:fill="F2F2F2"/>
            <w:tcMar>
              <w:top w:w="113" w:type="dxa"/>
              <w:left w:w="113" w:type="dxa"/>
              <w:bottom w:w="113" w:type="dxa"/>
              <w:right w:w="113" w:type="dxa"/>
            </w:tcMar>
            <w:hideMark/>
          </w:tcPr>
          <w:p w14:paraId="34C72822" w14:textId="77777777" w:rsidR="00512393" w:rsidRDefault="00512393" w:rsidP="00517CD2">
            <w:pPr>
              <w:jc w:val="center"/>
            </w:pPr>
            <w:r>
              <w:t>0.00</w:t>
            </w:r>
          </w:p>
        </w:tc>
        <w:tc>
          <w:tcPr>
            <w:tcW w:w="0" w:type="auto"/>
            <w:tcBorders>
              <w:bottom w:val="double" w:sz="6" w:space="0" w:color="auto"/>
            </w:tcBorders>
            <w:shd w:val="clear" w:color="auto" w:fill="F2F2F2"/>
            <w:tcMar>
              <w:top w:w="113" w:type="dxa"/>
              <w:left w:w="113" w:type="dxa"/>
              <w:bottom w:w="113" w:type="dxa"/>
              <w:right w:w="113" w:type="dxa"/>
            </w:tcMar>
            <w:hideMark/>
          </w:tcPr>
          <w:p w14:paraId="575B6A74" w14:textId="77777777" w:rsidR="00512393" w:rsidRDefault="00512393" w:rsidP="00517CD2">
            <w:pPr>
              <w:jc w:val="center"/>
            </w:pPr>
            <w:r>
              <w:t>0.00</w:t>
            </w:r>
          </w:p>
        </w:tc>
        <w:tc>
          <w:tcPr>
            <w:tcW w:w="0" w:type="auto"/>
            <w:tcBorders>
              <w:bottom w:val="double" w:sz="6" w:space="0" w:color="auto"/>
            </w:tcBorders>
            <w:shd w:val="clear" w:color="auto" w:fill="F2F2F2"/>
            <w:tcMar>
              <w:top w:w="113" w:type="dxa"/>
              <w:left w:w="113" w:type="dxa"/>
              <w:bottom w:w="113" w:type="dxa"/>
              <w:right w:w="113" w:type="dxa"/>
            </w:tcMar>
            <w:hideMark/>
          </w:tcPr>
          <w:p w14:paraId="690FD6A1" w14:textId="77777777" w:rsidR="00512393" w:rsidRDefault="00512393" w:rsidP="008F5EE6">
            <w:pPr>
              <w:keepNext/>
              <w:jc w:val="center"/>
            </w:pPr>
            <w:r>
              <w:t>10645.30</w:t>
            </w:r>
          </w:p>
        </w:tc>
      </w:tr>
    </w:tbl>
    <w:p w14:paraId="630669B0" w14:textId="6DB009F2" w:rsidR="008F5EE6" w:rsidRPr="008F5EE6" w:rsidRDefault="008F5EE6">
      <w:pPr>
        <w:pStyle w:val="Caption"/>
        <w:rPr>
          <w:b w:val="0"/>
          <w:bCs w:val="0"/>
        </w:rPr>
      </w:pPr>
      <w:r w:rsidRPr="008F5EE6">
        <w:rPr>
          <w:b w:val="0"/>
          <w:bCs w:val="0"/>
        </w:rPr>
        <w:t xml:space="preserve">Table </w:t>
      </w:r>
      <w:r w:rsidRPr="008F5EE6">
        <w:rPr>
          <w:b w:val="0"/>
          <w:bCs w:val="0"/>
        </w:rPr>
        <w:fldChar w:fldCharType="begin"/>
      </w:r>
      <w:r w:rsidRPr="008F5EE6">
        <w:rPr>
          <w:b w:val="0"/>
          <w:bCs w:val="0"/>
        </w:rPr>
        <w:instrText xml:space="preserve"> SEQ Table \* ARABIC </w:instrText>
      </w:r>
      <w:r w:rsidRPr="008F5EE6">
        <w:rPr>
          <w:b w:val="0"/>
          <w:bCs w:val="0"/>
        </w:rPr>
        <w:fldChar w:fldCharType="separate"/>
      </w:r>
      <w:r w:rsidR="00EF2969">
        <w:rPr>
          <w:b w:val="0"/>
          <w:bCs w:val="0"/>
          <w:noProof/>
        </w:rPr>
        <w:t>1</w:t>
      </w:r>
      <w:r w:rsidRPr="008F5EE6">
        <w:rPr>
          <w:b w:val="0"/>
          <w:bCs w:val="0"/>
        </w:rPr>
        <w:fldChar w:fldCharType="end"/>
      </w:r>
      <w:r w:rsidRPr="008F5EE6">
        <w:rPr>
          <w:b w:val="0"/>
          <w:bCs w:val="0"/>
        </w:rPr>
        <w:t xml:space="preserve"> List of top 20 differentially expressed genes identified through differential gene expression analysis.</w:t>
      </w:r>
    </w:p>
    <w:p w14:paraId="1CEBE587" w14:textId="453296A8" w:rsidR="00470F6D" w:rsidRPr="00470F6D" w:rsidRDefault="00470F6D" w:rsidP="00470F6D">
      <w:pPr>
        <w:pStyle w:val="Heading2"/>
      </w:pPr>
      <w:r w:rsidRPr="00B20918">
        <w:t>3.</w:t>
      </w:r>
      <w:r>
        <w:t>2</w:t>
      </w:r>
      <w:r w:rsidRPr="00B20918">
        <w:tab/>
      </w:r>
      <w:r w:rsidRPr="00B20918">
        <w:tab/>
      </w:r>
      <w:r>
        <w:t xml:space="preserve">EGR1 may drive poor response to bevacizumab in part through regulation of CHRNA7. </w:t>
      </w:r>
    </w:p>
    <w:p w14:paraId="544AE95A" w14:textId="6AB05D64" w:rsidR="0015075D" w:rsidRPr="00BA5717" w:rsidRDefault="009C6CE7" w:rsidP="0086633F">
      <w:pPr>
        <w:pStyle w:val="BodyText"/>
        <w:ind w:left="1" w:hanging="1"/>
      </w:pPr>
      <w:r>
        <w:t xml:space="preserve">Literature revolving around these </w:t>
      </w:r>
      <w:r w:rsidR="00321894">
        <w:t xml:space="preserve">angiogenic </w:t>
      </w:r>
      <w:r w:rsidR="00BA5717">
        <w:t>genes</w:t>
      </w:r>
      <w:r w:rsidR="00321894">
        <w:t xml:space="preserve"> </w:t>
      </w:r>
      <w:r w:rsidR="00F80AAB" w:rsidRPr="00F80AAB">
        <w:t xml:space="preserve">highlighted </w:t>
      </w:r>
      <w:r w:rsidR="00F80AAB" w:rsidRPr="00F80AAB">
        <w:rPr>
          <w:i/>
          <w:iCs/>
        </w:rPr>
        <w:t>CHRNA7</w:t>
      </w:r>
      <w:r w:rsidR="00F80AAB" w:rsidRPr="00F80AAB">
        <w:t xml:space="preserve"> and </w:t>
      </w:r>
      <w:r w:rsidR="00F80AAB" w:rsidRPr="00F80AAB">
        <w:rPr>
          <w:i/>
          <w:iCs/>
        </w:rPr>
        <w:t>EGR1</w:t>
      </w:r>
      <w:r w:rsidR="00F80AAB" w:rsidRPr="00F80AAB">
        <w:t xml:space="preserve"> as potential </w:t>
      </w:r>
      <w:r w:rsidR="00BA5717">
        <w:t xml:space="preserve">key </w:t>
      </w:r>
      <w:r w:rsidR="00F80AAB" w:rsidRPr="00F80AAB">
        <w:t xml:space="preserve">players in the poor response to bevacizumab therapy, stemming from the upregulation of these two genes in the poor responder group to bevacizumab treatment (Figure 2). </w:t>
      </w:r>
      <w:r w:rsidR="00F80AAB" w:rsidRPr="00F80AAB">
        <w:rPr>
          <w:i/>
          <w:iCs/>
        </w:rPr>
        <w:t>CHRNA7</w:t>
      </w:r>
      <w:r w:rsidR="00F80AAB" w:rsidRPr="00F80AAB">
        <w:t xml:space="preserve"> has been shown to promote angiogenesis or tumor cell proliferation and migration through an </w:t>
      </w:r>
      <w:r w:rsidR="00F80AAB" w:rsidRPr="00F80AAB">
        <w:rPr>
          <w:i/>
          <w:iCs/>
        </w:rPr>
        <w:t>EGR1</w:t>
      </w:r>
      <w:r w:rsidR="00F80AAB" w:rsidRPr="00F80AAB">
        <w:t xml:space="preserve"> dependent mechanism</w:t>
      </w:r>
      <w:r w:rsidR="0056027A">
        <w:fldChar w:fldCharType="begin"/>
      </w:r>
      <w:r w:rsidR="0056027A">
        <w:instrText xml:space="preserve"> ADDIN ZOTERO_ITEM CSL_CITATION {"citationID":"pMWhi78W","properties":{"formattedCitation":"\\super 10\\nosupersub{}","plainCitation":"10","noteIndex":0},"citationItems":[{"id":29,"uris":["http://zotero.org/users/8255195/items/BNPT3RPP"],"uri":["http://zotero.org/users/8255195/items/BNPT3RPP"],"itemData":{"id":29,"type":"article-journal","abstract":"Small cell lung cancer (SCLC) demonstrates a strong etiological association with smoking. Although cigarette smoke is a mixture of about 4,000 compounds, nicotine is the addictive component of cigarette smoke. Several convergent studies have shown that nicotine promotes angiogenesis in lung cancers via the α7-nicotinic acetylcholine receptor (α7-nAChR) on endothelial cells. Therefore, we conjectured that α7-nAChR antagonists may attenuate nicotine-induced angiogenesis and be useful for the treatment of human SCLC. For the first time, our study explores the anti-angiogenic activity of MG624, a small-molecule α7-nAChR antagonist, in several experimental models of angiogenesis. We observed that MG624 potently suppressed the proliferation of primary human microvascular endothelial cells of the lung (HMEC-Ls). Furthermore, MG624 displayed robust anti-angiogenic activity in the Matrigel, rat aortic ring and rat retinal explant assays. The anti-angiogenic activity of MG624 was assessed by two in vivo models, namely the chicken chorioallantoic membrane model and the nude mice model. In both of these experimental models, MG624 inhibited angiogenesis of human SCLC tumors. Most importantly, the administration of MG624 was not associated with any toxic side effects, lethargy or discomfort in the mice. The anti-angiogenic activity of MG624 was mediated via the suppression of nicotine-induced FGF2 levels in HMEC-Ls. MG624 decreased nicotine-induced early growth response gene 1 (Egr-1) levels in HMEC-Ls, and reduced the levels of Egr-1 on the FGF2 promoter. Consequently, this process decreased FGF2 levels and angiogenesis. Our findings suggest that the anti-angiogenic effects of MG624 could be useful in anti-angiogenic therapy of human SCLCs.","container-title":"Angiogenesis","DOI":"10.1007/s10456-011-9246-9","ISSN":"1573-7209","issue":"1","journalAbbreviation":"Angiogenesis","language":"eng","note":"PMID: 22198237","page":"99-114","source":"PubMed","title":"MG624, an α7-nAChR antagonist, inhibits angiogenesis via the Egr-1/FGF2 pathway","volume":"15","author":[{"family":"Brown","given":"Kathleen C."},{"family":"Lau","given":"Jamie K."},{"family":"Dom","given":"Aaron M."},{"family":"Witte","given":"Theodore R."},{"family":"Luo","given":"Haitao"},{"family":"Crabtree","given":"Clayton M."},{"family":"Shah","given":"Yashoni H."},{"family":"Shiflett","given":"Brandon S."},{"family":"Marcelo","given":"Aileen J."},{"family":"Proper","given":"Nancy A."},{"family":"Hardman","given":"W. Elaine"},{"family":"Egleton","given":"Richard D."},{"family":"Chen","given":"Yi Charlie"},{"family":"Mangiarua","given":"Elsa I."},{"family":"Dasgupta","given":"Piyali"}],"issued":{"date-parts":[["2012",3]]}}}],"schema":"https://github.com/citation-style-language/schema/raw/master/csl-citation.json"} </w:instrText>
      </w:r>
      <w:r w:rsidR="0056027A">
        <w:fldChar w:fldCharType="separate"/>
      </w:r>
      <w:r w:rsidR="0056027A" w:rsidRPr="0056027A">
        <w:rPr>
          <w:vertAlign w:val="superscript"/>
        </w:rPr>
        <w:t>10</w:t>
      </w:r>
      <w:r w:rsidR="0056027A">
        <w:fldChar w:fldCharType="end"/>
      </w:r>
      <w:r>
        <w:rPr>
          <w:vertAlign w:val="superscript"/>
        </w:rPr>
        <w:t>,</w:t>
      </w:r>
      <w:r w:rsidR="0056027A">
        <w:fldChar w:fldCharType="begin"/>
      </w:r>
      <w:r w:rsidR="0056027A">
        <w:instrText xml:space="preserve"> ADDIN ZOTERO_ITEM CSL_CITATION {"citationID":"wk7VCPRh","properties":{"formattedCitation":"\\super 11\\nosupersub{}","plainCitation":"11","noteIndex":0},"citationItems":[{"id":84,"uris":["http://zotero.org/users/8255195/items/NMDRE5V9"],"uri":["http://zotero.org/users/8255195/items/NMDRE5V9"],"itemData":{"id":84,"type":"article-journal","abstract":"BACKGROUND: Cholangiocarcinoma is one of the most deadly malignant tumors characterized by a tendency of local invasiveness and metastasis at the early phase, high recurrence rate, and difficulty in treatment. Alpha7-nicotinic acetylcholine receptor (α7-nAChR) is highly expressed in a variety of tumors, including cholangiocarcinoma, and may promote tumor progression, but the mechanisms are largely unknown.\nAIMS: Our study is the first to expound upon the role that α7-nAChR plays in cholangiocarcinoma.\nMETHODS: We assessed 50 human cholangiocarcinoma tissue samples and 20 normal biliary samples using immunohistochemical staining to find the correlation between α7-nAChR expression and clinicopathological characteristics. We used human cholangiocarcinoma cell lines QBC939 and RBE and α7-nAChR gene knockdown RBE cell lines generated by shRNA lentivirus transfection to investigate the biological functions of α7-nAChR in proliferation, apoptosis, migration, and invasiveness in vitro. Further, western blotting was used to detect apoptosis and epithelial-mesenchymal transition (EMT)-related signaling proteins. Cholangiocarcinoma xenografts in nude mice were used for tumorigenicity assays in vivo.\nRESULTS: The expression of α7-nAChR was high in cholangiocarcinoma tissues and was closely related to a shorter survival time in patients. α7-nAChR knockdown decreased cell proliferation ability, increased early apoptosis, and weakened cell migration and invasion. Apoptosis-related proteins and components of the EMT process were altered after α7-nAChR knockdown. Moreover, nude mice xenograft experiments confirmed that α7-nAChR could promote cholangiocarcinoma in vitro.\nCONCLUSIONS: Overexpression of α7-nAChR induces cholangiocarcinoma progression by blocking apoptosis and promoting the EMT process. As an effective molecular biomarker and prognostic factor, α7-nAChR is a promising therapeutic target in cholangiocarcinoma.","container-title":"Digestive Diseases and Sciences","DOI":"10.1007/s10620-019-05609-3","ISSN":"1573-2568","issue":"10","journalAbbreviation":"Dig Dis Sci","language":"eng","note":"PMID: 30949902","page":"2843-2853","source":"PubMed","title":"α7-Nicotinic Acetylcholine Receptor Promotes Cholangiocarcinoma Progression and Epithelial-Mesenchymal Transition Process","volume":"64","author":[{"family":"Chen","given":"Shuhai"},{"family":"Kang","given":"Xiaoliang"},{"family":"Liu","given":"Guangwei"},{"family":"Zhang","given":"Bingyuan"},{"family":"Hu","given":"Xiao"},{"family":"Feng","given":"Yujie"}],"issued":{"date-parts":[["2019",10]]}}}],"schema":"https://github.com/citation-style-language/schema/raw/master/csl-citation.json"} </w:instrText>
      </w:r>
      <w:r w:rsidR="0056027A">
        <w:fldChar w:fldCharType="separate"/>
      </w:r>
      <w:r w:rsidR="0056027A" w:rsidRPr="0056027A">
        <w:rPr>
          <w:vertAlign w:val="superscript"/>
        </w:rPr>
        <w:t>11</w:t>
      </w:r>
      <w:r w:rsidR="0056027A">
        <w:fldChar w:fldCharType="end"/>
      </w:r>
      <w:r w:rsidR="00F80AAB" w:rsidRPr="00F80AAB">
        <w:t xml:space="preserve">. Specifically, prior research has demonstrated a mitigation of tumor cell migration following antagonization of the </w:t>
      </w:r>
      <w:r w:rsidR="00F80AAB" w:rsidRPr="00F80AAB">
        <w:rPr>
          <w:i/>
          <w:iCs/>
        </w:rPr>
        <w:t>CHRNA7</w:t>
      </w:r>
      <w:r w:rsidR="00F80AAB" w:rsidRPr="00F80AAB">
        <w:t xml:space="preserve"> protein product α7 Nicotinic Acetylcholine Receptor subunit</w:t>
      </w:r>
      <w:r>
        <w:fldChar w:fldCharType="begin"/>
      </w:r>
      <w:r>
        <w:instrText xml:space="preserve"> ADDIN ZOTERO_ITEM CSL_CITATION {"citationID":"vT1FciRW","properties":{"formattedCitation":"\\super 12\\nosupersub{}","plainCitation":"12","noteIndex":0},"citationItems":[{"id":81,"uris":["http://zotero.org/users/8255195/items/GVJCM5C3"],"uri":["http://zotero.org/users/8255195/items/GVJCM5C3"],"itemData":{"id":81,"type":"article-journal","abstract":"A 14mer peptide (T14) derived from the C-terminus of acetylcholinesterase (AChE) selectively activates metastatic breast cancer cells via the alpha-7 nicotinic receptor (α7 nAChR). This naturally occurring peptide is also present in brain, is elevated in Alzheimer's disease, and is antagonised by a cyclized variant (NBP-14). Here we investigated the effects of NBP-14 in six different cancer cell lines, primary leukemia B-cells and normal B-cells. All cells tested expressed α7 nAChR, intracellular and extracellular T14. However, NBP-14 showed low toxicity and weak anti-proliferative effects in the majority of the cell lines and was even less toxic in normal B-cells when compared to primary chronic lymphocytic leukemia cells (P &lt; 0.001). Given the potential role of T14 peptide in metastasis, we next investigated the effects of NBP-14 on tumor cell migration, where it caused a dose-dependent reduction. The extent of NBP-14 inhibition positively correlated with the migration of the cells (r2 = 0.45; P = 0.06). Furthermore, NBP-14 preferentially inhibited the migration of primary leukemia cells when compared with normal B-cells (P = 0.0002); when the normal B-cell data was excluded, this correlation was strengthened (r2 = 0.80; P = 0.006). Importantly, the constitutive α7 nAChR expression positively correlated with intracellular T14 levels (r2 = 0.91; P = 0.0003) and inversely correlated with extracellular T14 levels in the cell culture supernatants (r2 = −0.79; P = 0.034). However, in the presence of NBP-14, α7 nAChR expression was reduced (P = 0.04) and the most migratory cells showed the largest reduction in expression. In conclusion, NBP-14-mediated antagonism of the α7 nAChR offers a novel therapeutic strategy with the potential to inhibit tumor cell migration.","container-title":"Oncotarget","DOI":"10.18632/oncotarget.14545","ISSN":"1949-2553","issue":"7","journalAbbreviation":"Oncotarget","note":"PMID: 28077796\nPMCID: PMC5355275","page":"11414-11424","source":"PubMed Central","title":"Tumor cell migration is inhibited by a novel therapeutic strategy antagonizing the alpha-7 receptor","volume":"8","author":[{"family":"Pepper","given":"Chris"},{"family":"Tu","given":"Henry"},{"family":"Morrill","given":"Paul"},{"family":"Garcia-Rates","given":"Sara"},{"family":"Fegan","given":"Chris"},{"family":"Greenfield","given":"Susan"}],"issued":{"date-parts":[["2017",1,6]]}}}],"schema":"https://github.com/citation-style-language/schema/raw/master/csl-citation.json"} </w:instrText>
      </w:r>
      <w:r>
        <w:fldChar w:fldCharType="separate"/>
      </w:r>
      <w:r w:rsidRPr="009C6CE7">
        <w:rPr>
          <w:vertAlign w:val="superscript"/>
        </w:rPr>
        <w:t>12</w:t>
      </w:r>
      <w:r>
        <w:fldChar w:fldCharType="end"/>
      </w:r>
      <w:r w:rsidR="00F80AAB" w:rsidRPr="00F80AAB">
        <w:t xml:space="preserve">. </w:t>
      </w:r>
      <w:r w:rsidR="00F80AAB" w:rsidRPr="009C6CE7">
        <w:rPr>
          <w:i/>
          <w:iCs/>
        </w:rPr>
        <w:t>EGR1</w:t>
      </w:r>
      <w:r w:rsidR="00F80AAB" w:rsidRPr="00F80AAB">
        <w:t xml:space="preserve"> serves as a transcription factor for </w:t>
      </w:r>
      <w:r w:rsidR="00F80AAB" w:rsidRPr="009C6CE7">
        <w:rPr>
          <w:i/>
          <w:iCs/>
        </w:rPr>
        <w:t>CHRNA7</w:t>
      </w:r>
      <w:r w:rsidR="00F80AAB" w:rsidRPr="00F80AAB">
        <w:t xml:space="preserve"> expression, positively driving its transcription.</w:t>
      </w:r>
      <w:r w:rsidR="00BD3769">
        <w:t xml:space="preserve"> </w:t>
      </w:r>
      <w:r w:rsidR="00707D51">
        <w:t xml:space="preserve">Moreover, </w:t>
      </w:r>
      <w:r w:rsidR="00707D51">
        <w:rPr>
          <w:i/>
          <w:iCs/>
        </w:rPr>
        <w:t>EGR1</w:t>
      </w:r>
      <w:r w:rsidR="00707D51">
        <w:t xml:space="preserve"> has been shown to regulate several of the other differentially expressed angiogenic genes, including </w:t>
      </w:r>
      <w:r w:rsidR="00707D51">
        <w:rPr>
          <w:i/>
          <w:iCs/>
        </w:rPr>
        <w:t>AMOT</w:t>
      </w:r>
      <w:r w:rsidR="00707D51">
        <w:t xml:space="preserve">, </w:t>
      </w:r>
      <w:r w:rsidR="00707D51">
        <w:rPr>
          <w:i/>
          <w:iCs/>
        </w:rPr>
        <w:t>RAMP3</w:t>
      </w:r>
      <w:r w:rsidR="00707D51">
        <w:t>,</w:t>
      </w:r>
      <w:r w:rsidR="00BA5717">
        <w:t xml:space="preserve"> and</w:t>
      </w:r>
      <w:r w:rsidR="00707D51">
        <w:t xml:space="preserve"> </w:t>
      </w:r>
      <w:r w:rsidR="00707D51">
        <w:rPr>
          <w:i/>
          <w:iCs/>
        </w:rPr>
        <w:t>ACVRL1</w:t>
      </w:r>
      <w:r w:rsidR="00707D51">
        <w:t>, FLAG (Figure 1C)</w:t>
      </w:r>
      <w:r w:rsidR="00BA5717">
        <w:t xml:space="preserve">. </w:t>
      </w:r>
    </w:p>
    <w:p w14:paraId="7282457A" w14:textId="5A41979B" w:rsidR="00BD3769" w:rsidRPr="0046527F" w:rsidRDefault="00BA5717" w:rsidP="0086633F">
      <w:pPr>
        <w:pStyle w:val="BodyText"/>
        <w:ind w:left="1" w:hanging="1"/>
      </w:pPr>
      <w:r>
        <w:lastRenderedPageBreak/>
        <w:t>To validate transcriptome level changes, protein</w:t>
      </w:r>
      <w:r w:rsidR="00BD3769">
        <w:t xml:space="preserve">-level differences in expression of </w:t>
      </w:r>
      <w:r w:rsidR="00BD3769">
        <w:rPr>
          <w:i/>
          <w:iCs/>
        </w:rPr>
        <w:t xml:space="preserve">CHRNA7 </w:t>
      </w:r>
      <w:r w:rsidR="00BD3769">
        <w:t xml:space="preserve">and </w:t>
      </w:r>
      <w:r w:rsidR="00BD3769">
        <w:rPr>
          <w:i/>
          <w:iCs/>
        </w:rPr>
        <w:t>EGR1</w:t>
      </w:r>
      <w:r w:rsidR="00BD3769">
        <w:t xml:space="preserve"> were </w:t>
      </w:r>
      <w:r>
        <w:t xml:space="preserve">measured </w:t>
      </w:r>
      <w:r w:rsidR="00BD3769">
        <w:t xml:space="preserve">through immunohistochemistry. </w:t>
      </w:r>
      <w:r>
        <w:rPr>
          <w:i/>
          <w:iCs/>
        </w:rPr>
        <w:t xml:space="preserve">CHRNA7 </w:t>
      </w:r>
      <w:r w:rsidR="00AC679F">
        <w:t xml:space="preserve">and </w:t>
      </w:r>
      <w:r w:rsidR="00AC679F">
        <w:rPr>
          <w:i/>
          <w:iCs/>
        </w:rPr>
        <w:t xml:space="preserve">EGR1 </w:t>
      </w:r>
      <w:r>
        <w:t>showed upregulation in poor responders to bevacizumab by factor</w:t>
      </w:r>
      <w:r w:rsidR="00AC679F">
        <w:t xml:space="preserve">s </w:t>
      </w:r>
      <w:r>
        <w:t>of x</w:t>
      </w:r>
      <w:r w:rsidR="00AC679F">
        <w:t xml:space="preserve"> (Figure 2A) and y </w:t>
      </w:r>
      <w:r>
        <w:t>(Figure 2</w:t>
      </w:r>
      <w:r w:rsidR="00AC679F">
        <w:t>B</w:t>
      </w:r>
      <w:r>
        <w:t>)</w:t>
      </w:r>
      <w:r w:rsidR="00AC679F">
        <w:t>, respectively</w:t>
      </w:r>
      <w:r>
        <w:t xml:space="preserve">. </w:t>
      </w:r>
      <w:r w:rsidR="00AC679F">
        <w:t xml:space="preserve">Another pro-angiogenic target of </w:t>
      </w:r>
      <w:r w:rsidR="00AC679F">
        <w:rPr>
          <w:i/>
          <w:iCs/>
        </w:rPr>
        <w:t>EGR1</w:t>
      </w:r>
      <w:r w:rsidR="0046527F">
        <w:t>, w,</w:t>
      </w:r>
      <w:r w:rsidR="00AC679F">
        <w:t xml:space="preserve"> showed a similar upregulation by a factor of z (Figure 2C), further solidifying the role of </w:t>
      </w:r>
      <w:r w:rsidR="00AC679F">
        <w:rPr>
          <w:i/>
          <w:iCs/>
        </w:rPr>
        <w:t xml:space="preserve">EGR1 </w:t>
      </w:r>
      <w:r w:rsidR="00AC679F">
        <w:t xml:space="preserve">in driving angiogenic response. </w:t>
      </w:r>
      <w:r w:rsidR="0046527F">
        <w:t xml:space="preserve">These data parallel RNA-sequencing level results showing upregulation of </w:t>
      </w:r>
      <w:r w:rsidR="0046527F">
        <w:rPr>
          <w:i/>
          <w:iCs/>
        </w:rPr>
        <w:t xml:space="preserve">CHRNA7 </w:t>
      </w:r>
      <w:r w:rsidR="0046527F">
        <w:t xml:space="preserve">by x, </w:t>
      </w:r>
      <w:r w:rsidR="0046527F">
        <w:rPr>
          <w:i/>
          <w:iCs/>
        </w:rPr>
        <w:t>EGR1</w:t>
      </w:r>
      <w:r w:rsidR="0046527F">
        <w:t xml:space="preserve"> by y, and w by </w:t>
      </w:r>
      <w:proofErr w:type="gramStart"/>
      <w:r w:rsidR="0046527F">
        <w:t>z  (</w:t>
      </w:r>
      <w:proofErr w:type="gramEnd"/>
      <w:r w:rsidR="0046527F">
        <w:t>Figure 1C) FLAG.</w:t>
      </w:r>
    </w:p>
    <w:p w14:paraId="54EFF25E" w14:textId="78D43EEB" w:rsidR="00470F6D" w:rsidRDefault="00470F6D" w:rsidP="00470F6D">
      <w:pPr>
        <w:pStyle w:val="Heading2"/>
      </w:pPr>
      <w:r w:rsidRPr="00B20918">
        <w:t>3.</w:t>
      </w:r>
      <w:r>
        <w:t>3</w:t>
      </w:r>
      <w:r w:rsidRPr="00B20918">
        <w:tab/>
      </w:r>
      <w:r w:rsidRPr="00B20918">
        <w:tab/>
      </w:r>
      <w:r>
        <w:t>Differential expression of both CHRNA7 correlate</w:t>
      </w:r>
      <w:r w:rsidR="00BF2292">
        <w:t xml:space="preserve">s </w:t>
      </w:r>
      <w:r>
        <w:t xml:space="preserve">with poor prognosis. </w:t>
      </w:r>
    </w:p>
    <w:p w14:paraId="25A089A5" w14:textId="5B2019E8" w:rsidR="00BD3769" w:rsidRPr="00BF2292" w:rsidRDefault="00BD3769" w:rsidP="00BD3769">
      <w:pPr>
        <w:pStyle w:val="BodyText"/>
      </w:pPr>
      <w:r>
        <w:t xml:space="preserve">Following validation of differential transcription and translation of </w:t>
      </w:r>
      <w:r>
        <w:rPr>
          <w:i/>
          <w:iCs/>
        </w:rPr>
        <w:t>CHRNA7</w:t>
      </w:r>
      <w:r>
        <w:t xml:space="preserve">, </w:t>
      </w:r>
      <w:r w:rsidR="00BF2292">
        <w:t xml:space="preserve">its </w:t>
      </w:r>
      <w:r>
        <w:t xml:space="preserve">pertinence to survival in glioblastoma was </w:t>
      </w:r>
      <w:r w:rsidR="0046527F">
        <w:t>measured</w:t>
      </w:r>
      <w:r>
        <w:t xml:space="preserve"> through analysis of clinical datasets curated through </w:t>
      </w:r>
      <w:proofErr w:type="spellStart"/>
      <w:r>
        <w:t>cBioPortal</w:t>
      </w:r>
      <w:proofErr w:type="spellEnd"/>
      <w:r>
        <w:t xml:space="preserve">. </w:t>
      </w:r>
      <w:r w:rsidR="00BF2292">
        <w:t xml:space="preserve">Patients with alterations </w:t>
      </w:r>
      <w:r>
        <w:t xml:space="preserve">in </w:t>
      </w:r>
      <w:r>
        <w:rPr>
          <w:i/>
          <w:iCs/>
        </w:rPr>
        <w:t>CHRNA7</w:t>
      </w:r>
      <w:r>
        <w:t xml:space="preserve"> in glioblastoma </w:t>
      </w:r>
      <w:r w:rsidR="00BF2292">
        <w:t xml:space="preserve">showed </w:t>
      </w:r>
      <w:r>
        <w:t>significantly worse median overall survival</w:t>
      </w:r>
      <w:r w:rsidR="00BF2292">
        <w:t xml:space="preserve">, with </w:t>
      </w:r>
      <w:r w:rsidR="00BF2292">
        <w:rPr>
          <w:i/>
          <w:iCs/>
        </w:rPr>
        <w:t>CHRNA7</w:t>
      </w:r>
      <w:r w:rsidR="00BF2292">
        <w:t xml:space="preserve"> alteration-marked patients having a median overall survival of around 4 months (Figure 3).</w:t>
      </w:r>
    </w:p>
    <w:p w14:paraId="3F7162AE" w14:textId="3BEBAA35" w:rsidR="00DD72B8" w:rsidRPr="00BD3769" w:rsidRDefault="00DD72B8" w:rsidP="008F5EE6">
      <w:pPr>
        <w:pStyle w:val="BodyText"/>
        <w:jc w:val="center"/>
      </w:pPr>
      <w:r>
        <w:rPr>
          <w:noProof/>
        </w:rPr>
        <w:lastRenderedPageBreak/>
        <w:drawing>
          <wp:inline distT="0" distB="0" distL="0" distR="0" wp14:anchorId="2BD8FF7B" wp14:editId="7A83FFDC">
            <wp:extent cx="5080000" cy="381000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20BA935D" w14:textId="52C45447" w:rsidR="00EF286D" w:rsidRPr="00CF2315" w:rsidRDefault="00B20918" w:rsidP="00CF2315">
      <w:pPr>
        <w:pStyle w:val="Heading1"/>
      </w:pPr>
      <w:r>
        <w:t>4</w:t>
      </w:r>
      <w:r>
        <w:tab/>
      </w:r>
      <w:r w:rsidR="00DD72B8">
        <w:t>Discussion</w:t>
      </w:r>
    </w:p>
    <w:p w14:paraId="30B41427" w14:textId="4D0BC0ED" w:rsidR="00CF5364" w:rsidRDefault="00EB71E2" w:rsidP="00B20918">
      <w:pPr>
        <w:pStyle w:val="Heading2"/>
      </w:pPr>
      <w:r w:rsidRPr="00B20918">
        <w:t>4</w:t>
      </w:r>
      <w:r w:rsidR="009E01E8" w:rsidRPr="00B20918">
        <w:t>.1</w:t>
      </w:r>
      <w:r w:rsidR="00A06481" w:rsidRPr="00B20918">
        <w:tab/>
      </w:r>
      <w:r w:rsidR="00DD72B8">
        <w:t xml:space="preserve">Clinical Significance </w:t>
      </w:r>
    </w:p>
    <w:p w14:paraId="56F52979" w14:textId="0883023F" w:rsidR="002664E9" w:rsidRPr="00CC5EA3" w:rsidRDefault="00F3147D" w:rsidP="002664E9">
      <w:pPr>
        <w:pStyle w:val="BodyText"/>
      </w:pPr>
      <w:r>
        <w:t>Currently, there is limited literature regarding genetic biomarkers predicting response to bevacizumab for treatment of recurrent glioblastoma. Existing biomarkers are relegated to MRI’s in the tumor microenvironment</w:t>
      </w:r>
      <w:r>
        <w:fldChar w:fldCharType="begin"/>
      </w:r>
      <w:r>
        <w:instrText xml:space="preserve"> ADDIN ZOTERO_ITEM CSL_CITATION {"citationID":"qNqADuLd","properties":{"formattedCitation":"\\super 13\\nosupersub{}","plainCitation":"13","noteIndex":0},"citationItems":[{"id":102,"uris":["http://zotero.org/users/8255195/items/6L6PY3CY"],"uri":["http://zotero.org/users/8255195/items/6L6PY3CY"],"itemData":{"id":102,"type":"article-journal","abstract":"PURPOSE: Glioblastoma (GB) is one of the most vascularized of all solid tumors and, therefore, represents an attractive target for antiangiogenic therapies. Many lesions, however, quickly develop escape mechanisms associated with changes in the tumor microenvironment (TME) resulting in rapid treatment failure. To prevent patients from adverse effects of ineffective therapy, there is a strong need to better predict and monitor antiangiogenic treatment response.\nPROCEDURES: We utilized a novel physiological magnetic resonance imaging (MRI) method combining the visualization of oxygen metabolism and neovascularization for classification of five different TME compartments: necrosis, hypoxia with/without neovascularization, oxidative phosphorylation, and aerobic glycolysis. This approach, termed TME mapping, was used to monitor changes in tumor biology and pathophysiology within the TME in response to bevacizumab treatment in 18 patients with recurrent GB.\nRESULTS: We detected dramatic changes in the TME by rearrangement of its compartments after the onset of bevacizumab treatment. All patients showed a decrease in active tumor volume and neovascularization as well as an increase in hypoxia and necrosis in the first follow-up after 3 months. We found that recurrent GB with a high percentage of neovascularization and active tumor before bevacizumab onset showed a poor or no treatment response.\nCONCLUSIONS: TME mapping might be useful to develop strategies for patient stratification and response prediction before bevacizumab onset.","container-title":"Molecular Imaging and Biology","DOI":"10.1007/s11307-018-1289-5","ISSN":"1860-2002","issue":"4","journalAbbreviation":"Mol Imaging Biol","language":"eng","note":"PMID: 30361791","page":"747-757","source":"PubMed","title":"Predicting Glioblastoma Response to Bevacizumab Through MRI Biomarkers of the Tumor Microenvironment","volume":"21","author":[{"family":"Stadlbauer","given":"Andreas"},{"family":"Roessler","given":"Karl"},{"family":"Zimmermann","given":"Max"},{"family":"Buchfelder","given":"Michael"},{"family":"Kleindienst","given":"Andrea"},{"family":"Doerfler","given":"Arnd"},{"family":"Heinz","given":"Gertraud"},{"family":"Oberndorfer","given":"Stefan"}],"issued":{"date-parts":[["2019",8]]}}}],"schema":"https://github.com/citation-style-language/schema/raw/master/csl-citation.json"} </w:instrText>
      </w:r>
      <w:r>
        <w:fldChar w:fldCharType="separate"/>
      </w:r>
      <w:r w:rsidRPr="00F3147D">
        <w:rPr>
          <w:vertAlign w:val="superscript"/>
        </w:rPr>
        <w:t>13</w:t>
      </w:r>
      <w:r>
        <w:fldChar w:fldCharType="end"/>
      </w:r>
      <w:r>
        <w:t xml:space="preserve">. In the short term, identification </w:t>
      </w:r>
      <w:r w:rsidR="008C6A58">
        <w:t xml:space="preserve">of </w:t>
      </w:r>
      <w:r w:rsidR="00B97288">
        <w:t xml:space="preserve">specific </w:t>
      </w:r>
      <w:r w:rsidR="008C6A58">
        <w:t xml:space="preserve">genes as biomarkers </w:t>
      </w:r>
      <w:r w:rsidR="00B3198D">
        <w:t xml:space="preserve">for poor responders to </w:t>
      </w:r>
      <w:r w:rsidR="00B97288">
        <w:t>bevacizumab therapy can help determine potentially responsive or unresponsive patients, allowing them to transition to alternative therapies. Given the poor prognosis of glioblastoma, early identification of these patient population</w:t>
      </w:r>
      <w:r w:rsidR="00040342">
        <w:t xml:space="preserve">s </w:t>
      </w:r>
      <w:r w:rsidR="00B97288">
        <w:t>can significantly improve median overall survival.</w:t>
      </w:r>
      <w:r w:rsidR="00956F29">
        <w:t xml:space="preserve"> </w:t>
      </w:r>
      <w:r>
        <w:t xml:space="preserve">Moreover, despite bevacizumab’s inability to improve median overall survival in most patients, its ability to reduce brain edema through vascular normalization makes it a popular choice. Thus, retaining bevacizumab’s anti-symptomatic effects while </w:t>
      </w:r>
      <w:r>
        <w:lastRenderedPageBreak/>
        <w:t xml:space="preserve">recovering its tumor-specific potency remains a tantalizing prospect. Beyond </w:t>
      </w:r>
      <w:r>
        <w:rPr>
          <w:i/>
          <w:iCs/>
        </w:rPr>
        <w:t>CHRNA7</w:t>
      </w:r>
      <w:r>
        <w:t>, genes involved in the differentially expressed pathways (including angiogenesis), have potential as therapeutic targets in combination with bevacizumab and can be the topic of future research.</w:t>
      </w:r>
    </w:p>
    <w:p w14:paraId="7CD728AE" w14:textId="1E80946E" w:rsidR="005548E8" w:rsidRPr="00B20918" w:rsidRDefault="00187EFA" w:rsidP="00B20918">
      <w:pPr>
        <w:pStyle w:val="Heading2"/>
      </w:pPr>
      <w:r w:rsidRPr="00B20918">
        <w:t>4</w:t>
      </w:r>
      <w:r w:rsidR="009E01E8" w:rsidRPr="00B20918">
        <w:t>.2</w:t>
      </w:r>
      <w:r w:rsidR="00A06481" w:rsidRPr="00B20918">
        <w:tab/>
      </w:r>
      <w:r w:rsidR="00DD72B8">
        <w:t>Future Directions</w:t>
      </w:r>
    </w:p>
    <w:p w14:paraId="65408D53" w14:textId="1AF99823" w:rsidR="008B3A3F" w:rsidRDefault="008C6A58" w:rsidP="008C6A58">
      <w:pPr>
        <w:pStyle w:val="BodyText"/>
      </w:pPr>
      <w:r>
        <w:t>While computational identification of differentially expressed genes can be used to delineate patients with predicted poor response to bevacizumab, it alone does not improve patient prognosis. In the long term, understanding the molecular mechanisms driving a good and a poor response to bevacizumab could highlight candidate targets for combination therapy, opening a new subset of patients to bevacizumab therapy through synthetic lethality. Thus, finding candidate molecular targets that when targeted would be additive or synergistic in effect with bevacizumab</w:t>
      </w:r>
      <w:r w:rsidR="00F3147D">
        <w:t xml:space="preserve"> </w:t>
      </w:r>
      <w:r>
        <w:t>therapy, could improve median overall survival while retaining the anti-symptomatic benefits (enhanced quality of life) for patients with recurrent glioblastoma that are treated with bevacizumab.</w:t>
      </w:r>
      <w:r w:rsidR="008B3A3F" w:rsidRPr="00F155F4">
        <w:t xml:space="preserve"> </w:t>
      </w:r>
      <w:r w:rsidR="00CC5EA3">
        <w:t xml:space="preserve">First, we hope to understand </w:t>
      </w:r>
      <w:r w:rsidR="00CC5EA3" w:rsidRPr="00CC5EA3">
        <w:t xml:space="preserve">the role of </w:t>
      </w:r>
      <w:r w:rsidR="00CC5EA3" w:rsidRPr="00CC5EA3">
        <w:rPr>
          <w:i/>
          <w:iCs/>
        </w:rPr>
        <w:t>CHRNA7</w:t>
      </w:r>
      <w:r w:rsidR="00CC5EA3" w:rsidRPr="00CC5EA3">
        <w:t xml:space="preserve"> in glioblastoma tumor cell proliferation and migration</w:t>
      </w:r>
      <w:r w:rsidR="00B86A92">
        <w:t xml:space="preserve"> using a </w:t>
      </w:r>
      <w:r w:rsidR="00CC5EA3" w:rsidRPr="00CC5EA3">
        <w:rPr>
          <w:i/>
          <w:iCs/>
        </w:rPr>
        <w:t>CHRNA7</w:t>
      </w:r>
      <w:r w:rsidR="00CC5EA3" w:rsidRPr="00CC5EA3">
        <w:t xml:space="preserve"> </w:t>
      </w:r>
      <w:r w:rsidR="00B86A92">
        <w:t xml:space="preserve">knockout model generated </w:t>
      </w:r>
      <w:r w:rsidR="00CC5EA3" w:rsidRPr="00CC5EA3">
        <w:t>via CRISPR-Cas9</w:t>
      </w:r>
      <w:r w:rsidR="00F3147D">
        <w:t xml:space="preserve"> </w:t>
      </w:r>
      <w:r w:rsidR="00F3147D">
        <w:rPr>
          <w:i/>
          <w:iCs/>
        </w:rPr>
        <w:t>in vitro</w:t>
      </w:r>
      <w:r w:rsidR="00CC5EA3" w:rsidRPr="00CC5EA3">
        <w:t>. Based on successful validation studies (</w:t>
      </w:r>
      <w:r w:rsidR="00F3147D">
        <w:t xml:space="preserve">i.e., </w:t>
      </w:r>
      <w:r w:rsidR="00CC5EA3" w:rsidRPr="00CC5EA3">
        <w:t xml:space="preserve">inhibition of proliferation and/or migration with knockdown of CHRNA7), </w:t>
      </w:r>
      <w:r w:rsidR="00F3147D">
        <w:t xml:space="preserve">the impact of </w:t>
      </w:r>
      <w:r w:rsidR="00F3147D">
        <w:rPr>
          <w:i/>
          <w:iCs/>
        </w:rPr>
        <w:t>CHRNA7</w:t>
      </w:r>
      <w:r w:rsidR="00F3147D">
        <w:t xml:space="preserve"> knockout on bevacizumab response can be quantified </w:t>
      </w:r>
      <w:r w:rsidR="00F3147D">
        <w:rPr>
          <w:i/>
          <w:iCs/>
        </w:rPr>
        <w:t>in vivo</w:t>
      </w:r>
      <w:r w:rsidR="00F3147D">
        <w:t xml:space="preserve">. </w:t>
      </w:r>
    </w:p>
    <w:p w14:paraId="744E3ABF" w14:textId="17BF464F" w:rsidR="00F3147D" w:rsidRPr="00F3147D" w:rsidRDefault="00F3147D" w:rsidP="008C6A58">
      <w:pPr>
        <w:pStyle w:val="BodyText"/>
      </w:pPr>
      <w:r>
        <w:t xml:space="preserve">While </w:t>
      </w:r>
      <w:r>
        <w:rPr>
          <w:i/>
          <w:iCs/>
        </w:rPr>
        <w:t>CHRNA7</w:t>
      </w:r>
      <w:r>
        <w:t xml:space="preserve"> shows promise as a potential target to recover response to bevacizumab, its transcription factor, </w:t>
      </w:r>
      <w:r>
        <w:rPr>
          <w:i/>
          <w:iCs/>
        </w:rPr>
        <w:t>EGR1</w:t>
      </w:r>
      <w:r>
        <w:t xml:space="preserve">, may play a more central role in regulating response. Thus, repeating the aforementioned experiments to validate </w:t>
      </w:r>
      <w:r>
        <w:rPr>
          <w:i/>
          <w:iCs/>
        </w:rPr>
        <w:t>EGR1</w:t>
      </w:r>
      <w:r>
        <w:t xml:space="preserve">’s role </w:t>
      </w:r>
      <w:r w:rsidR="00E45F7E">
        <w:t xml:space="preserve">through a CRISPR interference experiment can similarly lead to development of downstream therapeutic targets. </w:t>
      </w:r>
    </w:p>
    <w:p w14:paraId="787A9B91" w14:textId="227C3974" w:rsidR="008238DB" w:rsidRPr="00B20918" w:rsidRDefault="00F6764B" w:rsidP="00B20918">
      <w:pPr>
        <w:pStyle w:val="Heading2"/>
      </w:pPr>
      <w:r w:rsidRPr="00B20918">
        <w:lastRenderedPageBreak/>
        <w:t>4</w:t>
      </w:r>
      <w:r w:rsidR="008238DB" w:rsidRPr="00B20918">
        <w:t xml:space="preserve">.3 </w:t>
      </w:r>
      <w:r w:rsidR="00DD72B8">
        <w:t>Limitations</w:t>
      </w:r>
    </w:p>
    <w:p w14:paraId="506E36E0" w14:textId="598F50FD" w:rsidR="00187EFA" w:rsidRPr="008238DB" w:rsidRDefault="00E45F7E" w:rsidP="008238DB">
      <w:pPr>
        <w:pStyle w:val="BodyText"/>
      </w:pPr>
      <w:r>
        <w:t>While our analysis did identify significant transcriptomic and proteomic level changes including potential contributors to bevacizumab response, limited sample size and variability amongst xenografts may confound our results. Moreover, due to current insurance practices, it is difficult to obtain recurrent glioblastoma tumors with differential response to bevacizumab, forcing artificial replication of bevacizumab response through changes in median overall survival. Additionally, biological differences between recurrent and primary tumors do exist</w:t>
      </w:r>
      <w:r>
        <w:fldChar w:fldCharType="begin"/>
      </w:r>
      <w:r>
        <w:instrText xml:space="preserve"> ADDIN ZOTERO_ITEM CSL_CITATION {"citationID":"kdWqAeaq","properties":{"formattedCitation":"\\super 14\\nosupersub{}","plainCitation":"14","noteIndex":0},"citationItems":[{"id":105,"uris":["http://zotero.org/users/8255195/items/79P5IQK8"],"uri":["http://zotero.org/users/8255195/items/79P5IQK8"],"itemData":{"id":105,"type":"article-journal","container-title":"Cancer Research","DOI":"10.1158/0008-5472.CAN-06-2072","ISSN":"0008-5472, 1538-7445","issue":"23","journalAbbreviation":"Cancer Res","language":"en","page":"11502-11513","source":"DOI.org (Crossref)","title":"Marked Genomic Differences Characterize Primary and Secondary Glioblastoma Subtypes and Identify Two Distinct Molecular and Clinical Secondary Glioblastoma Entities","volume":"66","author":[{"family":"Maher","given":"Elizabeth A."},{"family":"Brennan","given":"Cameron"},{"family":"Wen","given":"Patrick Y."},{"family":"Durso","given":"Laura"},{"family":"Ligon","given":"Keith L."},{"family":"Richardson","given":"Aaron"},{"family":"Khatry","given":"Deepak"},{"family":"Feng","given":"Bin"},{"family":"Sinha","given":"Raktim"},{"family":"Louis","given":"David N."},{"family":"Quackenbush","given":"John"},{"family":"Black","given":"Peter McL."},{"family":"Chin","given":"Lynda"},{"family":"DePinho","given":"Ronald A."}],"issued":{"date-parts":[["2006",12,1]]}}}],"schema":"https://github.com/citation-style-language/schema/raw/master/csl-citation.json"} </w:instrText>
      </w:r>
      <w:r>
        <w:fldChar w:fldCharType="separate"/>
      </w:r>
      <w:r w:rsidRPr="00E45F7E">
        <w:rPr>
          <w:vertAlign w:val="superscript"/>
        </w:rPr>
        <w:t>14</w:t>
      </w:r>
      <w:r>
        <w:fldChar w:fldCharType="end"/>
      </w:r>
      <w:r>
        <w:t>, further confounding our results.</w:t>
      </w:r>
    </w:p>
    <w:p w14:paraId="0450F791" w14:textId="4679A7CB" w:rsidR="002664E9" w:rsidRPr="00CF2315" w:rsidRDefault="002664E9" w:rsidP="002664E9">
      <w:pPr>
        <w:pStyle w:val="Heading1"/>
      </w:pPr>
      <w:r>
        <w:t>5</w:t>
      </w:r>
      <w:r>
        <w:tab/>
        <w:t>Appendix</w:t>
      </w:r>
    </w:p>
    <w:p w14:paraId="30062217" w14:textId="15E26AA9" w:rsidR="001A5B69" w:rsidRDefault="002664E9" w:rsidP="00B20918">
      <w:pPr>
        <w:pStyle w:val="Heading2"/>
      </w:pPr>
      <w:r>
        <w:t>5</w:t>
      </w:r>
      <w:r w:rsidR="009E01E8" w:rsidRPr="00B20918">
        <w:t>.1</w:t>
      </w:r>
      <w:r w:rsidR="00A06481" w:rsidRPr="00B20918">
        <w:tab/>
      </w:r>
      <w:r>
        <w:t>Supplemental Figures</w:t>
      </w:r>
    </w:p>
    <w:p w14:paraId="0D6A7C56" w14:textId="77777777" w:rsidR="00D55E90" w:rsidRDefault="00D55E90" w:rsidP="008F5EE6">
      <w:pPr>
        <w:keepNext/>
        <w:jc w:val="center"/>
      </w:pPr>
      <w:r>
        <w:rPr>
          <w:noProof/>
        </w:rPr>
        <w:drawing>
          <wp:inline distT="0" distB="0" distL="0" distR="0" wp14:anchorId="6C96DF37" wp14:editId="72FE40E1">
            <wp:extent cx="5943600" cy="297180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C70897F" w14:textId="13AAB298" w:rsidR="002664E9" w:rsidRDefault="00D55E90" w:rsidP="00D55E90">
      <w:pPr>
        <w:pStyle w:val="Caption"/>
        <w:rPr>
          <w:b w:val="0"/>
          <w:bCs w:val="0"/>
        </w:rPr>
      </w:pPr>
      <w:r w:rsidRPr="00FF52FD">
        <w:rPr>
          <w:b w:val="0"/>
          <w:bCs w:val="0"/>
        </w:rPr>
        <w:t xml:space="preserve">Supplemental Figure </w:t>
      </w:r>
      <w:r w:rsidRPr="00FF52FD">
        <w:rPr>
          <w:b w:val="0"/>
          <w:bCs w:val="0"/>
        </w:rPr>
        <w:fldChar w:fldCharType="begin"/>
      </w:r>
      <w:r w:rsidRPr="00FF52FD">
        <w:rPr>
          <w:b w:val="0"/>
          <w:bCs w:val="0"/>
        </w:rPr>
        <w:instrText xml:space="preserve"> SEQ Supplemental_Figure \* ARABIC </w:instrText>
      </w:r>
      <w:r w:rsidRPr="00FF52FD">
        <w:rPr>
          <w:b w:val="0"/>
          <w:bCs w:val="0"/>
        </w:rPr>
        <w:fldChar w:fldCharType="separate"/>
      </w:r>
      <w:r w:rsidR="00EF2969">
        <w:rPr>
          <w:b w:val="0"/>
          <w:bCs w:val="0"/>
          <w:noProof/>
        </w:rPr>
        <w:t>1</w:t>
      </w:r>
      <w:r w:rsidRPr="00FF52FD">
        <w:rPr>
          <w:b w:val="0"/>
          <w:bCs w:val="0"/>
        </w:rPr>
        <w:fldChar w:fldCharType="end"/>
      </w:r>
      <w:r w:rsidRPr="00FF52FD">
        <w:rPr>
          <w:b w:val="0"/>
          <w:bCs w:val="0"/>
        </w:rPr>
        <w:t xml:space="preserve"> A. The first two principal components of each mouse </w:t>
      </w:r>
      <w:r w:rsidR="00F42292" w:rsidRPr="00FF52FD">
        <w:rPr>
          <w:b w:val="0"/>
          <w:bCs w:val="0"/>
        </w:rPr>
        <w:t>are</w:t>
      </w:r>
      <w:r w:rsidRPr="00FF52FD">
        <w:rPr>
          <w:b w:val="0"/>
          <w:bCs w:val="0"/>
        </w:rPr>
        <w:t xml:space="preserve"> plotted with color indicating the response group. Samples GBM44_poor and GBM5_good do not cluster in their respective group. B. The same data is shown as a dendrogram. </w:t>
      </w:r>
    </w:p>
    <w:p w14:paraId="039EF9E1" w14:textId="77777777" w:rsidR="00D55E90" w:rsidRDefault="00D55E90" w:rsidP="008F5EE6">
      <w:pPr>
        <w:keepNext/>
        <w:jc w:val="center"/>
      </w:pPr>
      <w:r>
        <w:rPr>
          <w:noProof/>
        </w:rPr>
        <w:lastRenderedPageBreak/>
        <w:drawing>
          <wp:inline distT="0" distB="0" distL="0" distR="0" wp14:anchorId="1F90066A" wp14:editId="73F447BC">
            <wp:extent cx="5943600" cy="29718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207C45C" w14:textId="78AB0265" w:rsidR="00D55E90" w:rsidRPr="002D439E" w:rsidRDefault="00D55E90" w:rsidP="00D55E90">
      <w:pPr>
        <w:pStyle w:val="Caption"/>
        <w:rPr>
          <w:b w:val="0"/>
          <w:bCs w:val="0"/>
        </w:rPr>
      </w:pPr>
      <w:r w:rsidRPr="002D439E">
        <w:rPr>
          <w:b w:val="0"/>
          <w:bCs w:val="0"/>
        </w:rPr>
        <w:t xml:space="preserve">Supplemental Figure </w:t>
      </w:r>
      <w:r w:rsidRPr="002D439E">
        <w:rPr>
          <w:b w:val="0"/>
          <w:bCs w:val="0"/>
        </w:rPr>
        <w:fldChar w:fldCharType="begin"/>
      </w:r>
      <w:r w:rsidRPr="002D439E">
        <w:rPr>
          <w:b w:val="0"/>
          <w:bCs w:val="0"/>
        </w:rPr>
        <w:instrText xml:space="preserve"> SEQ Supplemental_Figure \* ARABIC </w:instrText>
      </w:r>
      <w:r w:rsidRPr="002D439E">
        <w:rPr>
          <w:b w:val="0"/>
          <w:bCs w:val="0"/>
        </w:rPr>
        <w:fldChar w:fldCharType="separate"/>
      </w:r>
      <w:r w:rsidR="00EF2969">
        <w:rPr>
          <w:b w:val="0"/>
          <w:bCs w:val="0"/>
          <w:noProof/>
        </w:rPr>
        <w:t>2</w:t>
      </w:r>
      <w:r w:rsidRPr="002D439E">
        <w:rPr>
          <w:b w:val="0"/>
          <w:bCs w:val="0"/>
        </w:rPr>
        <w:fldChar w:fldCharType="end"/>
      </w:r>
      <w:r w:rsidRPr="002D439E">
        <w:rPr>
          <w:b w:val="0"/>
          <w:bCs w:val="0"/>
        </w:rPr>
        <w:t xml:space="preserve"> </w:t>
      </w:r>
      <w:r w:rsidR="002D439E" w:rsidRPr="002D439E">
        <w:rPr>
          <w:b w:val="0"/>
          <w:bCs w:val="0"/>
        </w:rPr>
        <w:t xml:space="preserve">Mean-variance trends before (left) and after (right) transcript filtering based on hyperparameter optimization. </w:t>
      </w:r>
    </w:p>
    <w:p w14:paraId="78725FFD" w14:textId="0AAABD2B" w:rsidR="002664E9" w:rsidRDefault="002664E9" w:rsidP="002664E9">
      <w:pPr>
        <w:pStyle w:val="Heading2"/>
      </w:pPr>
      <w:r>
        <w:t>5</w:t>
      </w:r>
      <w:r w:rsidRPr="00B20918">
        <w:t>.</w:t>
      </w:r>
      <w:r>
        <w:t>2</w:t>
      </w:r>
      <w:r w:rsidRPr="00B20918">
        <w:tab/>
      </w:r>
      <w:r>
        <w:t>Supplemental Tables</w:t>
      </w:r>
    </w:p>
    <w:tbl>
      <w:tblPr>
        <w:tblW w:w="0" w:type="auto"/>
        <w:jc w:val="center"/>
        <w:tblCellMar>
          <w:top w:w="15" w:type="dxa"/>
          <w:left w:w="15" w:type="dxa"/>
          <w:bottom w:w="15" w:type="dxa"/>
          <w:right w:w="15" w:type="dxa"/>
        </w:tblCellMar>
        <w:tblLook w:val="04A0" w:firstRow="1" w:lastRow="0" w:firstColumn="1" w:lastColumn="0" w:noHBand="0" w:noVBand="1"/>
      </w:tblPr>
      <w:tblGrid>
        <w:gridCol w:w="1693"/>
        <w:gridCol w:w="853"/>
        <w:gridCol w:w="1700"/>
      </w:tblGrid>
      <w:tr w:rsidR="00D55E90" w14:paraId="25013533" w14:textId="77777777" w:rsidTr="008F5EE6">
        <w:trPr>
          <w:jc w:val="center"/>
        </w:trPr>
        <w:tc>
          <w:tcPr>
            <w:tcW w:w="0" w:type="auto"/>
            <w:gridSpan w:val="3"/>
            <w:tcBorders>
              <w:top w:val="nil"/>
              <w:left w:val="nil"/>
              <w:bottom w:val="nil"/>
              <w:right w:val="nil"/>
            </w:tcBorders>
            <w:tcMar>
              <w:top w:w="113" w:type="dxa"/>
              <w:left w:w="113" w:type="dxa"/>
              <w:bottom w:w="113" w:type="dxa"/>
              <w:right w:w="113" w:type="dxa"/>
            </w:tcMar>
            <w:vAlign w:val="center"/>
            <w:hideMark/>
          </w:tcPr>
          <w:p w14:paraId="3B64CC5F" w14:textId="77777777" w:rsidR="00D55E90" w:rsidRDefault="00D55E90" w:rsidP="00517CD2">
            <w:pPr>
              <w:rPr>
                <w:b/>
                <w:bCs/>
              </w:rPr>
            </w:pPr>
            <w:r>
              <w:rPr>
                <w:b/>
                <w:bCs/>
              </w:rPr>
              <w:t>Study Design</w:t>
            </w:r>
          </w:p>
        </w:tc>
      </w:tr>
      <w:tr w:rsidR="00D55E90" w14:paraId="35B09859" w14:textId="77777777" w:rsidTr="008F5EE6">
        <w:trPr>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3A62B374" w14:textId="77777777" w:rsidR="00D55E90" w:rsidRDefault="00D55E90" w:rsidP="00517CD2">
            <w:pPr>
              <w:rPr>
                <w:i/>
                <w:iCs/>
              </w:rPr>
            </w:pPr>
            <w:r>
              <w:rPr>
                <w:i/>
                <w:iCs/>
              </w:rPr>
              <w:t>Sample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778B3F61" w14:textId="77777777" w:rsidR="00D55E90" w:rsidRDefault="00D55E90" w:rsidP="00517CD2">
            <w:pPr>
              <w:jc w:val="center"/>
              <w:rPr>
                <w:i/>
                <w:iCs/>
              </w:rPr>
            </w:pPr>
            <w:r>
              <w:rPr>
                <w:i/>
                <w:iCs/>
              </w:rPr>
              <w:t>Group</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340B6F10" w14:textId="77777777" w:rsidR="00D55E90" w:rsidRDefault="00D55E90" w:rsidP="00517CD2">
            <w:pPr>
              <w:jc w:val="center"/>
              <w:rPr>
                <w:i/>
                <w:iCs/>
              </w:rPr>
            </w:pPr>
            <w:r>
              <w:rPr>
                <w:i/>
                <w:iCs/>
              </w:rPr>
              <w:t>SRA</w:t>
            </w:r>
          </w:p>
        </w:tc>
      </w:tr>
      <w:tr w:rsidR="00D55E90" w14:paraId="489D2A15" w14:textId="77777777" w:rsidTr="008F5EE6">
        <w:trPr>
          <w:jc w:val="center"/>
        </w:trPr>
        <w:tc>
          <w:tcPr>
            <w:tcW w:w="0" w:type="auto"/>
            <w:tcMar>
              <w:top w:w="113" w:type="dxa"/>
              <w:left w:w="113" w:type="dxa"/>
              <w:bottom w:w="113" w:type="dxa"/>
              <w:right w:w="113" w:type="dxa"/>
            </w:tcMar>
            <w:hideMark/>
          </w:tcPr>
          <w:p w14:paraId="52D15883" w14:textId="77777777" w:rsidR="00D55E90" w:rsidRDefault="00D55E90" w:rsidP="00517CD2">
            <w:r>
              <w:t>GBM64_poor</w:t>
            </w:r>
          </w:p>
        </w:tc>
        <w:tc>
          <w:tcPr>
            <w:tcW w:w="0" w:type="auto"/>
            <w:tcMar>
              <w:top w:w="113" w:type="dxa"/>
              <w:left w:w="113" w:type="dxa"/>
              <w:bottom w:w="113" w:type="dxa"/>
              <w:right w:w="113" w:type="dxa"/>
            </w:tcMar>
            <w:hideMark/>
          </w:tcPr>
          <w:p w14:paraId="443D6CAF" w14:textId="77777777" w:rsidR="00D55E90" w:rsidRDefault="00D55E90" w:rsidP="00517CD2">
            <w:pPr>
              <w:jc w:val="center"/>
            </w:pPr>
            <w:r>
              <w:t>poor</w:t>
            </w:r>
          </w:p>
        </w:tc>
        <w:tc>
          <w:tcPr>
            <w:tcW w:w="0" w:type="auto"/>
            <w:tcMar>
              <w:top w:w="113" w:type="dxa"/>
              <w:left w:w="113" w:type="dxa"/>
              <w:bottom w:w="113" w:type="dxa"/>
              <w:right w:w="113" w:type="dxa"/>
            </w:tcMar>
            <w:hideMark/>
          </w:tcPr>
          <w:p w14:paraId="037F6047" w14:textId="77777777" w:rsidR="00D55E90" w:rsidRDefault="00D55E90" w:rsidP="00517CD2">
            <w:pPr>
              <w:jc w:val="center"/>
            </w:pPr>
            <w:r>
              <w:t>SRR9294073.1</w:t>
            </w:r>
          </w:p>
        </w:tc>
      </w:tr>
      <w:tr w:rsidR="00D55E90" w14:paraId="1E772017" w14:textId="77777777" w:rsidTr="008F5EE6">
        <w:trPr>
          <w:jc w:val="center"/>
        </w:trPr>
        <w:tc>
          <w:tcPr>
            <w:tcW w:w="0" w:type="auto"/>
            <w:shd w:val="clear" w:color="auto" w:fill="F2F2F2"/>
            <w:tcMar>
              <w:top w:w="113" w:type="dxa"/>
              <w:left w:w="113" w:type="dxa"/>
              <w:bottom w:w="113" w:type="dxa"/>
              <w:right w:w="113" w:type="dxa"/>
            </w:tcMar>
            <w:hideMark/>
          </w:tcPr>
          <w:p w14:paraId="50643A80" w14:textId="77777777" w:rsidR="00D55E90" w:rsidRDefault="00D55E90" w:rsidP="00517CD2">
            <w:r>
              <w:t>GBM76_poor</w:t>
            </w:r>
          </w:p>
        </w:tc>
        <w:tc>
          <w:tcPr>
            <w:tcW w:w="0" w:type="auto"/>
            <w:shd w:val="clear" w:color="auto" w:fill="F2F2F2"/>
            <w:tcMar>
              <w:top w:w="113" w:type="dxa"/>
              <w:left w:w="113" w:type="dxa"/>
              <w:bottom w:w="113" w:type="dxa"/>
              <w:right w:w="113" w:type="dxa"/>
            </w:tcMar>
            <w:hideMark/>
          </w:tcPr>
          <w:p w14:paraId="3025164B" w14:textId="77777777" w:rsidR="00D55E90" w:rsidRDefault="00D55E90" w:rsidP="00517CD2">
            <w:pPr>
              <w:jc w:val="center"/>
            </w:pPr>
            <w:r>
              <w:t>poor</w:t>
            </w:r>
          </w:p>
        </w:tc>
        <w:tc>
          <w:tcPr>
            <w:tcW w:w="0" w:type="auto"/>
            <w:shd w:val="clear" w:color="auto" w:fill="F2F2F2"/>
            <w:tcMar>
              <w:top w:w="113" w:type="dxa"/>
              <w:left w:w="113" w:type="dxa"/>
              <w:bottom w:w="113" w:type="dxa"/>
              <w:right w:w="113" w:type="dxa"/>
            </w:tcMar>
            <w:hideMark/>
          </w:tcPr>
          <w:p w14:paraId="19D51443" w14:textId="77777777" w:rsidR="00D55E90" w:rsidRDefault="00D55E90" w:rsidP="00517CD2">
            <w:pPr>
              <w:jc w:val="center"/>
            </w:pPr>
            <w:r>
              <w:t>SRR9294072.1</w:t>
            </w:r>
          </w:p>
        </w:tc>
      </w:tr>
      <w:tr w:rsidR="00D55E90" w14:paraId="11ABC267" w14:textId="77777777" w:rsidTr="008F5EE6">
        <w:trPr>
          <w:jc w:val="center"/>
        </w:trPr>
        <w:tc>
          <w:tcPr>
            <w:tcW w:w="0" w:type="auto"/>
            <w:tcMar>
              <w:top w:w="113" w:type="dxa"/>
              <w:left w:w="113" w:type="dxa"/>
              <w:bottom w:w="113" w:type="dxa"/>
              <w:right w:w="113" w:type="dxa"/>
            </w:tcMar>
            <w:hideMark/>
          </w:tcPr>
          <w:p w14:paraId="5B16CC59" w14:textId="77777777" w:rsidR="00D55E90" w:rsidRDefault="00D55E90" w:rsidP="00517CD2">
            <w:r>
              <w:t>GBM80_poor</w:t>
            </w:r>
          </w:p>
        </w:tc>
        <w:tc>
          <w:tcPr>
            <w:tcW w:w="0" w:type="auto"/>
            <w:tcMar>
              <w:top w:w="113" w:type="dxa"/>
              <w:left w:w="113" w:type="dxa"/>
              <w:bottom w:w="113" w:type="dxa"/>
              <w:right w:w="113" w:type="dxa"/>
            </w:tcMar>
            <w:hideMark/>
          </w:tcPr>
          <w:p w14:paraId="14AA62CD" w14:textId="77777777" w:rsidR="00D55E90" w:rsidRDefault="00D55E90" w:rsidP="00517CD2">
            <w:pPr>
              <w:jc w:val="center"/>
            </w:pPr>
            <w:r>
              <w:t>poor</w:t>
            </w:r>
          </w:p>
        </w:tc>
        <w:tc>
          <w:tcPr>
            <w:tcW w:w="0" w:type="auto"/>
            <w:tcMar>
              <w:top w:w="113" w:type="dxa"/>
              <w:left w:w="113" w:type="dxa"/>
              <w:bottom w:w="113" w:type="dxa"/>
              <w:right w:w="113" w:type="dxa"/>
            </w:tcMar>
            <w:hideMark/>
          </w:tcPr>
          <w:p w14:paraId="679D1E99" w14:textId="77777777" w:rsidR="00D55E90" w:rsidRDefault="00D55E90" w:rsidP="00517CD2">
            <w:pPr>
              <w:jc w:val="center"/>
            </w:pPr>
            <w:r>
              <w:t>SRR9294077.1</w:t>
            </w:r>
          </w:p>
        </w:tc>
      </w:tr>
      <w:tr w:rsidR="00D55E90" w14:paraId="63AEE730" w14:textId="77777777" w:rsidTr="008F5EE6">
        <w:trPr>
          <w:jc w:val="center"/>
        </w:trPr>
        <w:tc>
          <w:tcPr>
            <w:tcW w:w="0" w:type="auto"/>
            <w:shd w:val="clear" w:color="auto" w:fill="F2F2F2"/>
            <w:tcMar>
              <w:top w:w="113" w:type="dxa"/>
              <w:left w:w="113" w:type="dxa"/>
              <w:bottom w:w="113" w:type="dxa"/>
              <w:right w:w="113" w:type="dxa"/>
            </w:tcMar>
            <w:hideMark/>
          </w:tcPr>
          <w:p w14:paraId="054DB5B3" w14:textId="77777777" w:rsidR="00D55E90" w:rsidRDefault="00D55E90" w:rsidP="00517CD2">
            <w:r>
              <w:t>GBM85_poor</w:t>
            </w:r>
          </w:p>
        </w:tc>
        <w:tc>
          <w:tcPr>
            <w:tcW w:w="0" w:type="auto"/>
            <w:shd w:val="clear" w:color="auto" w:fill="F2F2F2"/>
            <w:tcMar>
              <w:top w:w="113" w:type="dxa"/>
              <w:left w:w="113" w:type="dxa"/>
              <w:bottom w:w="113" w:type="dxa"/>
              <w:right w:w="113" w:type="dxa"/>
            </w:tcMar>
            <w:hideMark/>
          </w:tcPr>
          <w:p w14:paraId="1140440F" w14:textId="77777777" w:rsidR="00D55E90" w:rsidRDefault="00D55E90" w:rsidP="00517CD2">
            <w:pPr>
              <w:jc w:val="center"/>
            </w:pPr>
            <w:r>
              <w:t>poor</w:t>
            </w:r>
          </w:p>
        </w:tc>
        <w:tc>
          <w:tcPr>
            <w:tcW w:w="0" w:type="auto"/>
            <w:shd w:val="clear" w:color="auto" w:fill="F2F2F2"/>
            <w:tcMar>
              <w:top w:w="113" w:type="dxa"/>
              <w:left w:w="113" w:type="dxa"/>
              <w:bottom w:w="113" w:type="dxa"/>
              <w:right w:w="113" w:type="dxa"/>
            </w:tcMar>
            <w:hideMark/>
          </w:tcPr>
          <w:p w14:paraId="697FB77B" w14:textId="77777777" w:rsidR="00D55E90" w:rsidRDefault="00D55E90" w:rsidP="00517CD2">
            <w:pPr>
              <w:jc w:val="center"/>
            </w:pPr>
            <w:r>
              <w:t>SRR9294060.1</w:t>
            </w:r>
          </w:p>
        </w:tc>
      </w:tr>
      <w:tr w:rsidR="00D55E90" w14:paraId="697D4CBC" w14:textId="77777777" w:rsidTr="008F5EE6">
        <w:trPr>
          <w:jc w:val="center"/>
        </w:trPr>
        <w:tc>
          <w:tcPr>
            <w:tcW w:w="0" w:type="auto"/>
            <w:tcMar>
              <w:top w:w="113" w:type="dxa"/>
              <w:left w:w="113" w:type="dxa"/>
              <w:bottom w:w="113" w:type="dxa"/>
              <w:right w:w="113" w:type="dxa"/>
            </w:tcMar>
            <w:hideMark/>
          </w:tcPr>
          <w:p w14:paraId="47E7FFCB" w14:textId="77777777" w:rsidR="00D55E90" w:rsidRDefault="00D55E90" w:rsidP="00517CD2">
            <w:r>
              <w:t>GBM108_poor</w:t>
            </w:r>
          </w:p>
        </w:tc>
        <w:tc>
          <w:tcPr>
            <w:tcW w:w="0" w:type="auto"/>
            <w:tcMar>
              <w:top w:w="113" w:type="dxa"/>
              <w:left w:w="113" w:type="dxa"/>
              <w:bottom w:w="113" w:type="dxa"/>
              <w:right w:w="113" w:type="dxa"/>
            </w:tcMar>
            <w:hideMark/>
          </w:tcPr>
          <w:p w14:paraId="2A4CE30B" w14:textId="77777777" w:rsidR="00D55E90" w:rsidRDefault="00D55E90" w:rsidP="00517CD2">
            <w:pPr>
              <w:jc w:val="center"/>
            </w:pPr>
            <w:r>
              <w:t>poor</w:t>
            </w:r>
          </w:p>
        </w:tc>
        <w:tc>
          <w:tcPr>
            <w:tcW w:w="0" w:type="auto"/>
            <w:tcMar>
              <w:top w:w="113" w:type="dxa"/>
              <w:left w:w="113" w:type="dxa"/>
              <w:bottom w:w="113" w:type="dxa"/>
              <w:right w:w="113" w:type="dxa"/>
            </w:tcMar>
            <w:hideMark/>
          </w:tcPr>
          <w:p w14:paraId="62AEDDBB" w14:textId="77777777" w:rsidR="00D55E90" w:rsidRDefault="00D55E90" w:rsidP="00517CD2">
            <w:pPr>
              <w:jc w:val="center"/>
            </w:pPr>
            <w:r>
              <w:t>SRR9294041.1</w:t>
            </w:r>
          </w:p>
        </w:tc>
      </w:tr>
      <w:tr w:rsidR="00D55E90" w14:paraId="143E1378" w14:textId="77777777" w:rsidTr="008F5EE6">
        <w:trPr>
          <w:jc w:val="center"/>
        </w:trPr>
        <w:tc>
          <w:tcPr>
            <w:tcW w:w="0" w:type="auto"/>
            <w:shd w:val="clear" w:color="auto" w:fill="F2F2F2"/>
            <w:tcMar>
              <w:top w:w="113" w:type="dxa"/>
              <w:left w:w="113" w:type="dxa"/>
              <w:bottom w:w="113" w:type="dxa"/>
              <w:right w:w="113" w:type="dxa"/>
            </w:tcMar>
            <w:hideMark/>
          </w:tcPr>
          <w:p w14:paraId="06F5C787" w14:textId="77777777" w:rsidR="00D55E90" w:rsidRDefault="00D55E90" w:rsidP="00517CD2">
            <w:r>
              <w:t>GBM115_poor</w:t>
            </w:r>
          </w:p>
        </w:tc>
        <w:tc>
          <w:tcPr>
            <w:tcW w:w="0" w:type="auto"/>
            <w:shd w:val="clear" w:color="auto" w:fill="F2F2F2"/>
            <w:tcMar>
              <w:top w:w="113" w:type="dxa"/>
              <w:left w:w="113" w:type="dxa"/>
              <w:bottom w:w="113" w:type="dxa"/>
              <w:right w:w="113" w:type="dxa"/>
            </w:tcMar>
            <w:hideMark/>
          </w:tcPr>
          <w:p w14:paraId="1DF449DB" w14:textId="77777777" w:rsidR="00D55E90" w:rsidRDefault="00D55E90" w:rsidP="00517CD2">
            <w:pPr>
              <w:jc w:val="center"/>
            </w:pPr>
            <w:r>
              <w:t>poor</w:t>
            </w:r>
          </w:p>
        </w:tc>
        <w:tc>
          <w:tcPr>
            <w:tcW w:w="0" w:type="auto"/>
            <w:shd w:val="clear" w:color="auto" w:fill="F2F2F2"/>
            <w:tcMar>
              <w:top w:w="113" w:type="dxa"/>
              <w:left w:w="113" w:type="dxa"/>
              <w:bottom w:w="113" w:type="dxa"/>
              <w:right w:w="113" w:type="dxa"/>
            </w:tcMar>
            <w:hideMark/>
          </w:tcPr>
          <w:p w14:paraId="3FC218CC" w14:textId="77777777" w:rsidR="00D55E90" w:rsidRDefault="00D55E90" w:rsidP="00517CD2">
            <w:pPr>
              <w:jc w:val="center"/>
            </w:pPr>
            <w:r>
              <w:t>SRR9294043.1</w:t>
            </w:r>
          </w:p>
        </w:tc>
      </w:tr>
      <w:tr w:rsidR="00D55E90" w14:paraId="352D57E8" w14:textId="77777777" w:rsidTr="008F5EE6">
        <w:trPr>
          <w:jc w:val="center"/>
        </w:trPr>
        <w:tc>
          <w:tcPr>
            <w:tcW w:w="0" w:type="auto"/>
            <w:tcMar>
              <w:top w:w="113" w:type="dxa"/>
              <w:left w:w="113" w:type="dxa"/>
              <w:bottom w:w="113" w:type="dxa"/>
              <w:right w:w="113" w:type="dxa"/>
            </w:tcMar>
            <w:hideMark/>
          </w:tcPr>
          <w:p w14:paraId="2C7D8F67" w14:textId="77777777" w:rsidR="00D55E90" w:rsidRDefault="00D55E90" w:rsidP="00517CD2">
            <w:r>
              <w:t>GBM12_good</w:t>
            </w:r>
          </w:p>
        </w:tc>
        <w:tc>
          <w:tcPr>
            <w:tcW w:w="0" w:type="auto"/>
            <w:tcMar>
              <w:top w:w="113" w:type="dxa"/>
              <w:left w:w="113" w:type="dxa"/>
              <w:bottom w:w="113" w:type="dxa"/>
              <w:right w:w="113" w:type="dxa"/>
            </w:tcMar>
            <w:hideMark/>
          </w:tcPr>
          <w:p w14:paraId="67F32DB8" w14:textId="77777777" w:rsidR="00D55E90" w:rsidRDefault="00D55E90" w:rsidP="00517CD2">
            <w:pPr>
              <w:jc w:val="center"/>
            </w:pPr>
            <w:r>
              <w:t>good</w:t>
            </w:r>
          </w:p>
        </w:tc>
        <w:tc>
          <w:tcPr>
            <w:tcW w:w="0" w:type="auto"/>
            <w:tcMar>
              <w:top w:w="113" w:type="dxa"/>
              <w:left w:w="113" w:type="dxa"/>
              <w:bottom w:w="113" w:type="dxa"/>
              <w:right w:w="113" w:type="dxa"/>
            </w:tcMar>
            <w:hideMark/>
          </w:tcPr>
          <w:p w14:paraId="772DDABC" w14:textId="77777777" w:rsidR="00D55E90" w:rsidRDefault="00D55E90" w:rsidP="00517CD2">
            <w:pPr>
              <w:jc w:val="center"/>
            </w:pPr>
            <w:r>
              <w:t>SRR9294075.1</w:t>
            </w:r>
          </w:p>
        </w:tc>
      </w:tr>
      <w:tr w:rsidR="00D55E90" w14:paraId="17663CEF" w14:textId="77777777" w:rsidTr="008F5EE6">
        <w:trPr>
          <w:jc w:val="center"/>
        </w:trPr>
        <w:tc>
          <w:tcPr>
            <w:tcW w:w="0" w:type="auto"/>
            <w:shd w:val="clear" w:color="auto" w:fill="F2F2F2"/>
            <w:tcMar>
              <w:top w:w="113" w:type="dxa"/>
              <w:left w:w="113" w:type="dxa"/>
              <w:bottom w:w="113" w:type="dxa"/>
              <w:right w:w="113" w:type="dxa"/>
            </w:tcMar>
            <w:hideMark/>
          </w:tcPr>
          <w:p w14:paraId="279231A1" w14:textId="77777777" w:rsidR="00D55E90" w:rsidRDefault="00D55E90" w:rsidP="00517CD2">
            <w:r>
              <w:t>GBM39_good</w:t>
            </w:r>
          </w:p>
        </w:tc>
        <w:tc>
          <w:tcPr>
            <w:tcW w:w="0" w:type="auto"/>
            <w:shd w:val="clear" w:color="auto" w:fill="F2F2F2"/>
            <w:tcMar>
              <w:top w:w="113" w:type="dxa"/>
              <w:left w:w="113" w:type="dxa"/>
              <w:bottom w:w="113" w:type="dxa"/>
              <w:right w:w="113" w:type="dxa"/>
            </w:tcMar>
            <w:hideMark/>
          </w:tcPr>
          <w:p w14:paraId="2E86B8DE" w14:textId="77777777" w:rsidR="00D55E90" w:rsidRDefault="00D55E90" w:rsidP="00517CD2">
            <w:pPr>
              <w:jc w:val="center"/>
            </w:pPr>
            <w:r>
              <w:t>good</w:t>
            </w:r>
          </w:p>
        </w:tc>
        <w:tc>
          <w:tcPr>
            <w:tcW w:w="0" w:type="auto"/>
            <w:shd w:val="clear" w:color="auto" w:fill="F2F2F2"/>
            <w:tcMar>
              <w:top w:w="113" w:type="dxa"/>
              <w:left w:w="113" w:type="dxa"/>
              <w:bottom w:w="113" w:type="dxa"/>
              <w:right w:w="113" w:type="dxa"/>
            </w:tcMar>
            <w:hideMark/>
          </w:tcPr>
          <w:p w14:paraId="016EEC27" w14:textId="77777777" w:rsidR="00D55E90" w:rsidRDefault="00D55E90" w:rsidP="00517CD2">
            <w:pPr>
              <w:jc w:val="center"/>
            </w:pPr>
            <w:r>
              <w:t>SRR9294069.1</w:t>
            </w:r>
          </w:p>
        </w:tc>
      </w:tr>
      <w:tr w:rsidR="00D55E90" w14:paraId="0C26EFEC" w14:textId="77777777" w:rsidTr="008F5EE6">
        <w:trPr>
          <w:jc w:val="center"/>
        </w:trPr>
        <w:tc>
          <w:tcPr>
            <w:tcW w:w="0" w:type="auto"/>
            <w:tcBorders>
              <w:bottom w:val="double" w:sz="6" w:space="0" w:color="auto"/>
            </w:tcBorders>
            <w:tcMar>
              <w:top w:w="113" w:type="dxa"/>
              <w:left w:w="113" w:type="dxa"/>
              <w:bottom w:w="113" w:type="dxa"/>
              <w:right w:w="113" w:type="dxa"/>
            </w:tcMar>
            <w:hideMark/>
          </w:tcPr>
          <w:p w14:paraId="483C491C" w14:textId="77777777" w:rsidR="00D55E90" w:rsidRDefault="00D55E90" w:rsidP="00517CD2">
            <w:r>
              <w:t>GBM59_good</w:t>
            </w:r>
          </w:p>
        </w:tc>
        <w:tc>
          <w:tcPr>
            <w:tcW w:w="0" w:type="auto"/>
            <w:tcBorders>
              <w:bottom w:val="double" w:sz="6" w:space="0" w:color="auto"/>
            </w:tcBorders>
            <w:tcMar>
              <w:top w:w="113" w:type="dxa"/>
              <w:left w:w="113" w:type="dxa"/>
              <w:bottom w:w="113" w:type="dxa"/>
              <w:right w:w="113" w:type="dxa"/>
            </w:tcMar>
            <w:hideMark/>
          </w:tcPr>
          <w:p w14:paraId="4BCD8390" w14:textId="77777777" w:rsidR="00D55E90" w:rsidRDefault="00D55E90" w:rsidP="00517CD2">
            <w:pPr>
              <w:jc w:val="center"/>
            </w:pPr>
            <w:r>
              <w:t>good</w:t>
            </w:r>
          </w:p>
        </w:tc>
        <w:tc>
          <w:tcPr>
            <w:tcW w:w="0" w:type="auto"/>
            <w:tcBorders>
              <w:bottom w:val="double" w:sz="6" w:space="0" w:color="auto"/>
            </w:tcBorders>
            <w:tcMar>
              <w:top w:w="113" w:type="dxa"/>
              <w:left w:w="113" w:type="dxa"/>
              <w:bottom w:w="113" w:type="dxa"/>
              <w:right w:w="113" w:type="dxa"/>
            </w:tcMar>
            <w:hideMark/>
          </w:tcPr>
          <w:p w14:paraId="263CF8F1" w14:textId="77777777" w:rsidR="00D55E90" w:rsidRDefault="00D55E90" w:rsidP="00517CD2">
            <w:pPr>
              <w:keepNext/>
              <w:jc w:val="center"/>
            </w:pPr>
            <w:r>
              <w:t>SRR9294032.1</w:t>
            </w:r>
          </w:p>
        </w:tc>
      </w:tr>
    </w:tbl>
    <w:p w14:paraId="5327DD62" w14:textId="3BF98FE9" w:rsidR="00D55E90" w:rsidRPr="00D55E90" w:rsidRDefault="00D55E90" w:rsidP="00D55E90">
      <w:pPr>
        <w:pStyle w:val="Caption"/>
        <w:rPr>
          <w:b w:val="0"/>
          <w:bCs w:val="0"/>
        </w:rPr>
      </w:pPr>
      <w:r w:rsidRPr="002D439E">
        <w:rPr>
          <w:b w:val="0"/>
          <w:bCs w:val="0"/>
        </w:rPr>
        <w:t xml:space="preserve">Supplemental Table </w:t>
      </w:r>
      <w:r w:rsidRPr="002D439E">
        <w:rPr>
          <w:b w:val="0"/>
          <w:bCs w:val="0"/>
        </w:rPr>
        <w:fldChar w:fldCharType="begin"/>
      </w:r>
      <w:r w:rsidRPr="002D439E">
        <w:rPr>
          <w:b w:val="0"/>
          <w:bCs w:val="0"/>
        </w:rPr>
        <w:instrText xml:space="preserve"> SEQ Supplemental_Table \* ARABIC </w:instrText>
      </w:r>
      <w:r w:rsidRPr="002D439E">
        <w:rPr>
          <w:b w:val="0"/>
          <w:bCs w:val="0"/>
        </w:rPr>
        <w:fldChar w:fldCharType="separate"/>
      </w:r>
      <w:r w:rsidR="00EF2969">
        <w:rPr>
          <w:b w:val="0"/>
          <w:bCs w:val="0"/>
          <w:noProof/>
        </w:rPr>
        <w:t>1</w:t>
      </w:r>
      <w:r w:rsidRPr="002D439E">
        <w:rPr>
          <w:b w:val="0"/>
          <w:bCs w:val="0"/>
        </w:rPr>
        <w:fldChar w:fldCharType="end"/>
      </w:r>
      <w:r w:rsidRPr="002D439E">
        <w:rPr>
          <w:b w:val="0"/>
          <w:bCs w:val="0"/>
        </w:rPr>
        <w:t xml:space="preserve"> Gli</w:t>
      </w:r>
      <w:r w:rsidRPr="00515ADD">
        <w:rPr>
          <w:b w:val="0"/>
          <w:bCs w:val="0"/>
        </w:rPr>
        <w:t xml:space="preserve">oblastoma patient derived xenograft samples reference table. </w:t>
      </w:r>
    </w:p>
    <w:p w14:paraId="6F269C7B" w14:textId="3E49AB62" w:rsidR="002664E9" w:rsidRPr="002664E9" w:rsidRDefault="002664E9" w:rsidP="002664E9">
      <w:pPr>
        <w:pStyle w:val="Heading2"/>
      </w:pPr>
      <w:r>
        <w:lastRenderedPageBreak/>
        <w:t>5.3</w:t>
      </w:r>
      <w:r w:rsidRPr="00B20918">
        <w:tab/>
      </w:r>
      <w:r>
        <w:t>Acknowledgements</w:t>
      </w:r>
    </w:p>
    <w:p w14:paraId="6531D9F1" w14:textId="62528658" w:rsidR="002F06E5" w:rsidRDefault="002664E9" w:rsidP="002664E9">
      <w:pPr>
        <w:pStyle w:val="Heading2"/>
      </w:pPr>
      <w:r>
        <w:t>5</w:t>
      </w:r>
      <w:r w:rsidRPr="00B20918">
        <w:t>.</w:t>
      </w:r>
      <w:r>
        <w:t>4</w:t>
      </w:r>
      <w:r w:rsidRPr="00B20918">
        <w:tab/>
      </w:r>
      <w:r>
        <w:t>References</w:t>
      </w:r>
    </w:p>
    <w:p w14:paraId="11B33D50" w14:textId="77777777" w:rsidR="00E45F7E" w:rsidRPr="00E45F7E" w:rsidRDefault="00D55E90" w:rsidP="00E45F7E">
      <w:pPr>
        <w:pStyle w:val="Bibliography"/>
      </w:pPr>
      <w:r>
        <w:fldChar w:fldCharType="begin"/>
      </w:r>
      <w:r>
        <w:instrText xml:space="preserve"> ADDIN ZOTERO_BIBL {"uncited":[],"omitted":[],"custom":[]} CSL_BIBLIOGRAPHY </w:instrText>
      </w:r>
      <w:r>
        <w:fldChar w:fldCharType="separate"/>
      </w:r>
      <w:r w:rsidR="00E45F7E" w:rsidRPr="00E45F7E">
        <w:t xml:space="preserve">1. </w:t>
      </w:r>
      <w:r w:rsidR="00E45F7E" w:rsidRPr="00E45F7E">
        <w:tab/>
        <w:t xml:space="preserve">Gil-Gil MJ, Mesia C, Rey M, Bruna J. Bevacizumab for the Treatment of Glioblastoma. Clin Med Insights Oncol 2013;7:123–35. </w:t>
      </w:r>
    </w:p>
    <w:p w14:paraId="2443DAD0" w14:textId="77777777" w:rsidR="00E45F7E" w:rsidRPr="00E45F7E" w:rsidRDefault="00E45F7E" w:rsidP="00E45F7E">
      <w:pPr>
        <w:pStyle w:val="Bibliography"/>
      </w:pPr>
      <w:r w:rsidRPr="00E45F7E">
        <w:t xml:space="preserve">2. </w:t>
      </w:r>
      <w:r w:rsidRPr="00E45F7E">
        <w:tab/>
        <w:t xml:space="preserve">Weller M, Cloughesy T, Perry JR, Wick W. Standards of care for treatment of recurrent glioblastoma--are we there yet? Neuro-Oncol 2013;15(1):4–27. </w:t>
      </w:r>
    </w:p>
    <w:p w14:paraId="5A2E329B" w14:textId="77777777" w:rsidR="00E45F7E" w:rsidRPr="00E45F7E" w:rsidRDefault="00E45F7E" w:rsidP="00E45F7E">
      <w:pPr>
        <w:pStyle w:val="Bibliography"/>
      </w:pPr>
      <w:r w:rsidRPr="00E45F7E">
        <w:t xml:space="preserve">3. </w:t>
      </w:r>
      <w:r w:rsidRPr="00E45F7E">
        <w:tab/>
        <w:t xml:space="preserve">Chamberlain MC. Bevacizumab for the Treatment of Recurrent Glioblastoma. Clin Med Insights Oncol 2011;5:117–29. </w:t>
      </w:r>
    </w:p>
    <w:p w14:paraId="3958445E" w14:textId="77777777" w:rsidR="00E45F7E" w:rsidRPr="00E45F7E" w:rsidRDefault="00E45F7E" w:rsidP="00E45F7E">
      <w:pPr>
        <w:pStyle w:val="Bibliography"/>
      </w:pPr>
      <w:r w:rsidRPr="00E45F7E">
        <w:t xml:space="preserve">4. </w:t>
      </w:r>
      <w:r w:rsidRPr="00E45F7E">
        <w:tab/>
        <w:t xml:space="preserve">Cohen MH, Shen YL, Keegan P, Pazdur R. FDA drug approval summary: bevacizumab (Avastin) as treatment of recurrent glioblastoma multiforme. The Oncologist 2009;14(11):1131–8. </w:t>
      </w:r>
    </w:p>
    <w:p w14:paraId="0A439EBF" w14:textId="77777777" w:rsidR="00E45F7E" w:rsidRPr="00E45F7E" w:rsidRDefault="00E45F7E" w:rsidP="00E45F7E">
      <w:pPr>
        <w:pStyle w:val="Bibliography"/>
      </w:pPr>
      <w:r w:rsidRPr="00E45F7E">
        <w:t xml:space="preserve">5. </w:t>
      </w:r>
      <w:r w:rsidRPr="00E45F7E">
        <w:tab/>
        <w:t xml:space="preserve">Müller-Greven G, Carlin CR, Burgett ME, et al. Macropinocytosis of Bevacizumab by Glioblastoma Cells in the Perivascular Niche Affects their Survival. Clin Cancer Res 2017;23(22):7059–71. </w:t>
      </w:r>
    </w:p>
    <w:p w14:paraId="5F2DBBA2" w14:textId="77777777" w:rsidR="00E45F7E" w:rsidRPr="00E45F7E" w:rsidRDefault="00E45F7E" w:rsidP="00E45F7E">
      <w:pPr>
        <w:pStyle w:val="Bibliography"/>
      </w:pPr>
      <w:r w:rsidRPr="00E45F7E">
        <w:t xml:space="preserve">6. </w:t>
      </w:r>
      <w:r w:rsidRPr="00E45F7E">
        <w:tab/>
        <w:t xml:space="preserve">Kazazi-Hyseni F, Beijnen JH, Schellens JHM. Bevacizumab. The Oncologist 2010;15(8):819–25. </w:t>
      </w:r>
    </w:p>
    <w:p w14:paraId="7884232B" w14:textId="77777777" w:rsidR="00E45F7E" w:rsidRPr="00E45F7E" w:rsidRDefault="00E45F7E" w:rsidP="00E45F7E">
      <w:pPr>
        <w:pStyle w:val="Bibliography"/>
      </w:pPr>
      <w:r w:rsidRPr="00E45F7E">
        <w:t xml:space="preserve">7. </w:t>
      </w:r>
      <w:r w:rsidRPr="00E45F7E">
        <w:tab/>
        <w:t xml:space="preserve">Liberzon A, Birger C, Thorvaldsdóttir H, Ghandi M, Mesirov JP, Tamayo P. The Molecular Signatures Database Hallmark Gene Set Collection. Cell Syst 2015;1(6):417–25. </w:t>
      </w:r>
    </w:p>
    <w:p w14:paraId="0046295A" w14:textId="77777777" w:rsidR="00E45F7E" w:rsidRPr="00E45F7E" w:rsidRDefault="00E45F7E" w:rsidP="00E45F7E">
      <w:pPr>
        <w:pStyle w:val="Bibliography"/>
      </w:pPr>
      <w:r w:rsidRPr="00E45F7E">
        <w:t xml:space="preserve">8. </w:t>
      </w:r>
      <w:r w:rsidRPr="00E45F7E">
        <w:tab/>
        <w:t xml:space="preserve">Matsuo Y, Campbell PM, Brekken RA, et al. K-Ras Promotes Angiogenesis Mediated by Immortalized Human Pancreatic Epithelial Cells through Mitogen-Activated Protein Kinase Signaling Pathways. Mol Cancer Res MCR 2009;7(6):799–808. </w:t>
      </w:r>
    </w:p>
    <w:p w14:paraId="1EAD1792" w14:textId="77777777" w:rsidR="00E45F7E" w:rsidRPr="00E45F7E" w:rsidRDefault="00E45F7E" w:rsidP="00E45F7E">
      <w:pPr>
        <w:pStyle w:val="Bibliography"/>
      </w:pPr>
      <w:r w:rsidRPr="00E45F7E">
        <w:t xml:space="preserve">9. </w:t>
      </w:r>
      <w:r w:rsidRPr="00E45F7E">
        <w:tab/>
        <w:t xml:space="preserve">Hamarsheh S, Groß O, Brummer T, Zeiser R. Immune modulatory effects of oncogenic KRAS in cancer. Nat Commun 2020;11(1):5439. </w:t>
      </w:r>
    </w:p>
    <w:p w14:paraId="716E0684" w14:textId="77777777" w:rsidR="00E45F7E" w:rsidRPr="00E45F7E" w:rsidRDefault="00E45F7E" w:rsidP="00E45F7E">
      <w:pPr>
        <w:pStyle w:val="Bibliography"/>
      </w:pPr>
      <w:r w:rsidRPr="00E45F7E">
        <w:t xml:space="preserve">10. </w:t>
      </w:r>
      <w:r w:rsidRPr="00E45F7E">
        <w:tab/>
        <w:t xml:space="preserve">Brown KC, Lau JK, Dom AM, et al. MG624, an α7-nAChR antagonist, inhibits angiogenesis via the Egr-1/FGF2 pathway. Angiogenesis 2012;15(1):99–114. </w:t>
      </w:r>
    </w:p>
    <w:p w14:paraId="24FCF34F" w14:textId="77777777" w:rsidR="00E45F7E" w:rsidRPr="00E45F7E" w:rsidRDefault="00E45F7E" w:rsidP="00E45F7E">
      <w:pPr>
        <w:pStyle w:val="Bibliography"/>
      </w:pPr>
      <w:r w:rsidRPr="00E45F7E">
        <w:t xml:space="preserve">11. </w:t>
      </w:r>
      <w:r w:rsidRPr="00E45F7E">
        <w:tab/>
        <w:t xml:space="preserve">Chen S, Kang X, Liu G, Zhang B, Hu X, Feng Y. α7-Nicotinic Acetylcholine Receptor Promotes Cholangiocarcinoma Progression and Epithelial-Mesenchymal Transition Process. Dig Dis Sci 2019;64(10):2843–53. </w:t>
      </w:r>
    </w:p>
    <w:p w14:paraId="170EF332" w14:textId="77777777" w:rsidR="00E45F7E" w:rsidRPr="00E45F7E" w:rsidRDefault="00E45F7E" w:rsidP="00E45F7E">
      <w:pPr>
        <w:pStyle w:val="Bibliography"/>
      </w:pPr>
      <w:r w:rsidRPr="00E45F7E">
        <w:t xml:space="preserve">12. </w:t>
      </w:r>
      <w:r w:rsidRPr="00E45F7E">
        <w:tab/>
        <w:t xml:space="preserve">Pepper C, Tu H, Morrill P, Garcia-Rates S, Fegan C, Greenfield S. Tumor cell migration is inhibited by a novel therapeutic strategy antagonizing the alpha-7 receptor. Oncotarget 2017;8(7):11414–24. </w:t>
      </w:r>
    </w:p>
    <w:p w14:paraId="3394824E" w14:textId="77777777" w:rsidR="00E45F7E" w:rsidRPr="00E45F7E" w:rsidRDefault="00E45F7E" w:rsidP="00E45F7E">
      <w:pPr>
        <w:pStyle w:val="Bibliography"/>
      </w:pPr>
      <w:r w:rsidRPr="00E45F7E">
        <w:lastRenderedPageBreak/>
        <w:t xml:space="preserve">13. </w:t>
      </w:r>
      <w:r w:rsidRPr="00E45F7E">
        <w:tab/>
        <w:t xml:space="preserve">Stadlbauer A, Roessler K, Zimmermann M, et al. Predicting Glioblastoma Response to Bevacizumab Through MRI Biomarkers of the Tumor Microenvironment. Mol Imaging Biol 2019;21(4):747–57. </w:t>
      </w:r>
    </w:p>
    <w:p w14:paraId="6357CC91" w14:textId="77777777" w:rsidR="00E45F7E" w:rsidRPr="00E45F7E" w:rsidRDefault="00E45F7E" w:rsidP="00E45F7E">
      <w:pPr>
        <w:pStyle w:val="Bibliography"/>
      </w:pPr>
      <w:r w:rsidRPr="00E45F7E">
        <w:t xml:space="preserve">14. </w:t>
      </w:r>
      <w:r w:rsidRPr="00E45F7E">
        <w:tab/>
        <w:t xml:space="preserve">Maher EA, Brennan C, Wen PY, et al. Marked Genomic Differences Characterize Primary and Secondary Glioblastoma Subtypes and Identify Two Distinct Molecular and Clinical Secondary Glioblastoma Entities. Cancer Res 2006;66(23):11502–13. </w:t>
      </w:r>
    </w:p>
    <w:p w14:paraId="12F8B93C" w14:textId="450CA615" w:rsidR="002664E9" w:rsidRPr="002664E9" w:rsidRDefault="00D55E90" w:rsidP="002664E9">
      <w:r>
        <w:fldChar w:fldCharType="end"/>
      </w:r>
    </w:p>
    <w:sectPr w:rsidR="002664E9" w:rsidRPr="002664E9" w:rsidSect="00DE7F32">
      <w:footerReference w:type="default" r:id="rId16"/>
      <w:footerReference w:type="first" r:id="rId17"/>
      <w:footnotePr>
        <w:numFmt w:val="chicago"/>
      </w:footnotePr>
      <w:pgSz w:w="12240" w:h="15840" w:code="1"/>
      <w:pgMar w:top="1440" w:right="1440" w:bottom="1440" w:left="1440" w:header="1080"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2EB36" w14:textId="77777777" w:rsidR="00E4432B" w:rsidRDefault="00E4432B">
      <w:r>
        <w:separator/>
      </w:r>
    </w:p>
  </w:endnote>
  <w:endnote w:type="continuationSeparator" w:id="0">
    <w:p w14:paraId="01E3AEB1" w14:textId="77777777" w:rsidR="00E4432B" w:rsidRDefault="00E44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58ED3" w14:textId="77777777" w:rsidR="00DE7F32" w:rsidRDefault="00DE7F32" w:rsidP="00DE7F32">
    <w:pPr>
      <w:pStyle w:val="Footer"/>
      <w:jc w:val="center"/>
    </w:pPr>
    <w:r>
      <w:rPr>
        <w:rStyle w:val="PageNumber"/>
      </w:rPr>
      <w:fldChar w:fldCharType="begin"/>
    </w:r>
    <w:r>
      <w:rPr>
        <w:rStyle w:val="PageNumber"/>
      </w:rPr>
      <w:instrText xml:space="preserve"> PAGE </w:instrText>
    </w:r>
    <w:r>
      <w:rPr>
        <w:rStyle w:val="PageNumber"/>
      </w:rPr>
      <w:fldChar w:fldCharType="separate"/>
    </w:r>
    <w:r w:rsidR="008F3C8E">
      <w:rPr>
        <w:rStyle w:val="PageNumber"/>
        <w:noProof/>
      </w:rPr>
      <w:t>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80CB" w14:textId="77777777" w:rsidR="00DE7F32" w:rsidRDefault="00DE7F32" w:rsidP="00DE7F3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115DC" w14:textId="77777777" w:rsidR="00E4432B" w:rsidRDefault="00E4432B">
      <w:r>
        <w:separator/>
      </w:r>
    </w:p>
  </w:footnote>
  <w:footnote w:type="continuationSeparator" w:id="0">
    <w:p w14:paraId="2A36B5B2" w14:textId="77777777" w:rsidR="00E4432B" w:rsidRDefault="00E443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0EB5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A253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A8AD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7BCC3CA"/>
    <w:lvl w:ilvl="0">
      <w:start w:val="1"/>
      <w:numFmt w:val="decimal"/>
      <w:pStyle w:val="Numberedlist"/>
      <w:lvlText w:val="(%1)"/>
      <w:lvlJc w:val="left"/>
      <w:pPr>
        <w:tabs>
          <w:tab w:val="num" w:pos="1080"/>
        </w:tabs>
        <w:ind w:left="1080" w:hanging="720"/>
      </w:pPr>
      <w:rPr>
        <w:rFonts w:hint="default"/>
      </w:rPr>
    </w:lvl>
  </w:abstractNum>
  <w:abstractNum w:abstractNumId="4" w15:restartNumberingAfterBreak="0">
    <w:nsid w:val="FFFFFF80"/>
    <w:multiLevelType w:val="singleLevel"/>
    <w:tmpl w:val="354637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5017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CCA21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D4CE5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5C4AA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7219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9169F5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decimal"/>
      <w:lvlText w:val="%1.%2.%3.%4.%5.%6.%7."/>
      <w:lvlJc w:val="left"/>
      <w:pPr>
        <w:tabs>
          <w:tab w:val="num" w:pos="1080"/>
        </w:tabs>
        <w:ind w:left="0" w:firstLine="0"/>
      </w:pPr>
      <w:rPr>
        <w:rFonts w:hint="default"/>
      </w:rPr>
    </w:lvl>
    <w:lvl w:ilvl="7">
      <w:start w:val="1"/>
      <w:numFmt w:val="decimal"/>
      <w:lvlText w:val="%1.%2.%3.%4.%5.%6.%7.%8."/>
      <w:lvlJc w:val="left"/>
      <w:pPr>
        <w:tabs>
          <w:tab w:val="num" w:pos="1440"/>
        </w:tabs>
        <w:ind w:left="0" w:firstLine="0"/>
      </w:pPr>
      <w:rPr>
        <w:rFonts w:hint="default"/>
      </w:rPr>
    </w:lvl>
    <w:lvl w:ilvl="8">
      <w:start w:val="1"/>
      <w:numFmt w:val="decimal"/>
      <w:lvlText w:val="%1.%2.%3.%4.%5.%6.%7.%8.%9."/>
      <w:lvlJc w:val="left"/>
      <w:pPr>
        <w:tabs>
          <w:tab w:val="num" w:pos="1440"/>
        </w:tabs>
        <w:ind w:left="0" w:firstLine="0"/>
      </w:pPr>
      <w:rPr>
        <w:rFonts w:hint="default"/>
      </w:rPr>
    </w:lvl>
  </w:abstractNum>
  <w:abstractNum w:abstractNumId="11" w15:restartNumberingAfterBreak="0">
    <w:nsid w:val="00A42F9C"/>
    <w:multiLevelType w:val="hybridMultilevel"/>
    <w:tmpl w:val="3AE61DAA"/>
    <w:lvl w:ilvl="0" w:tplc="C85CE68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4CA74A7"/>
    <w:multiLevelType w:val="hybridMultilevel"/>
    <w:tmpl w:val="FAD68136"/>
    <w:lvl w:ilvl="0" w:tplc="7ADCC4E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4D65C5"/>
    <w:multiLevelType w:val="multilevel"/>
    <w:tmpl w:val="F15270F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06FB05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0AA093E"/>
    <w:multiLevelType w:val="multilevel"/>
    <w:tmpl w:val="430C92EA"/>
    <w:lvl w:ilvl="0">
      <w:start w:val="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1C5766B"/>
    <w:multiLevelType w:val="multilevel"/>
    <w:tmpl w:val="73E805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964427"/>
    <w:multiLevelType w:val="hybridMultilevel"/>
    <w:tmpl w:val="7F4C00C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E907679"/>
    <w:multiLevelType w:val="multilevel"/>
    <w:tmpl w:val="896A3DA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6B16A8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7613B1E"/>
    <w:multiLevelType w:val="hybridMultilevel"/>
    <w:tmpl w:val="501497EE"/>
    <w:lvl w:ilvl="0" w:tplc="3120F73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EC5B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CD575AC"/>
    <w:multiLevelType w:val="multilevel"/>
    <w:tmpl w:val="883E5C6A"/>
    <w:lvl w:ilvl="0">
      <w:start w:val="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CE67DD3"/>
    <w:multiLevelType w:val="multilevel"/>
    <w:tmpl w:val="91FE3EF8"/>
    <w:lvl w:ilvl="0">
      <w:start w:val="1"/>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3E01644B"/>
    <w:multiLevelType w:val="hybridMultilevel"/>
    <w:tmpl w:val="881C12BC"/>
    <w:lvl w:ilvl="0" w:tplc="2F44C3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F07DC7"/>
    <w:multiLevelType w:val="hybridMultilevel"/>
    <w:tmpl w:val="1A884680"/>
    <w:lvl w:ilvl="0" w:tplc="00CE5FF6">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834E90"/>
    <w:multiLevelType w:val="multilevel"/>
    <w:tmpl w:val="7298C86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D975C11"/>
    <w:multiLevelType w:val="hybridMultilevel"/>
    <w:tmpl w:val="878EC802"/>
    <w:lvl w:ilvl="0" w:tplc="B1C8CC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F1933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1646193"/>
    <w:multiLevelType w:val="multilevel"/>
    <w:tmpl w:val="05C4A5B4"/>
    <w:lvl w:ilvl="0">
      <w:start w:val="1"/>
      <w:numFmt w:val="decimal"/>
      <w:lvlText w:val="%1"/>
      <w:lvlJc w:val="left"/>
      <w:pPr>
        <w:tabs>
          <w:tab w:val="num" w:pos="615"/>
        </w:tabs>
        <w:ind w:left="615" w:hanging="615"/>
      </w:pPr>
      <w:rPr>
        <w:rFonts w:hint="default"/>
      </w:rPr>
    </w:lvl>
    <w:lvl w:ilvl="1">
      <w:start w:val="6"/>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D144373"/>
    <w:multiLevelType w:val="multilevel"/>
    <w:tmpl w:val="A156EC36"/>
    <w:lvl w:ilvl="0">
      <w:start w:val="1"/>
      <w:numFmt w:val="decimal"/>
      <w:lvlText w:val="%1"/>
      <w:lvlJc w:val="left"/>
      <w:pPr>
        <w:tabs>
          <w:tab w:val="num" w:pos="615"/>
        </w:tabs>
        <w:ind w:left="615" w:hanging="615"/>
      </w:pPr>
      <w:rPr>
        <w:rFonts w:hint="default"/>
      </w:rPr>
    </w:lvl>
    <w:lvl w:ilvl="1">
      <w:start w:val="7"/>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EA85334"/>
    <w:multiLevelType w:val="multilevel"/>
    <w:tmpl w:val="7A9C31A8"/>
    <w:lvl w:ilvl="0">
      <w:start w:val="3"/>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num w:numId="1">
    <w:abstractNumId w:val="10"/>
  </w:num>
  <w:num w:numId="2">
    <w:abstractNumId w:val="10"/>
  </w:num>
  <w:num w:numId="3">
    <w:abstractNumId w:val="10"/>
  </w:num>
  <w:num w:numId="4">
    <w:abstractNumId w:val="12"/>
  </w:num>
  <w:num w:numId="5">
    <w:abstractNumId w:val="28"/>
  </w:num>
  <w:num w:numId="6">
    <w:abstractNumId w:val="14"/>
  </w:num>
  <w:num w:numId="7">
    <w:abstractNumId w:val="11"/>
  </w:num>
  <w:num w:numId="8">
    <w:abstractNumId w:val="19"/>
  </w:num>
  <w:num w:numId="9">
    <w:abstractNumId w:val="24"/>
  </w:num>
  <w:num w:numId="10">
    <w:abstractNumId w:val="21"/>
  </w:num>
  <w:num w:numId="11">
    <w:abstractNumId w:val="16"/>
  </w:num>
  <w:num w:numId="12">
    <w:abstractNumId w:val="20"/>
  </w:num>
  <w:num w:numId="13">
    <w:abstractNumId w:val="17"/>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7"/>
  </w:num>
  <w:num w:numId="25">
    <w:abstractNumId w:val="18"/>
  </w:num>
  <w:num w:numId="26">
    <w:abstractNumId w:val="13"/>
  </w:num>
  <w:num w:numId="27">
    <w:abstractNumId w:val="23"/>
  </w:num>
  <w:num w:numId="28">
    <w:abstractNumId w:val="30"/>
  </w:num>
  <w:num w:numId="29">
    <w:abstractNumId w:val="29"/>
  </w:num>
  <w:num w:numId="30">
    <w:abstractNumId w:val="15"/>
  </w:num>
  <w:num w:numId="31">
    <w:abstractNumId w:val="22"/>
  </w:num>
  <w:num w:numId="32">
    <w:abstractNumId w:val="31"/>
  </w:num>
  <w:num w:numId="33">
    <w:abstractNumId w:val="26"/>
  </w:num>
  <w:num w:numId="34">
    <w:abstractNumId w:val="25"/>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8F6"/>
    <w:rsid w:val="000005E1"/>
    <w:rsid w:val="000024ED"/>
    <w:rsid w:val="000071B4"/>
    <w:rsid w:val="00012A71"/>
    <w:rsid w:val="00020565"/>
    <w:rsid w:val="00020B45"/>
    <w:rsid w:val="00023908"/>
    <w:rsid w:val="00023A72"/>
    <w:rsid w:val="00031888"/>
    <w:rsid w:val="00032025"/>
    <w:rsid w:val="00040342"/>
    <w:rsid w:val="0004213E"/>
    <w:rsid w:val="00047535"/>
    <w:rsid w:val="0005401C"/>
    <w:rsid w:val="00061EDC"/>
    <w:rsid w:val="000642B2"/>
    <w:rsid w:val="000671F6"/>
    <w:rsid w:val="00072F37"/>
    <w:rsid w:val="0008152C"/>
    <w:rsid w:val="0008499C"/>
    <w:rsid w:val="00094DDF"/>
    <w:rsid w:val="00097DCC"/>
    <w:rsid w:val="000A350A"/>
    <w:rsid w:val="000C0D14"/>
    <w:rsid w:val="000D6CC5"/>
    <w:rsid w:val="000E4F91"/>
    <w:rsid w:val="000F3D32"/>
    <w:rsid w:val="0010428F"/>
    <w:rsid w:val="00117F2A"/>
    <w:rsid w:val="00131907"/>
    <w:rsid w:val="00132E4B"/>
    <w:rsid w:val="00135901"/>
    <w:rsid w:val="00143448"/>
    <w:rsid w:val="0015075D"/>
    <w:rsid w:val="001530AE"/>
    <w:rsid w:val="00166C92"/>
    <w:rsid w:val="001847B1"/>
    <w:rsid w:val="00187EFA"/>
    <w:rsid w:val="001A08D9"/>
    <w:rsid w:val="001A5B69"/>
    <w:rsid w:val="001A70F7"/>
    <w:rsid w:val="001B2CF5"/>
    <w:rsid w:val="001C4F5B"/>
    <w:rsid w:val="001D52D1"/>
    <w:rsid w:val="001E1A1E"/>
    <w:rsid w:val="001F5153"/>
    <w:rsid w:val="001F5EBE"/>
    <w:rsid w:val="001F65E0"/>
    <w:rsid w:val="0020608F"/>
    <w:rsid w:val="002133AF"/>
    <w:rsid w:val="00221C7B"/>
    <w:rsid w:val="00232910"/>
    <w:rsid w:val="002419ED"/>
    <w:rsid w:val="00244D43"/>
    <w:rsid w:val="002476FA"/>
    <w:rsid w:val="00247F78"/>
    <w:rsid w:val="0025169F"/>
    <w:rsid w:val="00256733"/>
    <w:rsid w:val="00257455"/>
    <w:rsid w:val="00262106"/>
    <w:rsid w:val="002663C6"/>
    <w:rsid w:val="002664E9"/>
    <w:rsid w:val="00284E66"/>
    <w:rsid w:val="00291BF3"/>
    <w:rsid w:val="00292D88"/>
    <w:rsid w:val="00293898"/>
    <w:rsid w:val="002947A0"/>
    <w:rsid w:val="00297D14"/>
    <w:rsid w:val="002A5916"/>
    <w:rsid w:val="002B7A82"/>
    <w:rsid w:val="002C367B"/>
    <w:rsid w:val="002C3FDC"/>
    <w:rsid w:val="002D06F7"/>
    <w:rsid w:val="002D1FBB"/>
    <w:rsid w:val="002D30F9"/>
    <w:rsid w:val="002D439E"/>
    <w:rsid w:val="002F06E5"/>
    <w:rsid w:val="002F15B8"/>
    <w:rsid w:val="002F6694"/>
    <w:rsid w:val="00320157"/>
    <w:rsid w:val="00321894"/>
    <w:rsid w:val="00323093"/>
    <w:rsid w:val="00327C93"/>
    <w:rsid w:val="00332926"/>
    <w:rsid w:val="003339D2"/>
    <w:rsid w:val="00336327"/>
    <w:rsid w:val="00336799"/>
    <w:rsid w:val="00347E33"/>
    <w:rsid w:val="0035341E"/>
    <w:rsid w:val="00360ACA"/>
    <w:rsid w:val="00364124"/>
    <w:rsid w:val="00367474"/>
    <w:rsid w:val="00367854"/>
    <w:rsid w:val="0037737C"/>
    <w:rsid w:val="0037750D"/>
    <w:rsid w:val="00385B31"/>
    <w:rsid w:val="003A2291"/>
    <w:rsid w:val="003B7760"/>
    <w:rsid w:val="003C0B5E"/>
    <w:rsid w:val="003C2E7F"/>
    <w:rsid w:val="003C4AC2"/>
    <w:rsid w:val="003C4DD5"/>
    <w:rsid w:val="003D1BC0"/>
    <w:rsid w:val="003D2920"/>
    <w:rsid w:val="003D37C4"/>
    <w:rsid w:val="003D394C"/>
    <w:rsid w:val="003D3B58"/>
    <w:rsid w:val="003D591A"/>
    <w:rsid w:val="003E17F2"/>
    <w:rsid w:val="003E305D"/>
    <w:rsid w:val="003E3A1C"/>
    <w:rsid w:val="003E3A8F"/>
    <w:rsid w:val="003F5267"/>
    <w:rsid w:val="003F60E2"/>
    <w:rsid w:val="00403E62"/>
    <w:rsid w:val="00404040"/>
    <w:rsid w:val="00417A80"/>
    <w:rsid w:val="00417F07"/>
    <w:rsid w:val="00421B62"/>
    <w:rsid w:val="004229A7"/>
    <w:rsid w:val="004277C5"/>
    <w:rsid w:val="00435F41"/>
    <w:rsid w:val="00453D58"/>
    <w:rsid w:val="004547AD"/>
    <w:rsid w:val="004549D7"/>
    <w:rsid w:val="004551DE"/>
    <w:rsid w:val="00460637"/>
    <w:rsid w:val="004633FC"/>
    <w:rsid w:val="0046527F"/>
    <w:rsid w:val="00466602"/>
    <w:rsid w:val="00470F6D"/>
    <w:rsid w:val="00482D32"/>
    <w:rsid w:val="00485F8D"/>
    <w:rsid w:val="004906EE"/>
    <w:rsid w:val="00495B42"/>
    <w:rsid w:val="004C6046"/>
    <w:rsid w:val="004D504D"/>
    <w:rsid w:val="004D65CE"/>
    <w:rsid w:val="004F21E4"/>
    <w:rsid w:val="004F53DB"/>
    <w:rsid w:val="00500BF5"/>
    <w:rsid w:val="00500D3E"/>
    <w:rsid w:val="005045B9"/>
    <w:rsid w:val="00512393"/>
    <w:rsid w:val="00515ADD"/>
    <w:rsid w:val="005311D5"/>
    <w:rsid w:val="005350E4"/>
    <w:rsid w:val="00541AE0"/>
    <w:rsid w:val="00550399"/>
    <w:rsid w:val="005531DC"/>
    <w:rsid w:val="005548E8"/>
    <w:rsid w:val="0056027A"/>
    <w:rsid w:val="00560735"/>
    <w:rsid w:val="005663C9"/>
    <w:rsid w:val="00574E5A"/>
    <w:rsid w:val="005815FA"/>
    <w:rsid w:val="00581611"/>
    <w:rsid w:val="00584764"/>
    <w:rsid w:val="00593019"/>
    <w:rsid w:val="005949A2"/>
    <w:rsid w:val="005A58FF"/>
    <w:rsid w:val="005A5995"/>
    <w:rsid w:val="005C13C3"/>
    <w:rsid w:val="005C535A"/>
    <w:rsid w:val="005D2713"/>
    <w:rsid w:val="005F120F"/>
    <w:rsid w:val="005F227D"/>
    <w:rsid w:val="005F4731"/>
    <w:rsid w:val="005F4A68"/>
    <w:rsid w:val="005F65B8"/>
    <w:rsid w:val="006003A5"/>
    <w:rsid w:val="0060514A"/>
    <w:rsid w:val="0060678F"/>
    <w:rsid w:val="006072D0"/>
    <w:rsid w:val="0061047D"/>
    <w:rsid w:val="00611190"/>
    <w:rsid w:val="00614A22"/>
    <w:rsid w:val="00615676"/>
    <w:rsid w:val="006262D8"/>
    <w:rsid w:val="00635FBE"/>
    <w:rsid w:val="006430EA"/>
    <w:rsid w:val="00643AF9"/>
    <w:rsid w:val="006541D1"/>
    <w:rsid w:val="00660772"/>
    <w:rsid w:val="0066141F"/>
    <w:rsid w:val="006622E6"/>
    <w:rsid w:val="0066289F"/>
    <w:rsid w:val="00677B21"/>
    <w:rsid w:val="006875A6"/>
    <w:rsid w:val="0069649A"/>
    <w:rsid w:val="006A002C"/>
    <w:rsid w:val="006A6B4E"/>
    <w:rsid w:val="006B3D4E"/>
    <w:rsid w:val="006B7251"/>
    <w:rsid w:val="006C3A50"/>
    <w:rsid w:val="006D5CD8"/>
    <w:rsid w:val="006D7509"/>
    <w:rsid w:val="006D77EF"/>
    <w:rsid w:val="006E5515"/>
    <w:rsid w:val="006F4FDF"/>
    <w:rsid w:val="006F6C5D"/>
    <w:rsid w:val="006F6FA1"/>
    <w:rsid w:val="00702557"/>
    <w:rsid w:val="00707D51"/>
    <w:rsid w:val="00712FDE"/>
    <w:rsid w:val="00716802"/>
    <w:rsid w:val="00720808"/>
    <w:rsid w:val="00733504"/>
    <w:rsid w:val="007336B0"/>
    <w:rsid w:val="00737360"/>
    <w:rsid w:val="007473EC"/>
    <w:rsid w:val="00756D5E"/>
    <w:rsid w:val="00757EDF"/>
    <w:rsid w:val="007619B3"/>
    <w:rsid w:val="00761B7E"/>
    <w:rsid w:val="00772F86"/>
    <w:rsid w:val="00780E76"/>
    <w:rsid w:val="00785F9A"/>
    <w:rsid w:val="007A7F04"/>
    <w:rsid w:val="007B2E54"/>
    <w:rsid w:val="007C167D"/>
    <w:rsid w:val="007C3061"/>
    <w:rsid w:val="007D54F4"/>
    <w:rsid w:val="007E5BB8"/>
    <w:rsid w:val="007F51D0"/>
    <w:rsid w:val="008007C1"/>
    <w:rsid w:val="008058A5"/>
    <w:rsid w:val="00807B15"/>
    <w:rsid w:val="0081096C"/>
    <w:rsid w:val="008145C3"/>
    <w:rsid w:val="0081613C"/>
    <w:rsid w:val="008233E8"/>
    <w:rsid w:val="008238DB"/>
    <w:rsid w:val="00827889"/>
    <w:rsid w:val="008441AA"/>
    <w:rsid w:val="00857DF0"/>
    <w:rsid w:val="0086390D"/>
    <w:rsid w:val="008641A7"/>
    <w:rsid w:val="008645BC"/>
    <w:rsid w:val="0086633F"/>
    <w:rsid w:val="00877D38"/>
    <w:rsid w:val="0088026F"/>
    <w:rsid w:val="00882DD3"/>
    <w:rsid w:val="008903D1"/>
    <w:rsid w:val="0089615F"/>
    <w:rsid w:val="008A151D"/>
    <w:rsid w:val="008A5E36"/>
    <w:rsid w:val="008B3A3F"/>
    <w:rsid w:val="008C3404"/>
    <w:rsid w:val="008C6A58"/>
    <w:rsid w:val="008D4B6A"/>
    <w:rsid w:val="008E1088"/>
    <w:rsid w:val="008E2243"/>
    <w:rsid w:val="008E7B24"/>
    <w:rsid w:val="008F17BD"/>
    <w:rsid w:val="008F3C8E"/>
    <w:rsid w:val="008F5EE6"/>
    <w:rsid w:val="008F7116"/>
    <w:rsid w:val="009016A8"/>
    <w:rsid w:val="0090621F"/>
    <w:rsid w:val="0091583E"/>
    <w:rsid w:val="00922DB8"/>
    <w:rsid w:val="00924FCE"/>
    <w:rsid w:val="00930757"/>
    <w:rsid w:val="0093143D"/>
    <w:rsid w:val="00931445"/>
    <w:rsid w:val="00934266"/>
    <w:rsid w:val="00935C7D"/>
    <w:rsid w:val="00941F5D"/>
    <w:rsid w:val="00942C3B"/>
    <w:rsid w:val="00954F94"/>
    <w:rsid w:val="00956F29"/>
    <w:rsid w:val="0096322B"/>
    <w:rsid w:val="00963469"/>
    <w:rsid w:val="00973D9C"/>
    <w:rsid w:val="0098096D"/>
    <w:rsid w:val="00983404"/>
    <w:rsid w:val="00984FF1"/>
    <w:rsid w:val="0098513A"/>
    <w:rsid w:val="009939CD"/>
    <w:rsid w:val="009952E0"/>
    <w:rsid w:val="009A1618"/>
    <w:rsid w:val="009A723E"/>
    <w:rsid w:val="009B0CA0"/>
    <w:rsid w:val="009C6826"/>
    <w:rsid w:val="009C68F6"/>
    <w:rsid w:val="009C6CE7"/>
    <w:rsid w:val="009E01E8"/>
    <w:rsid w:val="009F01BA"/>
    <w:rsid w:val="009F69C9"/>
    <w:rsid w:val="00A00065"/>
    <w:rsid w:val="00A06481"/>
    <w:rsid w:val="00A10AAD"/>
    <w:rsid w:val="00A12858"/>
    <w:rsid w:val="00A1559C"/>
    <w:rsid w:val="00A262EE"/>
    <w:rsid w:val="00A33F44"/>
    <w:rsid w:val="00A5076C"/>
    <w:rsid w:val="00A56091"/>
    <w:rsid w:val="00A57A4E"/>
    <w:rsid w:val="00A61C89"/>
    <w:rsid w:val="00A620A1"/>
    <w:rsid w:val="00A65D11"/>
    <w:rsid w:val="00A7052A"/>
    <w:rsid w:val="00A7203B"/>
    <w:rsid w:val="00A81BAC"/>
    <w:rsid w:val="00A8391E"/>
    <w:rsid w:val="00A9332B"/>
    <w:rsid w:val="00A942A8"/>
    <w:rsid w:val="00AB059B"/>
    <w:rsid w:val="00AB2CAA"/>
    <w:rsid w:val="00AC3903"/>
    <w:rsid w:val="00AC4F18"/>
    <w:rsid w:val="00AC60DD"/>
    <w:rsid w:val="00AC679F"/>
    <w:rsid w:val="00AD2694"/>
    <w:rsid w:val="00AE212F"/>
    <w:rsid w:val="00AE69EA"/>
    <w:rsid w:val="00AF2A92"/>
    <w:rsid w:val="00AF704A"/>
    <w:rsid w:val="00B03DEA"/>
    <w:rsid w:val="00B046C4"/>
    <w:rsid w:val="00B109F4"/>
    <w:rsid w:val="00B10A60"/>
    <w:rsid w:val="00B20918"/>
    <w:rsid w:val="00B2540A"/>
    <w:rsid w:val="00B27171"/>
    <w:rsid w:val="00B3168B"/>
    <w:rsid w:val="00B3198D"/>
    <w:rsid w:val="00B32859"/>
    <w:rsid w:val="00B33706"/>
    <w:rsid w:val="00B33881"/>
    <w:rsid w:val="00B3600A"/>
    <w:rsid w:val="00B472F5"/>
    <w:rsid w:val="00B5022B"/>
    <w:rsid w:val="00B51B58"/>
    <w:rsid w:val="00B57710"/>
    <w:rsid w:val="00B64E4E"/>
    <w:rsid w:val="00B72F67"/>
    <w:rsid w:val="00B82E37"/>
    <w:rsid w:val="00B86A92"/>
    <w:rsid w:val="00B97288"/>
    <w:rsid w:val="00BA036F"/>
    <w:rsid w:val="00BA1DBE"/>
    <w:rsid w:val="00BA2900"/>
    <w:rsid w:val="00BA5717"/>
    <w:rsid w:val="00BB1204"/>
    <w:rsid w:val="00BB7701"/>
    <w:rsid w:val="00BC0DC2"/>
    <w:rsid w:val="00BC3F54"/>
    <w:rsid w:val="00BC63E6"/>
    <w:rsid w:val="00BD3769"/>
    <w:rsid w:val="00BD43A9"/>
    <w:rsid w:val="00BE4BA9"/>
    <w:rsid w:val="00BF2292"/>
    <w:rsid w:val="00BF277E"/>
    <w:rsid w:val="00C0082D"/>
    <w:rsid w:val="00C031EE"/>
    <w:rsid w:val="00C03CF4"/>
    <w:rsid w:val="00C04148"/>
    <w:rsid w:val="00C07BD2"/>
    <w:rsid w:val="00C10FB3"/>
    <w:rsid w:val="00C229CF"/>
    <w:rsid w:val="00C23399"/>
    <w:rsid w:val="00C23E82"/>
    <w:rsid w:val="00C318D8"/>
    <w:rsid w:val="00C32ED3"/>
    <w:rsid w:val="00C47F8A"/>
    <w:rsid w:val="00C50E5E"/>
    <w:rsid w:val="00C56773"/>
    <w:rsid w:val="00C61C7D"/>
    <w:rsid w:val="00C71DE4"/>
    <w:rsid w:val="00C7378C"/>
    <w:rsid w:val="00C763F1"/>
    <w:rsid w:val="00C85804"/>
    <w:rsid w:val="00C913FE"/>
    <w:rsid w:val="00C926E5"/>
    <w:rsid w:val="00C974E7"/>
    <w:rsid w:val="00CA35AB"/>
    <w:rsid w:val="00CA3F02"/>
    <w:rsid w:val="00CA5CE1"/>
    <w:rsid w:val="00CA7272"/>
    <w:rsid w:val="00CB1929"/>
    <w:rsid w:val="00CB1B7E"/>
    <w:rsid w:val="00CB71F1"/>
    <w:rsid w:val="00CB7C2D"/>
    <w:rsid w:val="00CC0911"/>
    <w:rsid w:val="00CC31DC"/>
    <w:rsid w:val="00CC5EA3"/>
    <w:rsid w:val="00CD2328"/>
    <w:rsid w:val="00CF2315"/>
    <w:rsid w:val="00CF5364"/>
    <w:rsid w:val="00CF54FA"/>
    <w:rsid w:val="00D018A6"/>
    <w:rsid w:val="00D01BA3"/>
    <w:rsid w:val="00D05C91"/>
    <w:rsid w:val="00D12E0A"/>
    <w:rsid w:val="00D13C9F"/>
    <w:rsid w:val="00D3117A"/>
    <w:rsid w:val="00D36976"/>
    <w:rsid w:val="00D40E36"/>
    <w:rsid w:val="00D4539B"/>
    <w:rsid w:val="00D55E90"/>
    <w:rsid w:val="00D742E3"/>
    <w:rsid w:val="00D90B2F"/>
    <w:rsid w:val="00D93BEB"/>
    <w:rsid w:val="00D94A36"/>
    <w:rsid w:val="00D94F98"/>
    <w:rsid w:val="00DB490D"/>
    <w:rsid w:val="00DB5711"/>
    <w:rsid w:val="00DB5BEA"/>
    <w:rsid w:val="00DB706E"/>
    <w:rsid w:val="00DB77A9"/>
    <w:rsid w:val="00DC0908"/>
    <w:rsid w:val="00DC349A"/>
    <w:rsid w:val="00DC7B9C"/>
    <w:rsid w:val="00DD72B8"/>
    <w:rsid w:val="00DE01F0"/>
    <w:rsid w:val="00DE4A24"/>
    <w:rsid w:val="00DE691F"/>
    <w:rsid w:val="00DE7F32"/>
    <w:rsid w:val="00DF0CAA"/>
    <w:rsid w:val="00DF4268"/>
    <w:rsid w:val="00DF55BE"/>
    <w:rsid w:val="00DF7E63"/>
    <w:rsid w:val="00E12C3D"/>
    <w:rsid w:val="00E13550"/>
    <w:rsid w:val="00E22498"/>
    <w:rsid w:val="00E328EC"/>
    <w:rsid w:val="00E4432B"/>
    <w:rsid w:val="00E45F7E"/>
    <w:rsid w:val="00E61DAF"/>
    <w:rsid w:val="00E62A60"/>
    <w:rsid w:val="00E715F0"/>
    <w:rsid w:val="00E73F77"/>
    <w:rsid w:val="00E774C4"/>
    <w:rsid w:val="00E84176"/>
    <w:rsid w:val="00E90311"/>
    <w:rsid w:val="00EA47D1"/>
    <w:rsid w:val="00EA6D57"/>
    <w:rsid w:val="00EB0D59"/>
    <w:rsid w:val="00EB4EBC"/>
    <w:rsid w:val="00EB71E2"/>
    <w:rsid w:val="00EB78C1"/>
    <w:rsid w:val="00EC1FEA"/>
    <w:rsid w:val="00EC427A"/>
    <w:rsid w:val="00EF010D"/>
    <w:rsid w:val="00EF286D"/>
    <w:rsid w:val="00EF2969"/>
    <w:rsid w:val="00F146AC"/>
    <w:rsid w:val="00F155F4"/>
    <w:rsid w:val="00F17A80"/>
    <w:rsid w:val="00F3147D"/>
    <w:rsid w:val="00F31A32"/>
    <w:rsid w:val="00F36423"/>
    <w:rsid w:val="00F417F5"/>
    <w:rsid w:val="00F42292"/>
    <w:rsid w:val="00F4305A"/>
    <w:rsid w:val="00F454C9"/>
    <w:rsid w:val="00F50861"/>
    <w:rsid w:val="00F51C9F"/>
    <w:rsid w:val="00F653F4"/>
    <w:rsid w:val="00F671E1"/>
    <w:rsid w:val="00F6764B"/>
    <w:rsid w:val="00F732BD"/>
    <w:rsid w:val="00F74B5A"/>
    <w:rsid w:val="00F752B7"/>
    <w:rsid w:val="00F80AAB"/>
    <w:rsid w:val="00F91BBD"/>
    <w:rsid w:val="00FB2513"/>
    <w:rsid w:val="00FB257A"/>
    <w:rsid w:val="00FB337F"/>
    <w:rsid w:val="00FB4F44"/>
    <w:rsid w:val="00FC730E"/>
    <w:rsid w:val="00FD071F"/>
    <w:rsid w:val="00FE6B00"/>
    <w:rsid w:val="00FF46B6"/>
    <w:rsid w:val="00FF52FD"/>
    <w:rsid w:val="00FF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C1C3D"/>
  <w15:chartTrackingRefBased/>
  <w15:docId w15:val="{C6A054ED-32A4-480C-901D-6C81D3C7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CF2315"/>
    <w:pPr>
      <w:keepNext/>
      <w:tabs>
        <w:tab w:val="left" w:pos="432"/>
        <w:tab w:val="left" w:pos="576"/>
        <w:tab w:val="left" w:pos="720"/>
      </w:tabs>
      <w:spacing w:before="240" w:after="120" w:line="480" w:lineRule="auto"/>
      <w:outlineLvl w:val="0"/>
    </w:pPr>
    <w:rPr>
      <w:b/>
      <w:bCs/>
      <w:iCs/>
      <w:szCs w:val="28"/>
    </w:rPr>
  </w:style>
  <w:style w:type="paragraph" w:styleId="Heading2">
    <w:name w:val="heading 2"/>
    <w:basedOn w:val="Heading1"/>
    <w:next w:val="Normal"/>
    <w:qFormat/>
    <w:rsid w:val="00B20918"/>
    <w:pPr>
      <w:outlineLvl w:val="1"/>
    </w:pPr>
    <w:rPr>
      <w:b w:val="0"/>
      <w:bCs w:val="0"/>
      <w:i/>
      <w:iCs w:val="0"/>
      <w:szCs w:val="24"/>
    </w:rPr>
  </w:style>
  <w:style w:type="paragraph" w:styleId="Heading3">
    <w:name w:val="heading 3"/>
    <w:basedOn w:val="Heading2"/>
    <w:next w:val="Normal"/>
    <w:qFormat/>
    <w:rsid w:val="00B20918"/>
    <w:pPr>
      <w:outlineLvl w:val="2"/>
    </w:pPr>
    <w:rPr>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oremsandAlgorithms">
    <w:name w:val="Theorems and Algorithms"/>
    <w:basedOn w:val="BodyText"/>
    <w:qFormat/>
    <w:rsid w:val="005A5995"/>
    <w:rPr>
      <w:sz w:val="20"/>
      <w:szCs w:val="20"/>
    </w:rPr>
  </w:style>
  <w:style w:type="paragraph" w:styleId="BodyText">
    <w:name w:val="Body Text"/>
    <w:basedOn w:val="Normal"/>
    <w:link w:val="BodyTextChar"/>
    <w:rsid w:val="00B03DEA"/>
    <w:pPr>
      <w:spacing w:line="480" w:lineRule="auto"/>
      <w:jc w:val="both"/>
    </w:pPr>
  </w:style>
  <w:style w:type="character" w:customStyle="1" w:styleId="BodyTextChar">
    <w:name w:val="Body Text Char"/>
    <w:link w:val="BodyText"/>
    <w:rsid w:val="00B03DEA"/>
    <w:rPr>
      <w:sz w:val="24"/>
      <w:szCs w:val="24"/>
    </w:rPr>
  </w:style>
  <w:style w:type="paragraph" w:styleId="Footer">
    <w:name w:val="footer"/>
    <w:basedOn w:val="Normal"/>
    <w:link w:val="FooterChar"/>
    <w:rsid w:val="00360ACA"/>
    <w:pPr>
      <w:tabs>
        <w:tab w:val="center" w:pos="4320"/>
        <w:tab w:val="right" w:pos="8640"/>
      </w:tabs>
      <w:ind w:left="144" w:hanging="144"/>
      <w:jc w:val="both"/>
    </w:pPr>
    <w:rPr>
      <w:sz w:val="20"/>
    </w:rPr>
  </w:style>
  <w:style w:type="character" w:customStyle="1" w:styleId="FooterChar">
    <w:name w:val="Footer Char"/>
    <w:link w:val="Footer"/>
    <w:rsid w:val="00360ACA"/>
    <w:rPr>
      <w:szCs w:val="24"/>
      <w:lang w:val="en-US" w:eastAsia="en-US" w:bidi="ar-SA"/>
    </w:rPr>
  </w:style>
  <w:style w:type="paragraph" w:customStyle="1" w:styleId="Papertitle">
    <w:name w:val="Paper title"/>
    <w:basedOn w:val="Normal"/>
    <w:qFormat/>
    <w:rsid w:val="00B03DEA"/>
    <w:rPr>
      <w:rFonts w:ascii="Arial" w:hAnsi="Arial" w:cs="Arial"/>
      <w:b/>
      <w:sz w:val="28"/>
      <w:szCs w:val="28"/>
    </w:rPr>
  </w:style>
  <w:style w:type="character" w:styleId="FollowedHyperlink">
    <w:name w:val="FollowedHyperlink"/>
    <w:rsid w:val="002F06E5"/>
    <w:rPr>
      <w:color w:val="800080"/>
      <w:u w:val="single"/>
    </w:rPr>
  </w:style>
  <w:style w:type="paragraph" w:customStyle="1" w:styleId="CorrespondingAuthorFootnote">
    <w:name w:val="Corresponding Author Footnote"/>
    <w:basedOn w:val="Normal"/>
    <w:qFormat/>
    <w:rsid w:val="00931445"/>
    <w:rPr>
      <w:sz w:val="20"/>
      <w:szCs w:val="20"/>
    </w:rPr>
  </w:style>
  <w:style w:type="paragraph" w:customStyle="1" w:styleId="Abstract">
    <w:name w:val="Abstract"/>
    <w:basedOn w:val="Normal"/>
    <w:next w:val="Normal"/>
    <w:rsid w:val="00CF2315"/>
    <w:pPr>
      <w:spacing w:before="360"/>
      <w:jc w:val="both"/>
    </w:pPr>
    <w:rPr>
      <w:sz w:val="20"/>
      <w:szCs w:val="20"/>
    </w:rPr>
  </w:style>
  <w:style w:type="paragraph" w:customStyle="1" w:styleId="ArticleTitle">
    <w:name w:val="Article Title"/>
    <w:basedOn w:val="Normal"/>
    <w:next w:val="Normal"/>
    <w:rsid w:val="00CF2315"/>
    <w:rPr>
      <w:b/>
      <w:sz w:val="32"/>
    </w:rPr>
  </w:style>
  <w:style w:type="paragraph" w:customStyle="1" w:styleId="AuthorNames">
    <w:name w:val="Author Names"/>
    <w:basedOn w:val="Normal"/>
    <w:qFormat/>
    <w:rsid w:val="00CF2315"/>
    <w:rPr>
      <w:b/>
    </w:rPr>
  </w:style>
  <w:style w:type="paragraph" w:customStyle="1" w:styleId="Figurenumber">
    <w:name w:val="Figure number"/>
    <w:basedOn w:val="Figurecaption"/>
    <w:link w:val="FigurenumberChar"/>
    <w:rsid w:val="00187EFA"/>
    <w:rPr>
      <w:b/>
    </w:rPr>
  </w:style>
  <w:style w:type="paragraph" w:customStyle="1" w:styleId="Figurecaption">
    <w:name w:val="Figure caption"/>
    <w:basedOn w:val="Caption"/>
    <w:link w:val="FigurecaptionChar"/>
    <w:rsid w:val="00187EFA"/>
    <w:pPr>
      <w:spacing w:line="480" w:lineRule="auto"/>
      <w:jc w:val="center"/>
    </w:pPr>
    <w:rPr>
      <w:b w:val="0"/>
    </w:rPr>
  </w:style>
  <w:style w:type="paragraph" w:styleId="Caption">
    <w:name w:val="caption"/>
    <w:basedOn w:val="Normal"/>
    <w:next w:val="Normal"/>
    <w:link w:val="CaptionChar"/>
    <w:qFormat/>
    <w:rsid w:val="00EF010D"/>
    <w:rPr>
      <w:b/>
      <w:bCs/>
      <w:sz w:val="20"/>
      <w:szCs w:val="20"/>
    </w:rPr>
  </w:style>
  <w:style w:type="character" w:customStyle="1" w:styleId="CaptionChar">
    <w:name w:val="Caption Char"/>
    <w:link w:val="Caption"/>
    <w:rsid w:val="008A151D"/>
    <w:rPr>
      <w:b/>
      <w:bCs/>
      <w:lang w:val="en-US" w:eastAsia="en-US" w:bidi="ar-SA"/>
    </w:rPr>
  </w:style>
  <w:style w:type="character" w:customStyle="1" w:styleId="FigurecaptionChar">
    <w:name w:val="Figure caption Char"/>
    <w:link w:val="Figurecaption"/>
    <w:rsid w:val="00187EFA"/>
    <w:rPr>
      <w:bCs/>
    </w:rPr>
  </w:style>
  <w:style w:type="character" w:customStyle="1" w:styleId="FigurenumberChar">
    <w:name w:val="Figure number Char"/>
    <w:link w:val="Figurenumber"/>
    <w:rsid w:val="00187EFA"/>
    <w:rPr>
      <w:b/>
      <w:bCs/>
    </w:rPr>
  </w:style>
  <w:style w:type="paragraph" w:customStyle="1" w:styleId="TableNumber">
    <w:name w:val="Table Number"/>
    <w:basedOn w:val="Tablecaption"/>
    <w:qFormat/>
    <w:rsid w:val="00B20918"/>
    <w:rPr>
      <w:b/>
    </w:rPr>
  </w:style>
  <w:style w:type="paragraph" w:customStyle="1" w:styleId="Tablecaption">
    <w:name w:val="Table caption"/>
    <w:basedOn w:val="Normal"/>
    <w:rsid w:val="00931445"/>
    <w:pPr>
      <w:spacing w:before="240" w:after="120"/>
      <w:jc w:val="center"/>
    </w:pPr>
    <w:rPr>
      <w:sz w:val="20"/>
      <w:szCs w:val="20"/>
    </w:rPr>
  </w:style>
  <w:style w:type="paragraph" w:customStyle="1" w:styleId="DisplayEquation">
    <w:name w:val="Display Equation"/>
    <w:basedOn w:val="Normal"/>
    <w:rsid w:val="00EF010D"/>
    <w:pPr>
      <w:tabs>
        <w:tab w:val="center" w:pos="3600"/>
        <w:tab w:val="right" w:pos="7200"/>
      </w:tabs>
    </w:pPr>
    <w:rPr>
      <w:sz w:val="22"/>
    </w:rPr>
  </w:style>
  <w:style w:type="paragraph" w:customStyle="1" w:styleId="AuthorAffiliations">
    <w:name w:val="Author Affiliations"/>
    <w:basedOn w:val="Normal"/>
    <w:qFormat/>
    <w:rsid w:val="00CF2315"/>
    <w:rPr>
      <w:sz w:val="20"/>
      <w:szCs w:val="20"/>
      <w:vertAlign w:val="superscript"/>
    </w:rPr>
  </w:style>
  <w:style w:type="paragraph" w:customStyle="1" w:styleId="BodyTextIndented">
    <w:name w:val="Body Text Indented"/>
    <w:basedOn w:val="Normal"/>
    <w:link w:val="BodyTextIndentedChar"/>
    <w:rsid w:val="00B03DEA"/>
    <w:pPr>
      <w:spacing w:line="480" w:lineRule="auto"/>
      <w:ind w:firstLine="360"/>
      <w:jc w:val="both"/>
    </w:pPr>
  </w:style>
  <w:style w:type="character" w:customStyle="1" w:styleId="BodyTextIndentedChar">
    <w:name w:val="Body Text Indented Char"/>
    <w:link w:val="BodyTextIndented"/>
    <w:rsid w:val="00B03DEA"/>
    <w:rPr>
      <w:sz w:val="24"/>
      <w:szCs w:val="24"/>
    </w:rPr>
  </w:style>
  <w:style w:type="paragraph" w:customStyle="1" w:styleId="References">
    <w:name w:val="References"/>
    <w:basedOn w:val="Normal"/>
    <w:rsid w:val="005A5995"/>
    <w:pPr>
      <w:numPr>
        <w:numId w:val="34"/>
      </w:numPr>
      <w:tabs>
        <w:tab w:val="left" w:pos="360"/>
      </w:tabs>
      <w:spacing w:line="480" w:lineRule="auto"/>
      <w:ind w:left="360"/>
    </w:pPr>
    <w:rPr>
      <w:sz w:val="22"/>
    </w:rPr>
  </w:style>
  <w:style w:type="paragraph" w:customStyle="1" w:styleId="Numberedlist">
    <w:name w:val="Numbered list"/>
    <w:basedOn w:val="Normal"/>
    <w:rsid w:val="00E13550"/>
    <w:pPr>
      <w:numPr>
        <w:numId w:val="20"/>
      </w:numPr>
      <w:tabs>
        <w:tab w:val="clear" w:pos="1080"/>
        <w:tab w:val="left" w:pos="720"/>
      </w:tabs>
      <w:ind w:left="720" w:hanging="360"/>
    </w:pPr>
    <w:rPr>
      <w:sz w:val="22"/>
    </w:rPr>
  </w:style>
  <w:style w:type="character" w:styleId="Hyperlink">
    <w:name w:val="Hyperlink"/>
    <w:uiPriority w:val="99"/>
    <w:rsid w:val="00C23399"/>
    <w:rPr>
      <w:color w:val="0000FF"/>
      <w:u w:val="single"/>
    </w:rPr>
  </w:style>
  <w:style w:type="paragraph" w:customStyle="1" w:styleId="Keywords">
    <w:name w:val="Keywords"/>
    <w:basedOn w:val="Normal"/>
    <w:qFormat/>
    <w:rsid w:val="00187EFA"/>
    <w:rPr>
      <w:sz w:val="20"/>
      <w:szCs w:val="20"/>
    </w:rPr>
  </w:style>
  <w:style w:type="paragraph" w:styleId="Header">
    <w:name w:val="header"/>
    <w:basedOn w:val="Normal"/>
    <w:link w:val="HeaderChar"/>
    <w:rsid w:val="00DE7F32"/>
    <w:pPr>
      <w:tabs>
        <w:tab w:val="center" w:pos="4680"/>
        <w:tab w:val="right" w:pos="9360"/>
      </w:tabs>
    </w:pPr>
  </w:style>
  <w:style w:type="character" w:customStyle="1" w:styleId="HeaderChar">
    <w:name w:val="Header Char"/>
    <w:link w:val="Header"/>
    <w:rsid w:val="00DE7F32"/>
    <w:rPr>
      <w:sz w:val="24"/>
      <w:szCs w:val="24"/>
    </w:rPr>
  </w:style>
  <w:style w:type="character" w:styleId="PageNumber">
    <w:name w:val="page number"/>
    <w:rsid w:val="00DE7F32"/>
  </w:style>
  <w:style w:type="paragraph" w:styleId="NormalWeb">
    <w:name w:val="Normal (Web)"/>
    <w:basedOn w:val="Normal"/>
    <w:rsid w:val="00877D38"/>
  </w:style>
  <w:style w:type="character" w:styleId="UnresolvedMention">
    <w:name w:val="Unresolved Mention"/>
    <w:basedOn w:val="DefaultParagraphFont"/>
    <w:uiPriority w:val="99"/>
    <w:semiHidden/>
    <w:unhideWhenUsed/>
    <w:rsid w:val="00C229CF"/>
    <w:rPr>
      <w:color w:val="605E5C"/>
      <w:shd w:val="clear" w:color="auto" w:fill="E1DFDD"/>
    </w:rPr>
  </w:style>
  <w:style w:type="table" w:styleId="TableGrid">
    <w:name w:val="Table Grid"/>
    <w:basedOn w:val="TableNormal"/>
    <w:rsid w:val="00515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D2328"/>
    <w:rPr>
      <w:color w:val="808080"/>
    </w:rPr>
  </w:style>
  <w:style w:type="table" w:styleId="PlainTable3">
    <w:name w:val="Plain Table 3"/>
    <w:basedOn w:val="TableNormal"/>
    <w:uiPriority w:val="43"/>
    <w:rsid w:val="00A10A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D55E90"/>
    <w:pPr>
      <w:tabs>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73581">
      <w:bodyDiv w:val="1"/>
      <w:marLeft w:val="0"/>
      <w:marRight w:val="0"/>
      <w:marTop w:val="0"/>
      <w:marBottom w:val="0"/>
      <w:divBdr>
        <w:top w:val="none" w:sz="0" w:space="0" w:color="auto"/>
        <w:left w:val="none" w:sz="0" w:space="0" w:color="auto"/>
        <w:bottom w:val="none" w:sz="0" w:space="0" w:color="auto"/>
        <w:right w:val="none" w:sz="0" w:space="0" w:color="auto"/>
      </w:divBdr>
    </w:div>
    <w:div w:id="298195205">
      <w:bodyDiv w:val="1"/>
      <w:marLeft w:val="0"/>
      <w:marRight w:val="0"/>
      <w:marTop w:val="0"/>
      <w:marBottom w:val="0"/>
      <w:divBdr>
        <w:top w:val="none" w:sz="0" w:space="0" w:color="auto"/>
        <w:left w:val="none" w:sz="0" w:space="0" w:color="auto"/>
        <w:bottom w:val="none" w:sz="0" w:space="0" w:color="auto"/>
        <w:right w:val="none" w:sz="0" w:space="0" w:color="auto"/>
      </w:divBdr>
    </w:div>
    <w:div w:id="419301771">
      <w:bodyDiv w:val="1"/>
      <w:marLeft w:val="0"/>
      <w:marRight w:val="0"/>
      <w:marTop w:val="0"/>
      <w:marBottom w:val="0"/>
      <w:divBdr>
        <w:top w:val="none" w:sz="0" w:space="0" w:color="auto"/>
        <w:left w:val="none" w:sz="0" w:space="0" w:color="auto"/>
        <w:bottom w:val="none" w:sz="0" w:space="0" w:color="auto"/>
        <w:right w:val="none" w:sz="0" w:space="0" w:color="auto"/>
      </w:divBdr>
    </w:div>
    <w:div w:id="575016151">
      <w:bodyDiv w:val="1"/>
      <w:marLeft w:val="0"/>
      <w:marRight w:val="0"/>
      <w:marTop w:val="0"/>
      <w:marBottom w:val="0"/>
      <w:divBdr>
        <w:top w:val="none" w:sz="0" w:space="0" w:color="auto"/>
        <w:left w:val="none" w:sz="0" w:space="0" w:color="auto"/>
        <w:bottom w:val="none" w:sz="0" w:space="0" w:color="auto"/>
        <w:right w:val="none" w:sz="0" w:space="0" w:color="auto"/>
      </w:divBdr>
    </w:div>
    <w:div w:id="658117118">
      <w:bodyDiv w:val="1"/>
      <w:marLeft w:val="0"/>
      <w:marRight w:val="0"/>
      <w:marTop w:val="0"/>
      <w:marBottom w:val="0"/>
      <w:divBdr>
        <w:top w:val="none" w:sz="0" w:space="0" w:color="auto"/>
        <w:left w:val="none" w:sz="0" w:space="0" w:color="auto"/>
        <w:bottom w:val="none" w:sz="0" w:space="0" w:color="auto"/>
        <w:right w:val="none" w:sz="0" w:space="0" w:color="auto"/>
      </w:divBdr>
    </w:div>
    <w:div w:id="799420637">
      <w:bodyDiv w:val="1"/>
      <w:marLeft w:val="0"/>
      <w:marRight w:val="0"/>
      <w:marTop w:val="0"/>
      <w:marBottom w:val="0"/>
      <w:divBdr>
        <w:top w:val="none" w:sz="0" w:space="0" w:color="auto"/>
        <w:left w:val="none" w:sz="0" w:space="0" w:color="auto"/>
        <w:bottom w:val="none" w:sz="0" w:space="0" w:color="auto"/>
        <w:right w:val="none" w:sz="0" w:space="0" w:color="auto"/>
      </w:divBdr>
      <w:divsChild>
        <w:div w:id="26806330">
          <w:marLeft w:val="0"/>
          <w:marRight w:val="0"/>
          <w:marTop w:val="0"/>
          <w:marBottom w:val="0"/>
          <w:divBdr>
            <w:top w:val="none" w:sz="0" w:space="0" w:color="auto"/>
            <w:left w:val="none" w:sz="0" w:space="0" w:color="auto"/>
            <w:bottom w:val="none" w:sz="0" w:space="0" w:color="auto"/>
            <w:right w:val="none" w:sz="0" w:space="0" w:color="auto"/>
          </w:divBdr>
          <w:divsChild>
            <w:div w:id="244413842">
              <w:marLeft w:val="0"/>
              <w:marRight w:val="0"/>
              <w:marTop w:val="0"/>
              <w:marBottom w:val="0"/>
              <w:divBdr>
                <w:top w:val="none" w:sz="0" w:space="0" w:color="auto"/>
                <w:left w:val="none" w:sz="0" w:space="0" w:color="auto"/>
                <w:bottom w:val="none" w:sz="0" w:space="0" w:color="auto"/>
                <w:right w:val="none" w:sz="0" w:space="0" w:color="auto"/>
              </w:divBdr>
              <w:divsChild>
                <w:div w:id="4481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8251">
      <w:bodyDiv w:val="1"/>
      <w:marLeft w:val="0"/>
      <w:marRight w:val="0"/>
      <w:marTop w:val="0"/>
      <w:marBottom w:val="0"/>
      <w:divBdr>
        <w:top w:val="none" w:sz="0" w:space="0" w:color="auto"/>
        <w:left w:val="none" w:sz="0" w:space="0" w:color="auto"/>
        <w:bottom w:val="none" w:sz="0" w:space="0" w:color="auto"/>
        <w:right w:val="none" w:sz="0" w:space="0" w:color="auto"/>
      </w:divBdr>
    </w:div>
    <w:div w:id="888417498">
      <w:bodyDiv w:val="1"/>
      <w:marLeft w:val="0"/>
      <w:marRight w:val="0"/>
      <w:marTop w:val="0"/>
      <w:marBottom w:val="0"/>
      <w:divBdr>
        <w:top w:val="none" w:sz="0" w:space="0" w:color="auto"/>
        <w:left w:val="none" w:sz="0" w:space="0" w:color="auto"/>
        <w:bottom w:val="none" w:sz="0" w:space="0" w:color="auto"/>
        <w:right w:val="none" w:sz="0" w:space="0" w:color="auto"/>
      </w:divBdr>
    </w:div>
    <w:div w:id="1372337374">
      <w:bodyDiv w:val="1"/>
      <w:marLeft w:val="0"/>
      <w:marRight w:val="0"/>
      <w:marTop w:val="0"/>
      <w:marBottom w:val="0"/>
      <w:divBdr>
        <w:top w:val="none" w:sz="0" w:space="0" w:color="auto"/>
        <w:left w:val="none" w:sz="0" w:space="0" w:color="auto"/>
        <w:bottom w:val="none" w:sz="0" w:space="0" w:color="auto"/>
        <w:right w:val="none" w:sz="0" w:space="0" w:color="auto"/>
      </w:divBdr>
      <w:divsChild>
        <w:div w:id="1358775857">
          <w:marLeft w:val="0"/>
          <w:marRight w:val="0"/>
          <w:marTop w:val="0"/>
          <w:marBottom w:val="0"/>
          <w:divBdr>
            <w:top w:val="none" w:sz="0" w:space="0" w:color="auto"/>
            <w:left w:val="none" w:sz="0" w:space="0" w:color="auto"/>
            <w:bottom w:val="none" w:sz="0" w:space="0" w:color="auto"/>
            <w:right w:val="none" w:sz="0" w:space="0" w:color="auto"/>
          </w:divBdr>
          <w:divsChild>
            <w:div w:id="1885217389">
              <w:marLeft w:val="0"/>
              <w:marRight w:val="0"/>
              <w:marTop w:val="0"/>
              <w:marBottom w:val="0"/>
              <w:divBdr>
                <w:top w:val="none" w:sz="0" w:space="0" w:color="auto"/>
                <w:left w:val="none" w:sz="0" w:space="0" w:color="auto"/>
                <w:bottom w:val="none" w:sz="0" w:space="0" w:color="auto"/>
                <w:right w:val="none" w:sz="0" w:space="0" w:color="auto"/>
              </w:divBdr>
              <w:divsChild>
                <w:div w:id="11124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7691">
      <w:bodyDiv w:val="1"/>
      <w:marLeft w:val="0"/>
      <w:marRight w:val="0"/>
      <w:marTop w:val="0"/>
      <w:marBottom w:val="0"/>
      <w:divBdr>
        <w:top w:val="none" w:sz="0" w:space="0" w:color="auto"/>
        <w:left w:val="none" w:sz="0" w:space="0" w:color="auto"/>
        <w:bottom w:val="none" w:sz="0" w:space="0" w:color="auto"/>
        <w:right w:val="none" w:sz="0" w:space="0" w:color="auto"/>
      </w:divBdr>
    </w:div>
    <w:div w:id="1617374503">
      <w:bodyDiv w:val="1"/>
      <w:marLeft w:val="0"/>
      <w:marRight w:val="0"/>
      <w:marTop w:val="0"/>
      <w:marBottom w:val="0"/>
      <w:divBdr>
        <w:top w:val="none" w:sz="0" w:space="0" w:color="auto"/>
        <w:left w:val="none" w:sz="0" w:space="0" w:color="auto"/>
        <w:bottom w:val="none" w:sz="0" w:space="0" w:color="auto"/>
        <w:right w:val="none" w:sz="0" w:space="0" w:color="auto"/>
      </w:divBdr>
    </w:div>
    <w:div w:id="1623994357">
      <w:bodyDiv w:val="1"/>
      <w:marLeft w:val="0"/>
      <w:marRight w:val="0"/>
      <w:marTop w:val="0"/>
      <w:marBottom w:val="0"/>
      <w:divBdr>
        <w:top w:val="none" w:sz="0" w:space="0" w:color="auto"/>
        <w:left w:val="none" w:sz="0" w:space="0" w:color="auto"/>
        <w:bottom w:val="none" w:sz="0" w:space="0" w:color="auto"/>
        <w:right w:val="none" w:sz="0" w:space="0" w:color="auto"/>
      </w:divBdr>
    </w:div>
    <w:div w:id="1647276723">
      <w:bodyDiv w:val="1"/>
      <w:marLeft w:val="0"/>
      <w:marRight w:val="0"/>
      <w:marTop w:val="0"/>
      <w:marBottom w:val="0"/>
      <w:divBdr>
        <w:top w:val="none" w:sz="0" w:space="0" w:color="auto"/>
        <w:left w:val="none" w:sz="0" w:space="0" w:color="auto"/>
        <w:bottom w:val="none" w:sz="0" w:space="0" w:color="auto"/>
        <w:right w:val="none" w:sz="0" w:space="0" w:color="auto"/>
      </w:divBdr>
      <w:divsChild>
        <w:div w:id="806438058">
          <w:marLeft w:val="0"/>
          <w:marRight w:val="0"/>
          <w:marTop w:val="0"/>
          <w:marBottom w:val="0"/>
          <w:divBdr>
            <w:top w:val="none" w:sz="0" w:space="0" w:color="auto"/>
            <w:left w:val="none" w:sz="0" w:space="0" w:color="auto"/>
            <w:bottom w:val="none" w:sz="0" w:space="0" w:color="auto"/>
            <w:right w:val="none" w:sz="0" w:space="0" w:color="auto"/>
          </w:divBdr>
          <w:divsChild>
            <w:div w:id="556548792">
              <w:marLeft w:val="0"/>
              <w:marRight w:val="0"/>
              <w:marTop w:val="0"/>
              <w:marBottom w:val="0"/>
              <w:divBdr>
                <w:top w:val="none" w:sz="0" w:space="0" w:color="auto"/>
                <w:left w:val="none" w:sz="0" w:space="0" w:color="auto"/>
                <w:bottom w:val="none" w:sz="0" w:space="0" w:color="auto"/>
                <w:right w:val="none" w:sz="0" w:space="0" w:color="auto"/>
              </w:divBdr>
              <w:divsChild>
                <w:div w:id="6391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7763">
          <w:marLeft w:val="0"/>
          <w:marRight w:val="0"/>
          <w:marTop w:val="0"/>
          <w:marBottom w:val="0"/>
          <w:divBdr>
            <w:top w:val="none" w:sz="0" w:space="0" w:color="auto"/>
            <w:left w:val="none" w:sz="0" w:space="0" w:color="auto"/>
            <w:bottom w:val="none" w:sz="0" w:space="0" w:color="auto"/>
            <w:right w:val="none" w:sz="0" w:space="0" w:color="auto"/>
          </w:divBdr>
          <w:divsChild>
            <w:div w:id="6103922">
              <w:marLeft w:val="0"/>
              <w:marRight w:val="0"/>
              <w:marTop w:val="0"/>
              <w:marBottom w:val="0"/>
              <w:divBdr>
                <w:top w:val="none" w:sz="0" w:space="0" w:color="auto"/>
                <w:left w:val="none" w:sz="0" w:space="0" w:color="auto"/>
                <w:bottom w:val="none" w:sz="0" w:space="0" w:color="auto"/>
                <w:right w:val="none" w:sz="0" w:space="0" w:color="auto"/>
              </w:divBdr>
              <w:divsChild>
                <w:div w:id="14057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22430">
      <w:bodyDiv w:val="1"/>
      <w:marLeft w:val="0"/>
      <w:marRight w:val="0"/>
      <w:marTop w:val="0"/>
      <w:marBottom w:val="0"/>
      <w:divBdr>
        <w:top w:val="none" w:sz="0" w:space="0" w:color="auto"/>
        <w:left w:val="none" w:sz="0" w:space="0" w:color="auto"/>
        <w:bottom w:val="none" w:sz="0" w:space="0" w:color="auto"/>
        <w:right w:val="none" w:sz="0" w:space="0" w:color="auto"/>
      </w:divBdr>
    </w:div>
    <w:div w:id="1660183634">
      <w:bodyDiv w:val="1"/>
      <w:marLeft w:val="0"/>
      <w:marRight w:val="0"/>
      <w:marTop w:val="0"/>
      <w:marBottom w:val="0"/>
      <w:divBdr>
        <w:top w:val="none" w:sz="0" w:space="0" w:color="auto"/>
        <w:left w:val="none" w:sz="0" w:space="0" w:color="auto"/>
        <w:bottom w:val="none" w:sz="0" w:space="0" w:color="auto"/>
        <w:right w:val="none" w:sz="0" w:space="0" w:color="auto"/>
      </w:divBdr>
    </w:div>
    <w:div w:id="1668556473">
      <w:bodyDiv w:val="1"/>
      <w:marLeft w:val="0"/>
      <w:marRight w:val="0"/>
      <w:marTop w:val="0"/>
      <w:marBottom w:val="0"/>
      <w:divBdr>
        <w:top w:val="none" w:sz="0" w:space="0" w:color="auto"/>
        <w:left w:val="none" w:sz="0" w:space="0" w:color="auto"/>
        <w:bottom w:val="none" w:sz="0" w:space="0" w:color="auto"/>
        <w:right w:val="none" w:sz="0" w:space="0" w:color="auto"/>
      </w:divBdr>
    </w:div>
    <w:div w:id="1809592709">
      <w:bodyDiv w:val="1"/>
      <w:marLeft w:val="0"/>
      <w:marRight w:val="0"/>
      <w:marTop w:val="0"/>
      <w:marBottom w:val="0"/>
      <w:divBdr>
        <w:top w:val="none" w:sz="0" w:space="0" w:color="auto"/>
        <w:left w:val="none" w:sz="0" w:space="0" w:color="auto"/>
        <w:bottom w:val="none" w:sz="0" w:space="0" w:color="auto"/>
        <w:right w:val="none" w:sz="0" w:space="0" w:color="auto"/>
      </w:divBdr>
      <w:divsChild>
        <w:div w:id="531109879">
          <w:marLeft w:val="0"/>
          <w:marRight w:val="0"/>
          <w:marTop w:val="0"/>
          <w:marBottom w:val="0"/>
          <w:divBdr>
            <w:top w:val="none" w:sz="0" w:space="0" w:color="auto"/>
            <w:left w:val="none" w:sz="0" w:space="0" w:color="auto"/>
            <w:bottom w:val="none" w:sz="0" w:space="0" w:color="auto"/>
            <w:right w:val="none" w:sz="0" w:space="0" w:color="auto"/>
          </w:divBdr>
          <w:divsChild>
            <w:div w:id="1438797306">
              <w:marLeft w:val="0"/>
              <w:marRight w:val="0"/>
              <w:marTop w:val="0"/>
              <w:marBottom w:val="0"/>
              <w:divBdr>
                <w:top w:val="none" w:sz="0" w:space="0" w:color="auto"/>
                <w:left w:val="none" w:sz="0" w:space="0" w:color="auto"/>
                <w:bottom w:val="none" w:sz="0" w:space="0" w:color="auto"/>
                <w:right w:val="none" w:sz="0" w:space="0" w:color="auto"/>
              </w:divBdr>
              <w:divsChild>
                <w:div w:id="4080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87264">
      <w:bodyDiv w:val="1"/>
      <w:marLeft w:val="0"/>
      <w:marRight w:val="0"/>
      <w:marTop w:val="0"/>
      <w:marBottom w:val="0"/>
      <w:divBdr>
        <w:top w:val="none" w:sz="0" w:space="0" w:color="auto"/>
        <w:left w:val="none" w:sz="0" w:space="0" w:color="auto"/>
        <w:bottom w:val="none" w:sz="0" w:space="0" w:color="auto"/>
        <w:right w:val="none" w:sz="0" w:space="0" w:color="auto"/>
      </w:divBdr>
    </w:div>
    <w:div w:id="1853645176">
      <w:bodyDiv w:val="1"/>
      <w:marLeft w:val="0"/>
      <w:marRight w:val="0"/>
      <w:marTop w:val="0"/>
      <w:marBottom w:val="0"/>
      <w:divBdr>
        <w:top w:val="none" w:sz="0" w:space="0" w:color="auto"/>
        <w:left w:val="none" w:sz="0" w:space="0" w:color="auto"/>
        <w:bottom w:val="none" w:sz="0" w:space="0" w:color="auto"/>
        <w:right w:val="none" w:sz="0" w:space="0" w:color="auto"/>
      </w:divBdr>
    </w:div>
    <w:div w:id="1962103486">
      <w:bodyDiv w:val="1"/>
      <w:marLeft w:val="0"/>
      <w:marRight w:val="0"/>
      <w:marTop w:val="0"/>
      <w:marBottom w:val="0"/>
      <w:divBdr>
        <w:top w:val="none" w:sz="0" w:space="0" w:color="auto"/>
        <w:left w:val="none" w:sz="0" w:space="0" w:color="auto"/>
        <w:bottom w:val="none" w:sz="0" w:space="0" w:color="auto"/>
        <w:right w:val="none" w:sz="0" w:space="0" w:color="auto"/>
      </w:divBdr>
    </w:div>
    <w:div w:id="206622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ladsoc@ccf.org"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rolyn\Application%20Data\Microsoft\Templates\spie_ejn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B5A20A6411AAA48A564F2EE8EEA13A0" ma:contentTypeVersion="12" ma:contentTypeDescription="Create a new document." ma:contentTypeScope="" ma:versionID="3982566e2dfd5266b4fc69c4eededb96">
  <xsd:schema xmlns:xsd="http://www.w3.org/2001/XMLSchema" xmlns:xs="http://www.w3.org/2001/XMLSchema" xmlns:p="http://schemas.microsoft.com/office/2006/metadata/properties" xmlns:ns3="cc90da11-3ebd-4b8c-96c1-8bfe3f5d8e88" xmlns:ns4="5e949547-918f-4e4a-840f-b8644ff2b677" targetNamespace="http://schemas.microsoft.com/office/2006/metadata/properties" ma:root="true" ma:fieldsID="1ca159cc8da68b3d7c40d2ac60fdc247" ns3:_="" ns4:_="">
    <xsd:import namespace="cc90da11-3ebd-4b8c-96c1-8bfe3f5d8e88"/>
    <xsd:import namespace="5e949547-918f-4e4a-840f-b8644ff2b6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0da11-3ebd-4b8c-96c1-8bfe3f5d8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949547-918f-4e4a-840f-b8644ff2b67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28EE78-78EC-43CF-B071-4A980B045253}">
  <ds:schemaRefs>
    <ds:schemaRef ds:uri="http://schemas.openxmlformats.org/officeDocument/2006/bibliography"/>
  </ds:schemaRefs>
</ds:datastoreItem>
</file>

<file path=customXml/itemProps2.xml><?xml version="1.0" encoding="utf-8"?>
<ds:datastoreItem xmlns:ds="http://schemas.openxmlformats.org/officeDocument/2006/customXml" ds:itemID="{DCE98C69-54F8-4B4A-96EE-0BA3564AE6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0da11-3ebd-4b8c-96c1-8bfe3f5d8e88"/>
    <ds:schemaRef ds:uri="5e949547-918f-4e4a-840f-b8644ff2b6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8A3B0-FD1D-40BE-9518-7DD56D6054BE}">
  <ds:schemaRefs>
    <ds:schemaRef ds:uri="http://schemas.microsoft.com/sharepoint/v3/contenttype/forms"/>
  </ds:schemaRefs>
</ds:datastoreItem>
</file>

<file path=customXml/itemProps4.xml><?xml version="1.0" encoding="utf-8"?>
<ds:datastoreItem xmlns:ds="http://schemas.openxmlformats.org/officeDocument/2006/customXml" ds:itemID="{B790CE9E-F029-443B-98E1-0A3845EC9A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C:\Documents and Settings\karolyn\Application Data\Microsoft\Templates\spie_ejnl_template.dot</Template>
  <TotalTime>214</TotalTime>
  <Pages>15</Pages>
  <Words>8733</Words>
  <Characters>49784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Sample manuscript showing style and formatting specifications for SPIE e-journal papers</vt:lpstr>
    </vt:vector>
  </TitlesOfParts>
  <Company>SPIE</Company>
  <LinksUpToDate>false</LinksUpToDate>
  <CharactersWithSpaces>58401</CharactersWithSpaces>
  <SharedDoc>false</SharedDoc>
  <HLinks>
    <vt:vector size="48" baseType="variant">
      <vt:variant>
        <vt:i4>7929980</vt:i4>
      </vt:variant>
      <vt:variant>
        <vt:i4>24</vt:i4>
      </vt:variant>
      <vt:variant>
        <vt:i4>0</vt:i4>
      </vt:variant>
      <vt:variant>
        <vt:i4>5</vt:i4>
      </vt:variant>
      <vt:variant>
        <vt:lpwstr>http://spiedl.aip.org/jhtml/doi.jsp</vt:lpwstr>
      </vt:variant>
      <vt:variant>
        <vt:lpwstr/>
      </vt:variant>
      <vt:variant>
        <vt:i4>7929980</vt:i4>
      </vt:variant>
      <vt:variant>
        <vt:i4>21</vt:i4>
      </vt:variant>
      <vt:variant>
        <vt:i4>0</vt:i4>
      </vt:variant>
      <vt:variant>
        <vt:i4>5</vt:i4>
      </vt:variant>
      <vt:variant>
        <vt:lpwstr>http://spiedl.aip.org/jhtml/doi.jsp</vt:lpwstr>
      </vt:variant>
      <vt:variant>
        <vt:lpwstr/>
      </vt:variant>
      <vt:variant>
        <vt:i4>458828</vt:i4>
      </vt:variant>
      <vt:variant>
        <vt:i4>15</vt:i4>
      </vt:variant>
      <vt:variant>
        <vt:i4>0</vt:i4>
      </vt:variant>
      <vt:variant>
        <vt:i4>5</vt:i4>
      </vt:variant>
      <vt:variant>
        <vt:lpwstr>http://spie.org/x85020.xml</vt:lpwstr>
      </vt:variant>
      <vt:variant>
        <vt:lpwstr>Multimedia</vt:lpwstr>
      </vt:variant>
      <vt:variant>
        <vt:i4>1638482</vt:i4>
      </vt:variant>
      <vt:variant>
        <vt:i4>12</vt:i4>
      </vt:variant>
      <vt:variant>
        <vt:i4>0</vt:i4>
      </vt:variant>
      <vt:variant>
        <vt:i4>5</vt:i4>
      </vt:variant>
      <vt:variant>
        <vt:lpwstr>http://spie.org/x85020.xml</vt:lpwstr>
      </vt:variant>
      <vt:variant>
        <vt:lpwstr>Artwork</vt:lpwstr>
      </vt:variant>
      <vt:variant>
        <vt:i4>7077935</vt:i4>
      </vt:variant>
      <vt:variant>
        <vt:i4>9</vt:i4>
      </vt:variant>
      <vt:variant>
        <vt:i4>0</vt:i4>
      </vt:variant>
      <vt:variant>
        <vt:i4>5</vt:i4>
      </vt:variant>
      <vt:variant>
        <vt:lpwstr>http://www.crossref.org/freeTextQuery/</vt:lpwstr>
      </vt:variant>
      <vt:variant>
        <vt:lpwstr/>
      </vt:variant>
      <vt:variant>
        <vt:i4>4063288</vt:i4>
      </vt:variant>
      <vt:variant>
        <vt:i4>6</vt:i4>
      </vt:variant>
      <vt:variant>
        <vt:i4>0</vt:i4>
      </vt:variant>
      <vt:variant>
        <vt:i4>5</vt:i4>
      </vt:variant>
      <vt:variant>
        <vt:lpwstr>http://spie.org/Documents/Publications/How to Write an Abstract.pdf</vt:lpwstr>
      </vt:variant>
      <vt:variant>
        <vt:lpwstr/>
      </vt:variant>
      <vt:variant>
        <vt:i4>3211369</vt:i4>
      </vt:variant>
      <vt:variant>
        <vt:i4>3</vt:i4>
      </vt:variant>
      <vt:variant>
        <vt:i4>0</vt:i4>
      </vt:variant>
      <vt:variant>
        <vt:i4>5</vt:i4>
      </vt:variant>
      <vt:variant>
        <vt:lpwstr>http://spie.org/EnglishEditing</vt:lpwstr>
      </vt:variant>
      <vt:variant>
        <vt:lpwstr/>
      </vt:variant>
      <vt:variant>
        <vt:i4>5439592</vt:i4>
      </vt:variant>
      <vt:variant>
        <vt:i4>0</vt:i4>
      </vt:variant>
      <vt:variant>
        <vt:i4>0</vt:i4>
      </vt:variant>
      <vt:variant>
        <vt:i4>5</vt:i4>
      </vt:variant>
      <vt:variant>
        <vt:lpwstr>mailto:myemail@university.edu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style and formatting specifications for SPIE e-journal papers</dc:title>
  <dc:subject/>
  <dc:creator>karolyn</dc:creator>
  <cp:keywords/>
  <cp:lastModifiedBy>Roshan Lodha</cp:lastModifiedBy>
  <cp:revision>63</cp:revision>
  <cp:lastPrinted>2021-09-23T00:29:00Z</cp:lastPrinted>
  <dcterms:created xsi:type="dcterms:W3CDTF">2021-09-22T16:56:00Z</dcterms:created>
  <dcterms:modified xsi:type="dcterms:W3CDTF">2021-09-23T01:41:00Z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0x010100FB5A20A6411AAA48A564F2EE8EEA13A0</vt:lpwstr>
  </property>
  <property fmtid="{D5CDD505-2E9C-101B-9397-08002B2CF9AE}" pid="4" name="ZOTERO_PREF_1">
    <vt:lpwstr>&lt;data data-version="3" zotero-version="5.0.97-beta.46+4cfa23050"&gt;&lt;session id="FldMEApM"/&gt;&lt;style id="http://www.zotero.org/styles/the-new-england-journal-of-medicine" hasBibliography="1" bibliographyStyleHasBeenSet="1"/&gt;&lt;prefs&gt;&lt;pref name="fieldType" value=</vt:lpwstr>
  </property>
  <property fmtid="{D5CDD505-2E9C-101B-9397-08002B2CF9AE}" pid="5" name="ZOTERO_PREF_2">
    <vt:lpwstr>"Field"/&gt;&lt;pref name="automaticJournalAbbreviations" value="true"/&gt;&lt;/prefs&gt;&lt;/data&gt;</vt:lpwstr>
  </property>
</Properties>
</file>