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Aerchain Sourcing Copilot</w:t>
      </w:r>
    </w:p>
    <w:p>
      <w:r>
        <w:t>This document describes the intended product design. The prototype demonstrates the idea of automated email checks with buyer control when the agent is uncertain.</w:t>
      </w:r>
    </w:p>
    <w:p>
      <w:pPr>
        <w:pStyle w:val="Heading1"/>
      </w:pPr>
      <w:r>
        <w:t>The buyer problem</w:t>
      </w:r>
    </w:p>
    <w:p>
      <w:r>
        <w:t>A buyer must combine purchase requests from different plants and compare supplier quotes received by email. The quotes can use different units, omit terms, or cover only some items. Manual checks and repeated requests for information delay the decision. Price alone does not show whether a supplier can meet capacity and delivery requirements.</w:t>
      </w:r>
    </w:p>
    <w:p>
      <w:pPr>
        <w:pStyle w:val="Heading1"/>
      </w:pPr>
      <w:r>
        <w:t>The solution</w:t>
      </w:r>
    </w:p>
    <w:p>
      <w:r>
        <w:t>I designed three work areas: Purchase Requests, Supplier Inbox, and Award Studio. They connect demand, supplier emails, quote documents, and award comparisons through shared item records. Email is the communication channel with suppliers. The buyer uses the workspace to review exceptions, inspect evidence, and compare options.</w:t>
      </w:r>
    </w:p>
    <w:p>
      <w:pPr>
        <w:pStyle w:val="Heading1"/>
      </w:pPr>
      <w:r>
        <w:t>The level of automation</w:t>
      </w:r>
    </w:p>
    <w:p>
      <w:r>
        <w:t>An incoming supplier email triggers an agent. Artificial intelligence (AI) extracts quote data from the email and attachments. The agent runs preliminary checks for missing information and inconsistencies.</w:t>
      </w:r>
    </w:p>
    <w:p>
      <w:r>
        <w:t>If information is missing and confidence is sufficient, the agent automatically sends an email with questions to the supplier. If confidence is low, the agent saves the reply as a draft. The buyer reviews the draft, makes any necessary changes, and confirms that the agent can send it.</w:t>
      </w:r>
    </w:p>
    <w:p>
      <w:r>
        <w:t>Each supplier reply triggers another check. Complete quotes become available for award comparison. The buyer controls supplier selection and the award decision.</w:t>
      </w:r>
    </w:p>
    <w:p>
      <w:pPr>
        <w:pStyle w:val="Heading1"/>
      </w:pPr>
      <w:r>
        <w:t>Checks that support reliable results</w:t>
      </w:r>
    </w:p>
    <w:p>
      <w:r>
        <w:t>Deterministic checks use fixed rules to give the same result for the same inputs. These checks operate outside the AI prompts.</w:t>
      </w:r>
    </w:p>
    <w:p>
      <w:r>
        <w:t>Quote checks identify missing items, missing terms, unresolved questions, and supplier qualification problems. Code compares calculated amounts with stated totals. An incomplete quote cannot enter the complete quote set for award comparison.</w:t>
      </w:r>
    </w:p>
    <w:p>
      <w:r>
        <w:t>Award checks compare quantities with plant demand, quoted quantities, minimum order quantities, and recorded capacity. They also check delivery dates, lead times, specifications, quote validity, supplier status, and required terms. The system reports each failed check.</w:t>
      </w:r>
    </w:p>
    <w:p>
      <w:pPr>
        <w:pStyle w:val="Heading1"/>
      </w:pPr>
      <w:r>
        <w:t>Small design decisions with a clear purpose</w:t>
      </w:r>
    </w:p>
    <w:p>
      <w:r>
        <w:t>A price per kilogram needs a confirmed weight for one item before conversion to a price per item. This prevents an assumed weight from changing the comparison.</w:t>
      </w:r>
    </w:p>
    <w:p>
      <w:r>
        <w:t>Missing values remain distinct from zero during quote conversion. Supplier emails and evidence stay with the quote so the buyer can inspect changes.</w:t>
      </w:r>
    </w:p>
    <w:p>
      <w:r>
        <w:t>Supplier selection retains the buyer’s additions and removals within the eligible set. A shared item master keeps item descriptions consistent across requests, quotes, and the request for quotation.</w:t>
      </w:r>
    </w:p>
    <w:p>
      <w:r>
        <w:t>Savings calculations use reference item rates. Purchase request budgets stay separate to make the basis of comparison clear.</w:t>
      </w:r>
    </w:p>
    <w:p>
      <w:r>
        <w:t>Award comparisons show cost and delivery tradeoffs. Recorded monthly capacity does not prove available capacity. The buyer must confirm available capacity and delivery before a real order.</w:t>
      </w:r>
    </w:p>
    <w:sectPr w:rsidR="00FC693F" w:rsidRPr="0006063C" w:rsidSect="00034616">
      <w:pgSz w:w="11952" w:h="16848"/>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Aerchain Sourcing Copilot</dc:title>
  <dc:subject>Prototype purpose and design decisions</dc:subject>
  <dc:creator>Roshan Manellore</dc:creator>
  <cp:keywords/>
  <dc:description>generated by python-docx</dc:description>
  <cp:lastModifiedBy/>
  <cp:revision>1</cp:revision>
  <dcterms:created xsi:type="dcterms:W3CDTF">2013-12-23T23:15:00Z</dcterms:created>
  <dcterms:modified xsi:type="dcterms:W3CDTF">2013-12-23T23:15:00Z</dcterms:modified>
  <cp:category/>
</cp:coreProperties>
</file>