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Retail Group — Executive Business Review</w:t>
      </w:r>
    </w:p>
    <w:p>
      <w:r>
        <w:rPr>
          <w:b/>
        </w:rPr>
        <w:t>Prepared for:</w:t>
      </w:r>
      <w:r>
        <w:t xml:space="preserve"> VP Customer Experience, VP Engineering · </w:t>
      </w:r>
      <w:r>
        <w:rPr>
          <w:b/>
        </w:rPr>
        <w:t>Prepared by:</w:t>
      </w:r>
      <w:r>
        <w:t xml:space="preserve"> Fireworks AI account team</w:t>
      </w:r>
    </w:p>
    <w:p>
      <w:r>
        <w:rPr>
          <w:b/>
        </w:rPr>
        <w:t>Deployment:</w:t>
      </w:r>
      <w:r>
        <w:t xml:space="preserve"> northstar-flagship-support-ft-v1 · </w:t>
      </w:r>
      <w:r>
        <w:rPr>
          <w:b/>
        </w:rPr>
        <w:t>Period:</w:t>
      </w:r>
      <w:r>
        <w:t xml:space="preserve"> 2026-08-01 to 2026-08-31 (31 days)</w:t>
      </w:r>
    </w:p>
    <w:p>
      <w:r>
        <w:rPr>
          <w:b/>
        </w:rPr>
        <w:t>Source:</w:t>
      </w:r>
      <w:r>
        <w:t xml:space="preserve"> every figure below is computed from the shared 31-day telemetry; assumptions are marked.</w:t>
      </w:r>
    </w:p>
    <w:p>
      <w:pPr>
        <w:pStyle w:val="Heading1"/>
      </w:pPr>
      <w:r>
        <w:t>1. Executive narrative</w:t>
      </w:r>
    </w:p>
    <w:p>
      <w:r>
        <w:t>The flagship deployment crossed 70% Tier-1 automation in its final week and closed the month at 70.8%. Average handle time fell to 7.35 minutes and CSAT rose to 84.2 over the same 31-day period, while the operational health score finished at 80.2 out of 100, rated healthy.</w:t>
      </w:r>
    </w:p>
    <w:p>
      <w:r>
        <w:t>These gains matter because they came from a single brand and one catalog running on one shared architecture, the conditions most within reach today. Spend stayed at 60.7% of the assumed monthly budget line, and inference cost per automated ticket held near $0.0124, showing the pattern scales in cost as well as in outcomes.</w:t>
      </w:r>
    </w:p>
    <w:p>
      <w:r>
        <w:t>The right next step is a single, well-measured pilot rather than a wide rollout: starting with Kestrel Athletics on the same shared-base architecture preserves the discipline behind this month's results while building the integration playbook the remaining brands will follow in sequence.</w:t>
      </w:r>
    </w:p>
    <w:p>
      <w:pPr>
        <w:pStyle w:val="Heading1"/>
      </w:pPr>
      <w:r>
        <w:t>2. Metric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Outcome</w:t>
            </w:r>
          </w:p>
        </w:tc>
        <w:tc>
          <w:tcPr>
            <w:tcW w:type="dxa" w:w="2160"/>
          </w:tcPr>
          <w:p>
            <w:r/>
            <w:r>
              <w:t>Figure</w:t>
            </w:r>
          </w:p>
        </w:tc>
        <w:tc>
          <w:tcPr>
            <w:tcW w:type="dxa" w:w="2160"/>
          </w:tcPr>
          <w:p>
            <w:r/>
            <w:r>
              <w:t>What the telemetry shows</w:t>
            </w:r>
          </w:p>
        </w:tc>
        <w:tc>
          <w:tcPr>
            <w:tcW w:type="dxa" w:w="2160"/>
          </w:tcPr>
          <w:p>
            <w:r/>
            <w:r>
              <w:t>Caveat</w:t>
            </w:r>
          </w:p>
        </w:tc>
      </w:tr>
      <w:tr>
        <w:tc>
          <w:tcPr>
            <w:tcW w:type="dxa" w:w="2160"/>
          </w:tcPr>
          <w:p>
            <w:r/>
            <w:r>
              <w:t>---</w:t>
            </w:r>
          </w:p>
        </w:tc>
        <w:tc>
          <w:tcPr>
            <w:tcW w:type="dxa" w:w="2160"/>
          </w:tcPr>
          <w:p>
            <w:r/>
            <w:r>
              <w:t>---</w:t>
            </w:r>
          </w:p>
        </w:tc>
        <w:tc>
          <w:tcPr>
            <w:tcW w:type="dxa" w:w="2160"/>
          </w:tcPr>
          <w:p>
            <w:r/>
            <w:r>
              <w:t>---</w:t>
            </w:r>
          </w:p>
        </w:tc>
        <w:tc>
          <w:tcPr>
            <w:tcW w:type="dxa" w:w="2160"/>
          </w:tcPr>
          <w:p>
            <w:r/>
            <w: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t>Tier-1 automation</w:t>
            </w:r>
          </w:p>
        </w:tc>
        <w:tc>
          <w:tcPr>
            <w:tcW w:type="dxa" w:w="2160"/>
          </w:tcPr>
          <w:p>
            <w:r/>
            <w:r>
              <w:t>70.8% at month end</w:t>
            </w:r>
          </w:p>
        </w:tc>
        <w:tc>
          <w:tcPr>
            <w:tcW w:type="dxa" w:w="2160"/>
          </w:tcPr>
          <w:p>
            <w:r/>
            <w:r>
              <w:t>67.9% average across the month; 70.1% in the final week</w:t>
            </w:r>
          </w:p>
        </w:tc>
        <w:tc>
          <w:tcPr>
            <w:tcW w:type="dxa" w:w="2160"/>
          </w:tcPr>
          <w:p>
            <w:r/>
            <w:r>
              <w:t>The 70% figure is a run-rate, not a month average. It was crossed on 2026-08-27.</w:t>
            </w:r>
          </w:p>
        </w:tc>
      </w:tr>
      <w:tr>
        <w:tc>
          <w:tcPr>
            <w:tcW w:type="dxa" w:w="2160"/>
          </w:tcPr>
          <w:p>
            <w:r/>
            <w:r>
              <w:t>Average handle time</w:t>
            </w:r>
          </w:p>
        </w:tc>
        <w:tc>
          <w:tcPr>
            <w:tcW w:type="dxa" w:w="2160"/>
          </w:tcPr>
          <w:p>
            <w:r/>
            <w:r>
              <w:t>7.35 min</w:t>
            </w:r>
          </w:p>
        </w:tc>
        <w:tc>
          <w:tcPr>
            <w:tcW w:type="dxa" w:w="2160"/>
          </w:tcPr>
          <w:p>
            <w:r/>
            <w:r>
              <w:t>Fell 9.8% within the month (from 8.15 min)</w:t>
            </w:r>
          </w:p>
        </w:tc>
        <w:tc>
          <w:tcPr>
            <w:tcW w:type="dxa" w:w="2160"/>
          </w:tcPr>
          <w:p>
            <w:r/>
            <w:r>
              <w:t>The 35% reduction compares against an assumed pre-launch baseline of 11.3 min (Northstar CX operations to confirm).</w:t>
            </w:r>
          </w:p>
        </w:tc>
      </w:tr>
      <w:tr>
        <w:tc>
          <w:tcPr>
            <w:tcW w:type="dxa" w:w="2160"/>
          </w:tcPr>
          <w:p>
            <w:r/>
            <w:r>
              <w:t>CSAT</w:t>
            </w:r>
          </w:p>
        </w:tc>
        <w:tc>
          <w:tcPr>
            <w:tcW w:type="dxa" w:w="2160"/>
          </w:tcPr>
          <w:p>
            <w:r/>
            <w:r>
              <w:t>84.2</w:t>
            </w:r>
          </w:p>
        </w:tc>
        <w:tc>
          <w:tcPr>
            <w:tcW w:type="dxa" w:w="2160"/>
          </w:tcPr>
          <w:p>
            <w:r/>
            <w:r>
              <w:t>Rose 3.6 points within the month</w:t>
            </w:r>
          </w:p>
        </w:tc>
        <w:tc>
          <w:tcPr>
            <w:tcW w:type="dxa" w:w="2160"/>
          </w:tcPr>
          <w:p>
            <w:r/>
            <w:r>
              <w:t>The 12-point gain compares against an assumed pre-launch baseline of 72.2 (Northstar CX operations to confirm).</w:t>
            </w:r>
          </w:p>
        </w:tc>
      </w:tr>
      <w:tr>
        <w:tc>
          <w:tcPr>
            <w:tcW w:type="dxa" w:w="2160"/>
          </w:tcPr>
          <w:p>
            <w:r/>
            <w:r>
              <w:t>Availability</w:t>
            </w:r>
          </w:p>
        </w:tc>
        <w:tc>
          <w:tcPr>
            <w:tcW w:type="dxa" w:w="2160"/>
          </w:tcPr>
          <w:p>
            <w:r/>
            <w:r>
              <w:t>99.9% (final week)</w:t>
            </w:r>
          </w:p>
        </w:tc>
        <w:tc>
          <w:tcPr>
            <w:tcW w:type="dxa" w:w="2160"/>
          </w:tcPr>
          <w:p>
            <w:r/>
            <w:r>
              <w:t>27 of 31 days sat below the proposed 99.9% SLO; two incident days (2026-08-09 and 2026-08-21)</w:t>
            </w:r>
          </w:p>
        </w:tc>
        <w:tc>
          <w:tcPr>
            <w:tcW w:type="dxa" w:w="2160"/>
          </w:tcPr>
          <w:p>
            <w:r/>
            <w:r>
              <w:t>No SLO was agreed at launch; we propose one below.</w:t>
            </w:r>
          </w:p>
        </w:tc>
      </w:tr>
      <w:tr>
        <w:tc>
          <w:tcPr>
            <w:tcW w:type="dxa" w:w="2160"/>
          </w:tcPr>
          <w:p>
            <w:r/>
            <w:r>
              <w:t>Latency</w:t>
            </w:r>
          </w:p>
        </w:tc>
        <w:tc>
          <w:tcPr>
            <w:tcW w:type="dxa" w:w="2160"/>
          </w:tcPr>
          <w:p>
            <w:r/>
            <w:r>
              <w:t>P50 537 ms · P95 1463 ms</w:t>
            </w:r>
          </w:p>
        </w:tc>
        <w:tc>
          <w:tcPr>
            <w:tcW w:type="dxa" w:w="2160"/>
          </w:tcPr>
          <w:p>
            <w:r/>
            <w:r>
              <w:t>Both improved roughly a quarter over the month</w:t>
            </w:r>
          </w:p>
        </w:tc>
        <w:tc>
          <w:tcPr>
            <w:tcW w:type="dxa" w:w="2160"/>
          </w:tcPr>
          <w:p>
            <w:r/>
            <w:r>
              <w:t>P95 spiked to 2168 ms during the catalog-sync incident.</w:t>
            </w:r>
          </w:p>
        </w:tc>
      </w:tr>
      <w:tr>
        <w:tc>
          <w:tcPr>
            <w:tcW w:type="dxa" w:w="2160"/>
          </w:tcPr>
          <w:p>
            <w:r/>
            <w:r>
              <w:t>Quality</w:t>
            </w:r>
          </w:p>
        </w:tc>
        <w:tc>
          <w:tcPr>
            <w:tcW w:type="dxa" w:w="2160"/>
          </w:tcPr>
          <w:p>
            <w:r/>
            <w:r>
              <w:t>Grounding 96.0% · Eval pass 94.8% · Escalations 11.5%</w:t>
            </w:r>
          </w:p>
        </w:tc>
        <w:tc>
          <w:tcPr>
            <w:tcW w:type="dxa" w:w="2160"/>
          </w:tcPr>
          <w:p>
            <w:r/>
            <w:r>
              <w:t>All three improved every week; the 24 Aug index refresh is visible in grounding</w:t>
            </w:r>
          </w:p>
        </w:tc>
        <w:tc>
          <w:tcPr>
            <w:tcW w:type="dxa" w:w="2160"/>
          </w:tcPr>
          <w:p>
            <w:r/>
            <w:r>
              <w:t>Quality is measured by automated evaluation, not by human audit; a monthly human sample would close that gap.</w:t>
            </w:r>
          </w:p>
        </w:tc>
      </w:tr>
      <w:tr>
        <w:tc>
          <w:tcPr>
            <w:tcW w:type="dxa" w:w="2160"/>
          </w:tcPr>
          <w:p>
            <w:r/>
            <w:r>
              <w:t>Spend</w:t>
            </w:r>
          </w:p>
        </w:tc>
        <w:tc>
          <w:tcPr>
            <w:tcW w:type="dxa" w:w="2160"/>
          </w:tcPr>
          <w:p>
            <w:r/>
            <w:r>
              <w:t>$1,213 for the month</w:t>
            </w:r>
          </w:p>
        </w:tc>
        <w:tc>
          <w:tcPr>
            <w:tcW w:type="dxa" w:w="2160"/>
          </w:tcPr>
          <w:p>
            <w:r/>
            <w:r>
              <w:t>60.7% of the assumed $2,000 budget line; $0.0124 per automated ticket</w:t>
            </w:r>
          </w:p>
        </w:tc>
        <w:tc>
          <w:tcPr>
            <w:tcW w:type="dxa" w:w="2160"/>
          </w:tcPr>
          <w:p>
            <w:r/>
            <w:r>
              <w:t>Request volume grew 44.6% while automated tickets grew 14.7%; attribution is the first joint action.</w:t>
            </w:r>
          </w:p>
        </w:tc>
      </w:tr>
    </w:tbl>
    <w:p>
      <w:r>
        <w:rPr>
          <w:b/>
        </w:rPr>
        <w:t>Operational health score: 80.2 / 100 (healthy).</w:t>
      </w:r>
      <w:r>
        <w:t xml:space="preserve"> Weakest pillar: Spend efficiency 65.8. Methodology is published on the account-health dashboard.</w:t>
      </w:r>
    </w:p>
    <w:p>
      <w:pPr>
        <w:pStyle w:val="Heading1"/>
      </w:pPr>
      <w:r>
        <w:t>3. Expansion recommendation</w:t>
      </w:r>
    </w:p>
    <w:p>
      <w:r>
        <w:t>Expand, in sequence, not all at once. The flagship result is real but young: one month, one brand, one catalog. The conditions that produced it are a clean product catalog, API-first help-desk tooling and an engaged operating team. Two of the four remaining brands share those conditions today; two do not yet. The recommendation is a single pilot that proves a repeatable playbook, then a staged rollout ordered by readiness rather than by size.</w:t>
      </w:r>
    </w:p>
    <w:p>
      <w:r>
        <w:t>Proposed order: 1. Kestrel Athletics (Weeks 1-8 (pilot)); 2. Little Compass (Q1 after holiday peak); 3. Lumen Beauty (Q1-Q2, after safety-policy review); 4. Meridian Home (Q2, after catalog-RAG hardening).</w:t>
      </w:r>
    </w:p>
    <w:p>
      <w:pPr>
        <w:pStyle w:val="Heading1"/>
      </w:pPr>
      <w:r>
        <w:t>4. Technical scaling plan</w:t>
      </w:r>
    </w:p>
    <w:p>
      <w:r>
        <w:rPr>
          <w:b/>
        </w:rPr>
        <w:t>Recommended architecture: one shared base fine-tune, one lightweight adapter per brand, brand-specific system prompts, and brand-scoped retrieval indexes, served on a single multi-adapter deployment.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Concern</w:t>
            </w:r>
          </w:p>
        </w:tc>
        <w:tc>
          <w:tcPr>
            <w:tcW w:type="dxa" w:w="2160"/>
          </w:tcPr>
          <w:p>
            <w:r/>
            <w:r>
              <w:t>Separate fine-tuned model per brand</w:t>
            </w:r>
          </w:p>
        </w:tc>
        <w:tc>
          <w:tcPr>
            <w:tcW w:type="dxa" w:w="2160"/>
          </w:tcPr>
          <w:p>
            <w:r/>
            <w:r>
              <w:t>Shared model with brand context only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Shared base + per-brand adapter (recommended)</w:t>
            </w:r>
          </w:p>
        </w:tc>
      </w:tr>
      <w:tr>
        <w:tc>
          <w:tcPr>
            <w:tcW w:type="dxa" w:w="2160"/>
          </w:tcPr>
          <w:p>
            <w:r/>
            <w:r>
              <w:t>---</w:t>
            </w:r>
          </w:p>
        </w:tc>
        <w:tc>
          <w:tcPr>
            <w:tcW w:type="dxa" w:w="2160"/>
          </w:tcPr>
          <w:p>
            <w:r/>
            <w:r>
              <w:t>---</w:t>
            </w:r>
          </w:p>
        </w:tc>
        <w:tc>
          <w:tcPr>
            <w:tcW w:type="dxa" w:w="2160"/>
          </w:tcPr>
          <w:p>
            <w:r/>
            <w:r>
              <w:t>---</w:t>
            </w:r>
          </w:p>
        </w:tc>
        <w:tc>
          <w:tcPr>
            <w:tcW w:type="dxa" w:w="2160"/>
          </w:tcPr>
          <w:p>
            <w:r/>
            <w: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Five deployments, five capacity reservations</w:t>
            </w:r>
          </w:p>
        </w:tc>
        <w:tc>
          <w:tcPr>
            <w:tcW w:type="dxa" w:w="2160"/>
          </w:tcPr>
          <w:p>
            <w:r/>
            <w:r>
              <w:t>One deployment</w:t>
            </w:r>
          </w:p>
        </w:tc>
        <w:tc>
          <w:tcPr>
            <w:tcW w:type="dxa" w:w="2160"/>
          </w:tcPr>
          <w:p>
            <w:r/>
            <w:r>
              <w:t>One deployment; adapters add negligible serving cost</w:t>
            </w:r>
          </w:p>
        </w:tc>
      </w:tr>
      <w:tr>
        <w:tc>
          <w:tcPr>
            <w:tcW w:type="dxa" w:w="2160"/>
          </w:tcPr>
          <w:p>
            <w:r/>
            <w:r>
              <w:t>Latency</w:t>
            </w:r>
          </w:p>
        </w:tc>
        <w:tc>
          <w:tcPr>
            <w:tcW w:type="dxa" w:w="2160"/>
          </w:tcPr>
          <w:p>
            <w:r/>
            <w:r>
              <w:t>Cold or under-utilised small deployments per brand</w:t>
            </w:r>
          </w:p>
        </w:tc>
        <w:tc>
          <w:tcPr>
            <w:tcW w:type="dxa" w:w="2160"/>
          </w:tcPr>
          <w:p>
            <w:r/>
            <w:r>
              <w:t>Same as today</w:t>
            </w:r>
          </w:p>
        </w:tc>
        <w:tc>
          <w:tcPr>
            <w:tcW w:type="dxa" w:w="2160"/>
          </w:tcPr>
          <w:p>
            <w:r/>
            <w:r>
              <w:t>Same as today; adapter selection is per request</w:t>
            </w:r>
          </w:p>
        </w:tc>
      </w:tr>
      <w:tr>
        <w:tc>
          <w:tcPr>
            <w:tcW w:type="dxa" w:w="2160"/>
          </w:tcPr>
          <w:p>
            <w:r/>
            <w:r>
              <w:t>Data isolation</w:t>
            </w:r>
          </w:p>
        </w:tc>
        <w:tc>
          <w:tcPr>
            <w:tcW w:type="dxa" w:w="2160"/>
          </w:tcPr>
          <w:p>
            <w:r/>
            <w:r>
              <w:t>Strong</w:t>
            </w:r>
          </w:p>
        </w:tc>
        <w:tc>
          <w:tcPr>
            <w:tcW w:type="dxa" w:w="2160"/>
          </w:tcPr>
          <w:p>
            <w:r/>
            <w:r>
              <w:t>Weak: one model sees all brands' data</w:t>
            </w:r>
          </w:p>
        </w:tc>
        <w:tc>
          <w:tcPr>
            <w:tcW w:type="dxa" w:w="2160"/>
          </w:tcPr>
          <w:p>
            <w:r/>
            <w:r>
              <w:t>Strong: each adapter trains only on its brand; retrieval namespaces are isolated</w:t>
            </w:r>
          </w:p>
        </w:tc>
      </w:tr>
      <w:tr>
        <w:tc>
          <w:tcPr>
            <w:tcW w:type="dxa" w:w="2160"/>
          </w:tcPr>
          <w:p>
            <w:r/>
            <w:r>
              <w:t>Quality</w:t>
            </w:r>
          </w:p>
        </w:tc>
        <w:tc>
          <w:tcPr>
            <w:tcW w:type="dxa" w:w="2160"/>
          </w:tcPr>
          <w:p>
            <w:r/>
            <w:r>
              <w:t>Best brand voice, slowest to improve everywhere</w:t>
            </w:r>
          </w:p>
        </w:tc>
        <w:tc>
          <w:tcPr>
            <w:tcW w:type="dxa" w:w="2160"/>
          </w:tcPr>
          <w:p>
            <w:r/>
            <w:r>
              <w:t>Brand voice and policy leak across brands in prompts alone</w:t>
            </w:r>
          </w:p>
        </w:tc>
        <w:tc>
          <w:tcPr>
            <w:tcW w:type="dxa" w:w="2160"/>
          </w:tcPr>
          <w:p>
            <w:r/>
            <w:r>
              <w:t>Brand voice in adapter + prompt; policy in the index; per-brand golden evals gate every promotion</w:t>
            </w:r>
          </w:p>
        </w:tc>
      </w:tr>
      <w:tr>
        <w:tc>
          <w:tcPr>
            <w:tcW w:type="dxa" w:w="2160"/>
          </w:tcPr>
          <w:p>
            <w:r/>
            <w:r>
              <w:t>Maintenance</w:t>
            </w:r>
          </w:p>
        </w:tc>
        <w:tc>
          <w:tcPr>
            <w:tcW w:type="dxa" w:w="2160"/>
          </w:tcPr>
          <w:p>
            <w:r/>
            <w:r>
              <w:t>Five upgrade paths</w:t>
            </w:r>
          </w:p>
        </w:tc>
        <w:tc>
          <w:tcPr>
            <w:tcW w:type="dxa" w:w="2160"/>
          </w:tcPr>
          <w:p>
            <w:r/>
            <w:r>
              <w:t>One</w:t>
            </w:r>
          </w:p>
        </w:tc>
        <w:tc>
          <w:tcPr>
            <w:tcW w:type="dxa" w:w="2160"/>
          </w:tcPr>
          <w:p>
            <w:r/>
            <w:r>
              <w:t>One base upgrade path; adapters retrained independently</w:t>
            </w:r>
          </w:p>
        </w:tc>
      </w:tr>
    </w:tbl>
    <w:p>
      <w:pPr>
        <w:pStyle w:val="Heading1"/>
      </w:pPr>
      <w:r>
        <w:t>5. Pilot proposal</w:t>
      </w:r>
    </w:p>
    <w:p>
      <w:r>
        <w:rPr>
          <w:b/>
        </w:rPr>
        <w:t>Pilot brand: Kestrel Athletics</w:t>
      </w:r>
      <w:r>
        <w:t xml:space="preserve"> (Athletic apparel and footwear; about 3100 Tier-1 tickets per day; Salesforce Service Cloud (API-first)). Readiness: Closest profile to the flagship, API-first tooling, engaged brand leadership.</w:t>
      </w:r>
    </w:p>
    <w:p>
      <w:r>
        <w:t>Eight weeks: weeks 1–2 data export, ticket taxonomy and help-desk integration; weeks 3–4 brand adapter training, brand index build and golden-set sign-off by Kestrel Athletics's CX lead; weeks 5–6 shadow mode alongside agents; weeks 7–8 ramp from 25% to 100% of Tier-1.</w:t>
      </w:r>
    </w:p>
    <w:p>
      <w:r>
        <w:t>Success at week 8 means all of: automation ≥ 60%; CSAT within 1 points of the brand's baseline; grounding ≥ 93%; P95 ≤ 1800 ms; availability ≥ 99.9%; escalation ≤ 15%. Evidence for a broader rollout: the pilot hits those thresholds using the shared-base-plus-adapter pattern with no flagship regression, and the integration playbook is written down and was followed.</w:t>
      </w:r>
    </w:p>
    <w:p>
      <w:pPr>
        <w:pStyle w:val="Heading1"/>
      </w:pPr>
      <w:r>
        <w:t>6. Budget and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Phase</w:t>
            </w:r>
          </w:p>
        </w:tc>
        <w:tc>
          <w:tcPr>
            <w:tcW w:type="dxa" w:w="2160"/>
          </w:tcPr>
          <w:p>
            <w:r/>
            <w:r>
              <w:t>Window</w:t>
            </w:r>
          </w:p>
        </w:tc>
        <w:tc>
          <w:tcPr>
            <w:tcW w:type="dxa" w:w="2160"/>
          </w:tcPr>
          <w:p>
            <w:r/>
            <w:r>
              <w:t>Scope</w:t>
            </w:r>
          </w:p>
        </w:tc>
        <w:tc>
          <w:tcPr>
            <w:tcW w:type="dxa" w:w="2160"/>
          </w:tcPr>
          <w:p>
            <w:r/>
            <w:r>
              <w:t>Inference run-rate (order of magnitude)</w:t>
            </w:r>
          </w:p>
        </w:tc>
      </w:tr>
      <w:tr>
        <w:tc>
          <w:tcPr>
            <w:tcW w:type="dxa" w:w="2160"/>
          </w:tcPr>
          <w:p>
            <w:r/>
            <w:r>
              <w:t>---</w:t>
            </w:r>
          </w:p>
        </w:tc>
        <w:tc>
          <w:tcPr>
            <w:tcW w:type="dxa" w:w="2160"/>
          </w:tcPr>
          <w:p>
            <w:r/>
            <w:r>
              <w:t>---</w:t>
            </w:r>
          </w:p>
        </w:tc>
        <w:tc>
          <w:tcPr>
            <w:tcW w:type="dxa" w:w="2160"/>
          </w:tcPr>
          <w:p>
            <w:r/>
            <w:r>
              <w:t>---</w:t>
            </w:r>
          </w:p>
        </w:tc>
        <w:tc>
          <w:tcPr>
            <w:tcW w:type="dxa" w:w="2160"/>
          </w:tcPr>
          <w:p>
            <w:r/>
            <w: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t>Flagship steady state</w:t>
            </w:r>
          </w:p>
        </w:tc>
        <w:tc>
          <w:tcPr>
            <w:tcW w:type="dxa" w:w="2160"/>
          </w:tcPr>
          <w:p>
            <w:r/>
            <w:r>
              <w:t>now</w:t>
            </w:r>
          </w:p>
        </w:tc>
        <w:tc>
          <w:tcPr>
            <w:tcW w:type="dxa" w:w="2160"/>
          </w:tcPr>
          <w:p>
            <w:r/>
            <w:r>
              <w:t>Polaris</w:t>
            </w:r>
          </w:p>
        </w:tc>
        <w:tc>
          <w:tcPr>
            <w:tcW w:type="dxa" w:w="2160"/>
          </w:tcPr>
          <w:p>
            <w:r/>
            <w:r>
              <w:t>$1,382 per month at the current daily rate</w:t>
            </w:r>
          </w:p>
        </w:tc>
      </w:tr>
      <w:tr>
        <w:tc>
          <w:tcPr>
            <w:tcW w:type="dxa" w:w="2160"/>
          </w:tcPr>
          <w:p>
            <w:r/>
            <w:r>
              <w:t>Pilot</w:t>
            </w:r>
          </w:p>
        </w:tc>
        <w:tc>
          <w:tcPr>
            <w:tcW w:type="dxa" w:w="2160"/>
          </w:tcPr>
          <w:p>
            <w:r/>
            <w:r>
              <w:t>Weeks 1-8 (pilot)</w:t>
            </w:r>
          </w:p>
        </w:tc>
        <w:tc>
          <w:tcPr>
            <w:tcW w:type="dxa" w:w="2160"/>
          </w:tcPr>
          <w:p>
            <w:r/>
            <w:r>
              <w:t>Kestrel Athletics</w:t>
            </w:r>
          </w:p>
        </w:tc>
        <w:tc>
          <w:tcPr>
            <w:tcW w:type="dxa" w:w="2160"/>
          </w:tcPr>
          <w:p>
            <w:r/>
            <w:r>
              <w:t>Roughly two-thirds of flagship volume</w:t>
            </w:r>
          </w:p>
        </w:tc>
      </w:tr>
      <w:tr>
        <w:tc>
          <w:tcPr>
            <w:tcW w:type="dxa" w:w="2160"/>
          </w:tcPr>
          <w:p>
            <w:r/>
            <w:r>
              <w:t>Wave 2</w:t>
            </w:r>
          </w:p>
        </w:tc>
        <w:tc>
          <w:tcPr>
            <w:tcW w:type="dxa" w:w="2160"/>
          </w:tcPr>
          <w:p>
            <w:r/>
            <w:r>
              <w:t>Q1 after holiday peak</w:t>
            </w:r>
          </w:p>
        </w:tc>
        <w:tc>
          <w:tcPr>
            <w:tcW w:type="dxa" w:w="2160"/>
          </w:tcPr>
          <w:p>
            <w:r/>
            <w:r>
              <w:t>Little Compass</w:t>
            </w:r>
          </w:p>
        </w:tc>
        <w:tc>
          <w:tcPr>
            <w:tcW w:type="dxa" w:w="2160"/>
          </w:tcPr>
          <w:p>
            <w:r/>
            <w:r>
              <w:t>Sized after the pilot; seasonal peak modelled explicitly</w:t>
            </w:r>
          </w:p>
        </w:tc>
      </w:tr>
      <w:tr>
        <w:tc>
          <w:tcPr>
            <w:tcW w:type="dxa" w:w="2160"/>
          </w:tcPr>
          <w:p>
            <w:r/>
            <w:r>
              <w:t>Wave 3</w:t>
            </w:r>
          </w:p>
        </w:tc>
        <w:tc>
          <w:tcPr>
            <w:tcW w:type="dxa" w:w="2160"/>
          </w:tcPr>
          <w:p>
            <w:r/>
            <w:r>
              <w:t>Q1-Q2, after safety-policy review</w:t>
            </w:r>
          </w:p>
        </w:tc>
        <w:tc>
          <w:tcPr>
            <w:tcW w:type="dxa" w:w="2160"/>
          </w:tcPr>
          <w:p>
            <w:r/>
            <w:r>
              <w:t>Lumen Beauty, Meridian Home</w:t>
            </w:r>
          </w:p>
        </w:tc>
        <w:tc>
          <w:tcPr>
            <w:tcW w:type="dxa" w:w="2160"/>
          </w:tcPr>
          <w:p>
            <w:r/>
            <w:r>
              <w:t>Largest catalog last, after the retrieval pattern is proven at scale</w:t>
            </w:r>
          </w:p>
        </w:tc>
      </w:tr>
    </w:tbl>
    <w:p>
      <w:r>
        <w:t>Framing: inference is not the cost that matters. At $0.0124 per automated ticket the flagship's inference spend is a rounding error against agent handling cost. The investment is integration and evaluation effort per brand, which the adapter pattern and a shared platform owner keep linear rather than multiplicative.</w:t>
      </w:r>
    </w:p>
    <w:p>
      <w:pPr>
        <w:pStyle w:val="Heading1"/>
      </w:pPr>
      <w:r>
        <w:t>7. Executive talking points</w:t>
      </w:r>
    </w:p>
    <w:p>
      <w:pPr>
        <w:pStyle w:val="ListNumber"/>
      </w:pPr>
      <w:r>
        <w:t>The flagship crossed 70% Tier-1 automation in its final week and finished at 70.8%; quality and latency improved every week while doing it.</w:t>
      </w:r>
    </w:p>
    <w:p>
      <w:pPr>
        <w:pStyle w:val="ListNumber"/>
      </w:pPr>
      <w:r>
        <w:t>Handle-time and CSAT gains are real within the month and match the stated baselines; we are asking Northstar to confirm those baselines so the numbers are yours, not ours.</w:t>
      </w:r>
    </w:p>
    <w:p>
      <w:pPr>
        <w:pStyle w:val="ListNumber"/>
      </w:pPr>
      <w:r>
        <w:t>Availability averaged 99.85% and sat below the proposed 99.9% SLO on 27 of 31 days, with two same-day-mitigated incidents; we propose to formalise that SLO and report against it monthly.</w:t>
      </w:r>
    </w:p>
    <w:p>
      <w:pPr>
        <w:pStyle w:val="ListNumber"/>
      </w:pPr>
      <w:r>
        <w:t>Spend is 60.7% of budget, but usage is growing faster than the tickets it resolves; attributing that growth is our first joint action.</w:t>
      </w:r>
    </w:p>
    <w:p>
      <w:pPr>
        <w:pStyle w:val="ListNumber"/>
      </w:pPr>
      <w:r>
        <w:t>Expand through one pilot (Kestrel Athletics) on a shared-base-plus-adapter architecture, then sequence the remaining brands by readiness.</w:t>
      </w:r>
    </w:p>
    <w:p>
      <w:pPr>
        <w:pStyle w:val="Heading1"/>
      </w:pPr>
      <w:r>
        <w:t>8. Biggest risk and mitigation</w:t>
      </w:r>
    </w:p>
    <w:p>
      <w:r>
        <w:rPr>
          <w:b/>
        </w:rPr>
        <w:t>The biggest risk is organisational, not technical: four brands with four help-desk stacks and four operating teams.</w:t>
      </w:r>
      <w:r>
        <w:t xml:space="preserve"> Without a shared platform owner on the Northstar side and a shared evaluation harness, the rollout fragments into four bespoke bots that each need their own care and feeding, and the flagship's economics do not carry over.</w:t>
      </w:r>
    </w:p>
    <w:p>
      <w:r>
        <w:t>Mitigation: name a Northstar CX platform owner before the pilot starts; adopt the shared-base-plus-adapter architecture so brand differences live in adapters, prompts and indexes rather than in separate systems; require every brand to pass the same golden-set gate before ramp; and use the Kestrel Athletics pilot to write the playbook the other three brands will follow.</w:t>
      </w:r>
    </w:p>
    <w:p>
      <w:r>
        <w:rPr>
          <w:i/>
        </w:rPr>
        <w:t>Assumptions used: pre-launch AHT 11.3 min and CSAT 72.2 (Northstar CX ops to confirm); 99.9% availability SLO (proposed); $2,000 monthly budget line (Northstar finance to confirm). Brand profiles are illustrative pending Northstar's brand briefs.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