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iFood Campaign Targeting and Segmentation</w:t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Improve campaign efficiency by predicting who will respond and prioritizing outreach.</w:t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What I built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Customer segmentation using KMeans on value, recency, channel behavior, and deal sensitivity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Response prediction models Logistic Regression and Random Forest</w:t>
        <w:br w:type="textWrapping"/>
        <w:t xml:space="preserve">Targeting list of top 200 customers ranked by predicted response probability</w:t>
        <w:br w:type="textWrapping"/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Model performance: Logistic AUC about 0.866, Random Forest AUC about 0.887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Targeting impact: overall response about 0.150, top 10 percent response about 0.655, lift about 4.35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Highest value segment shows response close to 0.49 and is the best immediate target</w:t>
        <w:br w:type="textWrapping"/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High value and high income customers respond significantly more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Recent buyers are much more likely to respond than older buyers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Deal heavy customers browse a lot but respond less without strong offers</w:t>
        <w:br w:type="textWrapping"/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Run Wave 1 campaign to the top ranked customers first, focus on premium bundles and loyalty messaging</w:t>
        <w:br w:type="textWrapping"/>
        <w:t xml:space="preserve">Run Wave 2 to mid value regulars with personalized recommendations and replenishment nudges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Run a controlled discount test for deal driven browsers with strict margin limits</w:t>
        <w:br w:type="textWrapping"/>
      </w:r>
    </w:p>
    <w:p w:rsidR="00000000" w:rsidDel="00000000" w:rsidP="00000000" w:rsidRDefault="00000000" w:rsidRPr="00000000" w14:paraId="0000001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plan</w:t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Track weekly response rate, conversion, and incremental revenue by segment and by decile of predicted probability.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