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AI574: Multi-Domain Corrective RAG Assistant</w:t>
      </w:r>
    </w:p>
    <w:p>
      <w:pPr>
        <w:jc w:val="center"/>
      </w:pPr>
      <w:r>
        <w:t>Master’s Project Report — NLP &amp; Deep Learning (Course Objective: define an NLP problem, collect/process data, build neural-network-based models, train/evaluate)</w:t>
      </w:r>
    </w:p>
    <w:p>
      <w:pPr>
        <w:jc w:val="center"/>
      </w:pPr>
      <w:r>
        <w:t>Author / Team: [Your Name(s)]</w:t>
        <w:br/>
        <w:t>Institution: Penn State</w:t>
        <w:br/>
        <w:t>Date: April 2026</w:t>
        <w:br/>
        <w:t>Revision: Detailed report</w:t>
      </w:r>
    </w:p>
    <w:p/>
    <w:p>
      <w:pPr>
        <w:pStyle w:val="Heading1"/>
      </w:pPr>
      <w:r>
        <w:t>Abstract</w:t>
      </w:r>
    </w:p>
    <w:p>
      <w:pPr>
        <w:spacing w:after="120"/>
      </w:pPr>
      <w:r>
        <w:t>This report describes AI574, a multi-domain natural language assistant that combines a supervisor-routed multi-agent architecture with a shared Corrective Retrieval-Augmented Generation (CRAG) pipeline. User queries are classified into industrial control troubleshooting, recipe/cooking assistance, or scientific literature support; each specialist retrieves from a domain-isolated vector index, grades relevance, optionally rewrites the query, generates an answer conditioned on sources, and validates grounding. The system demonstrates modern NLP practice: large-scale data ingestion, dense retrieval with a pretrained transformer embedding model, and orchestrated use of large language models (LLMs) for routing, grading, generation, and validation—without training a new foundation model from scratch. We summarize datasets, preprocessing, architecture, implementation, evaluation hooks, observed index scale from notebook runs, limitations, and concrete improvements aligned with rigorous training and evaluation.</w:t>
      </w:r>
    </w:p>
    <w:p>
      <w:pPr>
        <w:pStyle w:val="Heading1"/>
      </w:pPr>
      <w:r>
        <w:t>1. Introduction and Course Alignment</w:t>
      </w:r>
    </w:p>
    <w:p>
      <w:pPr>
        <w:spacing w:after="120"/>
      </w:pPr>
      <w:r>
        <w:t>The course emphasizes defining a data-science-oriented NLP problem and solving it with deep neural networks, including dataset collection/processing, model construction, and performance evaluation. AI574 addresses a realistic industrial problem: trustworthy, domain-aware question answering over heterogeneous corpora where a single flat RAG stack often confuses vocabulary and retrieval objectives (e.g., PLC fault codes vs. recipe substitutions vs. ArXiv abstracts). The technical approach uses neural components throughout: sentence transformer embeddings for dense retrieval, and transformer-based LLMs for classification-as-routing, relevance grading, answer synthesis, and hallucination checking.</w:t>
      </w:r>
    </w:p>
    <w:p>
      <w:pPr>
        <w:spacing w:after="120"/>
      </w:pPr>
      <w:r>
        <w:t>Scope note: the primary contribution is systems-level—routing, retrieval, correction, and validation—rather than pretraining or supervised fine-tuning a new base LLM. This is common in applied NLP: pretrained encoders and generative models are composed into a testable pipeline. Section 9 proposes optional fine-tuning and benchmarking steps that would strengthen the “train and evaluate” narrative.</w:t>
      </w:r>
    </w:p>
    <w:p>
      <w:pPr>
        <w:pStyle w:val="Heading1"/>
      </w:pPr>
      <w:r>
        <w:t>2. Problem Statement</w:t>
      </w:r>
    </w:p>
    <w:p>
      <w:pPr>
        <w:spacing w:after="120"/>
      </w:pPr>
      <w:r>
        <w:t>Given a free-form user question, the system must: (1) infer the intended domain or ask for clarification; (2) retrieve relevant evidence from the correct knowledge base; (3) produce a helpful answer that stays consistent with retrieved sources; and (4) surface diagnostics (confidence, timing, sources) suitable for debugging and safe use—especially in the industrial domain.</w:t>
      </w:r>
    </w:p>
    <w:p>
      <w:pPr>
        <w:pStyle w:val="Heading1"/>
      </w:pPr>
      <w:r>
        <w:t>3. Background and Related Work</w:t>
      </w:r>
    </w:p>
    <w:p>
      <w:pPr>
        <w:spacing w:after="120"/>
      </w:pPr>
      <w:r>
        <w:t>Retrieval-Augmented Generation (RAG) grounds LLM outputs in external documents, reducing reliance on parametric memory. Corrective RAG extends this with explicit quality control: after retrieval, documents may be filtered or the query reformulated before generation, improving robustness when the first retrieval pass misses intent. Multi-agent and router patterns reduce interference between tasks or domains. Vector databases such as ChromaDB enable scalable approximate nearest-neighbor search over dense embeddings.</w:t>
      </w:r>
    </w:p>
    <w:p>
      <w:pPr>
        <w:pStyle w:val="Heading1"/>
      </w:pPr>
      <w:r>
        <w:t>4. Datasets, Collection, and Preprocessing</w:t>
      </w:r>
    </w:p>
    <w:p>
      <w:pPr>
        <w:pStyle w:val="Heading2"/>
      </w:pPr>
      <w:r>
        <w:t>4.1 Industrial</w:t>
      </w:r>
    </w:p>
    <w:p>
      <w:pPr>
        <w:spacing w:after="120"/>
      </w:pPr>
      <w:r>
        <w:t>Industrial knowledge is ingested from user-provided manuals and text under a configurable data directory (e.g., PDF, Markdown, plain text). When the industrial collection is empty, seeded starter text provides a minimal demo. Chunking uses a recursive character splitter; industrial text receives abbreviation expansion and equipment-oriented normalization to improve matching for fault codes and control terminology.</w:t>
      </w:r>
    </w:p>
    <w:p>
      <w:pPr>
        <w:pStyle w:val="Heading2"/>
      </w:pPr>
      <w:r>
        <w:t>4.2 Recipe</w:t>
      </w:r>
    </w:p>
    <w:p>
      <w:pPr>
        <w:spacing w:after="120"/>
      </w:pPr>
      <w:r>
        <w:t>The recipe domain indexes Food.com–style structured recipe data from RAW_recipes.csv (and optionally RAW_interactions.csv for popularity signals). The pipeline deduplicates, filters malformed rows, attaches metadata (e.g., dietary tags, timing), and batches embedding/upsert operations. Incremental re-indexing can skip existing chunk IDs to shorten rebuild cycles.</w:t>
      </w:r>
    </w:p>
    <w:p>
      <w:pPr>
        <w:pStyle w:val="Heading2"/>
      </w:pPr>
      <w:r>
        <w:t>4.3 Scientific</w:t>
      </w:r>
    </w:p>
    <w:p>
      <w:pPr>
        <w:spacing w:after="120"/>
      </w:pPr>
      <w:r>
        <w:t>Scientific coverage uses the Cornell ArXiv metadata snapshot (NDJSON), with configurable category and year filters (e.g., cs.* from 2020 onward in the notebook workflow). Abstracts and metadata are chunked and embedded; live ArXiv API usage can complement bulk indexing for misses.</w:t>
      </w:r>
    </w:p>
    <w:p>
      <w:pPr>
        <w:pStyle w:val="Heading2"/>
      </w:pPr>
      <w:r>
        <w:t>4.4 Observed index scale (representative notebook run)</w:t>
      </w:r>
    </w:p>
    <w:p>
      <w:pPr>
        <w:spacing w:after="120"/>
      </w:pPr>
      <w:r>
        <w:t>A full indexing run recorded in Multi_Domain_Agent.ipynb reported approximate Chroma document counts: ~6,150 industrial chunks, ~231,311 recipe chunks, and ~687,000 scientific chunks. Exact counts depend on filters, deduplication, and re-run policies; these figures illustrate operational scale rather than a fixed dataset statistic.</w:t>
      </w:r>
    </w:p>
    <w:p>
      <w:pPr>
        <w:pStyle w:val="Heading1"/>
      </w:pPr>
      <w:r>
        <w:t>5. System Architecture and Methodology</w:t>
      </w:r>
    </w:p>
    <w:p>
      <w:pPr>
        <w:spacing w:after="120"/>
      </w:pPr>
      <w:r>
        <w:t>High-level control flow: START → SupervisorAgent → {industrial | recipe | scientific | clarify | fallback} → domain agent → shared CRAGPipeline → finalize → END. Orchestration is implemented as a LangGraph workflow over a single AgentState that carries routing decisions, intermediate artifacts, sources, timing, and flags.</w:t>
      </w:r>
    </w:p>
    <w:p>
      <w:pPr>
        <w:pStyle w:val="Heading2"/>
      </w:pPr>
      <w:r>
        <w:t>5.1 CRAG loop</w:t>
      </w:r>
    </w:p>
    <w:p>
      <w:pPr>
        <w:spacing w:after="120"/>
      </w:pPr>
      <w:r>
        <w:t>CRAG stages: retrieve top-k from the domain collection → LLM-based document grading (batch with per-document fallback on parse errors) → query rewriting and retrieval retry up to max_rewrite_attempts → response generation with source conditioning → hallucination check / grounding validation. Failed validation can escalate so the caller can restrict or review the answer.</w:t>
      </w:r>
    </w:p>
    <w:p>
      <w:pPr>
        <w:pStyle w:val="Heading2"/>
      </w:pPr>
      <w:r>
        <w:t>5.2 Neural models</w:t>
      </w:r>
    </w:p>
    <w:p>
      <w:pPr>
        <w:spacing w:after="120"/>
      </w:pPr>
      <w:r>
        <w:t>Embeddings default to thenlper/gte-large (1024-dimensional vectors, cosine similarity in Chroma). Generation, routing, grading, rewriting, and validation use registered LLM backends: hosted Gemini (e.g., gemini_flash by default), optional Groq Llama, and local Gemma via KerasHub—selectable per query for latency/cost experiments.</w:t>
      </w:r>
    </w:p>
    <w:p>
      <w:pPr>
        <w:pStyle w:val="Heading2"/>
      </w:pPr>
      <w:r>
        <w:t>5.3 Infrastructure (Colab / persistence)</w:t>
      </w:r>
    </w:p>
    <w:p>
      <w:pPr>
        <w:spacing w:after="120"/>
      </w:pPr>
      <w:r>
        <w:t>The Multi_Domain_Agent notebook targets Google Colab with GPU, Google Drive for project artifacts, and a local SSD Chroma directory for SQLite reliability. Rolling tar.gz snapshots back up the vector store to Drive, with integrity checks and recovery helpers—important when indices reach hundreds of thousands of chunks.</w:t>
      </w:r>
    </w:p>
    <w:p>
      <w:pPr>
        <w:pStyle w:val="Heading1"/>
      </w:pPr>
      <w:r>
        <w:t>6. Implementation Highlights</w:t>
      </w:r>
    </w:p>
    <w:p>
      <w:pPr>
        <w:pStyle w:val="ListBullet"/>
      </w:pPr>
      <w:r>
        <w:t>Modular repo layout: orchestration/, agents/, rag_core/, foundation/, ingestion/, evaluation/.</w:t>
      </w:r>
    </w:p>
    <w:p>
      <w:pPr>
        <w:pStyle w:val="ListBullet"/>
      </w:pPr>
      <w:r>
        <w:t>Supervisor: JSON-structured routing with confidence thresholding and clarify path for ambiguous input.</w:t>
      </w:r>
    </w:p>
    <w:p>
      <w:pPr>
        <w:pStyle w:val="ListBullet"/>
      </w:pPr>
      <w:r>
        <w:t>Domain agents: industrial (safety-oriented postprocessing), recipe (substitutions, dietary metadata), scientific (ArXiv-oriented behavior).</w:t>
      </w:r>
    </w:p>
    <w:p>
      <w:pPr>
        <w:pStyle w:val="ListBullet"/>
      </w:pPr>
      <w:r>
        <w:t>Model registry and hosted adapter with auth-error failover to a configured local model ID.</w:t>
      </w:r>
    </w:p>
    <w:p>
      <w:pPr>
        <w:pStyle w:val="ListBullet"/>
      </w:pPr>
      <w:r>
        <w:t>Unit tests with mocks for CRAG edge cases; notebooks for end-to-end validation.</w:t>
      </w:r>
    </w:p>
    <w:p>
      <w:pPr>
        <w:pStyle w:val="Heading1"/>
      </w:pPr>
      <w:r>
        <w:t>7. Training, Inference, and Evaluation Posture</w:t>
      </w:r>
    </w:p>
    <w:p>
      <w:pPr>
        <w:spacing w:after="120"/>
      </w:pPr>
      <w:r>
        <w:t>The embedding encoder and LLMs are used in inference mode with frozen weights from public checkpoints. “Training” in the course sense is satisfied by: (a) data preparation and index construction as a supervised-free but compute-intensive pipeline; (b) hyperparameter choices (chunk size, top-k, grading thresholds, rewrite attempts); and (c) systematic evaluation of routing and answer quality. Recommended extensions (Section 9) include retrieval metric labeling, LLM-as-judge aggregates, and optional LoRA/adapter fine-tuning on a small domain-specific corpus if institutional constraints allow.</w:t>
      </w:r>
    </w:p>
    <w:p>
      <w:pPr>
        <w:pStyle w:val="Heading1"/>
      </w:pPr>
      <w:r>
        <w:t>8. Evaluation</w:t>
      </w:r>
    </w:p>
    <w:p>
      <w:pPr>
        <w:spacing w:after="120"/>
      </w:pPr>
      <w:r>
        <w:t>evaluation/metrics.py defines an Evaluator with routing accuracy over a query list (designed for expansion to ~50 queries per domain plus edge cases), LLM-judge scoring on relevance/accuracy/completeness/clarity, and verify_functional checks for non-empty responses, valid confidence, and timing schema. As of this report, the curated list is partially populated (placeholders note additional queries); formal tables of accuracy and latency should be produced once the suite is frozen and run against a fixed model configuration.</w:t>
      </w:r>
    </w:p>
    <w:p>
      <w:pPr>
        <w:spacing w:after="120"/>
      </w:pPr>
      <w:r>
        <w:t>Qualitative observations (from development and prior revision notes): the supervisor threshold trades responsiveness vs. clarification rate; batch grading reduces cost but requires robust JSON parsing fallbacks; industrial preprocessing improves recall for fault-code style queries; hallucination checks often flag confident answers with weak retrieval or wrong-document paraphrase.</w:t>
      </w:r>
    </w:p>
    <w:p>
      <w:pPr>
        <w:pStyle w:val="Heading1"/>
      </w:pPr>
      <w:r>
        <w:t>9. Recommended Improvements and Future Work</w:t>
      </w:r>
    </w:p>
    <w:p>
      <w:pPr>
        <w:pStyle w:val="ListBullet"/>
      </w:pPr>
      <w:r>
        <w:t>Complete the routing benchmark: expand to 50 queries/domain + edge cases; report overall accuracy, per-domain accuracy, confusion matrix, and latency p50/p95.</w:t>
      </w:r>
    </w:p>
    <w:p>
      <w:pPr>
        <w:pStyle w:val="ListBullet"/>
      </w:pPr>
      <w:r>
        <w:t>Retrieval ablations: vary top-k, chunk size, and metadata filters; measure precision@k with human or LLM labels on a fixed dev set.</w:t>
      </w:r>
    </w:p>
    <w:p>
      <w:pPr>
        <w:pStyle w:val="ListBullet"/>
      </w:pPr>
      <w:r>
        <w:t>CRAG ablations: disable or simplify grading, rewriting, or hallucination checking; quantify quality vs. latency and cost.</w:t>
      </w:r>
    </w:p>
    <w:p>
      <w:pPr>
        <w:pStyle w:val="ListBullet"/>
      </w:pPr>
      <w:r>
        <w:t>Model comparison: Gemini Flash vs. Pro vs. Groq Llama vs. local Gemma on the same query set; track grounding failures and escalation rate.</w:t>
      </w:r>
    </w:p>
    <w:p>
      <w:pPr>
        <w:pStyle w:val="ListBullet"/>
      </w:pPr>
      <w:r>
        <w:t>RAG quality metrics: citation coverage, answer-source consistency scores, and optional RAGAS-style automated metrics.</w:t>
      </w:r>
    </w:p>
    <w:p>
      <w:pPr>
        <w:pStyle w:val="ListBullet"/>
      </w:pPr>
      <w:r>
        <w:t>Robustness: sanitization before index, source allowlists, prompt-injection heuristics on retrieved chunks, stronger industrial safety disclaimers.</w:t>
      </w:r>
    </w:p>
    <w:p>
      <w:pPr>
        <w:pStyle w:val="ListBullet"/>
      </w:pPr>
      <w:r>
        <w:t>Reproducibility: pin optional dependencies in requirements.txt (e.g., langchain-text-splitters, transformers), provide a CLI or minimal API entrypoint, and version evaluation artifacts.</w:t>
      </w:r>
    </w:p>
    <w:p>
      <w:pPr>
        <w:pStyle w:val="ListBullet"/>
      </w:pPr>
      <w:r>
        <w:t>Observability: request IDs, structured JSON logs per node, and dashboards for routing confidence and CRAG stage timings.</w:t>
      </w:r>
    </w:p>
    <w:p>
      <w:pPr>
        <w:pStyle w:val="ListBullet"/>
      </w:pPr>
      <w:r>
        <w:t>Fallback: integrate a real web-search tool (e.g., Tavily) with ranked snippets instead of static text.</w:t>
      </w:r>
    </w:p>
    <w:p>
      <w:pPr>
        <w:pStyle w:val="ListBullet"/>
      </w:pPr>
      <w:r>
        <w:t>Scientific depth: optional full-text PDF ingestion with layout-aware parsing where resources permit.</w:t>
      </w:r>
    </w:p>
    <w:p>
      <w:pPr>
        <w:pStyle w:val="ListBullet"/>
      </w:pPr>
      <w:r>
        <w:t>Optional fine-tuning: small supervised dataset for routing or cross-encoder reranking to improve retrieval beyond bi-encoders.</w:t>
      </w:r>
    </w:p>
    <w:p>
      <w:pPr>
        <w:pStyle w:val="Heading1"/>
      </w:pPr>
      <w:r>
        <w:t>10. Limitations, Ethics, and Safety</w:t>
      </w:r>
    </w:p>
    <w:p>
      <w:pPr>
        <w:spacing w:after="120"/>
      </w:pPr>
      <w:r>
        <w:t>Industrial answers must be treated as decision support only—always follow manufacturer documentation and site safety procedures. Scientific answers depend on abstract-level retrieval; citation-heavy claims may require full text. Hosted APIs require key management; notebooks should not commit secrets. The system assumes indexed content is benign; untrusted corpora increase prompt-injection and retrieval-poisoning risk.</w:t>
      </w:r>
    </w:p>
    <w:p>
      <w:pPr>
        <w:pStyle w:val="Heading1"/>
      </w:pPr>
      <w:r>
        <w:t>11. Conclusion</w:t>
      </w:r>
    </w:p>
    <w:p>
      <w:pPr>
        <w:spacing w:after="120"/>
      </w:pPr>
      <w:r>
        <w:t>AI574 demonstrates that explicit routing, domain-scoped retrieval, and a corrective generation loop can deliver grounded, debuggable NLP behavior across heterogeneous domains using modern deep models for embeddings and language. The strongest next steps for a master’s submission are rigorous benchmarking (routing + RAG quality), documented ablations, and reproducible packaging beyond notebook-only execution.</w:t>
      </w:r>
    </w:p>
    <w:p>
      <w:pPr>
        <w:pStyle w:val="Heading1"/>
      </w:pPr>
      <w:r>
        <w:t>References (illustrative)</w:t>
      </w:r>
    </w:p>
    <w:p>
      <w:pPr>
        <w:pStyle w:val="ListBullet"/>
      </w:pPr>
      <w:r>
        <w:t>Lewis, P., et al. Retrieval-Augmented Generation for Knowledge-Intensive NLP Tasks. NeurIPS 2020.</w:t>
      </w:r>
    </w:p>
    <w:p>
      <w:pPr>
        <w:pStyle w:val="ListBullet"/>
      </w:pPr>
      <w:r>
        <w:t>LangChain / LangGraph documentation — agent and graph orchestration patterns.</w:t>
      </w:r>
    </w:p>
    <w:p>
      <w:pPr>
        <w:pStyle w:val="ListBullet"/>
      </w:pPr>
      <w:r>
        <w:t>ChromaDB documentation — vector persistence and collections.</w:t>
      </w:r>
    </w:p>
    <w:p>
      <w:pPr>
        <w:pStyle w:val="ListBullet"/>
      </w:pPr>
      <w:r>
        <w:t>Sentence-Transformers / GTE — dense embedding models (thenlper/gte-large).</w:t>
      </w:r>
    </w:p>
    <w:p>
      <w:pPr>
        <w:pStyle w:val="ListBullet"/>
      </w:pPr>
      <w:r>
        <w:t>ArXiv OAI metadata — Cornell University snapshot (Kaggle / public dump).</w:t>
      </w:r>
    </w:p>
    <w:p>
      <w:pPr>
        <w:pStyle w:val="ListBullet"/>
      </w:pPr>
      <w:r>
        <w:t>Food.com recipe data — community recipe corpus (as used in indexing scripts).</w:t>
      </w:r>
    </w:p>
    <w:p>
      <w:pPr>
        <w:pStyle w:val="Heading1"/>
      </w:pPr>
      <w:r>
        <w:t>Appendix A: Key Configuration (defaults)</w:t>
      </w:r>
    </w:p>
    <w:tbl>
      <w:tblPr>
        <w:tblStyle w:val="TableGrid"/>
        <w:tblW w:type="auto" w:w="0"/>
        <w:tblLook w:firstColumn="1" w:firstRow="1" w:lastColumn="0" w:lastRow="0" w:noHBand="0" w:noVBand="1" w:val="04A0"/>
      </w:tblPr>
      <w:tblGrid>
        <w:gridCol w:w="2880"/>
        <w:gridCol w:w="2880"/>
        <w:gridCol w:w="2880"/>
      </w:tblGrid>
      <w:tr>
        <w:tc>
          <w:tcPr>
            <w:tcW w:type="dxa" w:w="2880"/>
          </w:tcPr>
          <w:p>
            <w:r>
              <w:t>Setting</w:t>
            </w:r>
          </w:p>
        </w:tc>
        <w:tc>
          <w:tcPr>
            <w:tcW w:type="dxa" w:w="2880"/>
          </w:tcPr>
          <w:p>
            <w:r>
              <w:t>Default</w:t>
            </w:r>
          </w:p>
        </w:tc>
        <w:tc>
          <w:tcPr>
            <w:tcW w:type="dxa" w:w="2880"/>
          </w:tcPr>
          <w:p>
            <w:r>
              <w:t>Module / role</w:t>
            </w:r>
          </w:p>
        </w:tc>
      </w:tr>
      <w:tr>
        <w:tc>
          <w:tcPr>
            <w:tcW w:type="dxa" w:w="2880"/>
          </w:tcPr>
          <w:p>
            <w:r>
              <w:t>routing_confidence_threshold</w:t>
            </w:r>
          </w:p>
        </w:tc>
        <w:tc>
          <w:tcPr>
            <w:tcW w:type="dxa" w:w="2880"/>
          </w:tcPr>
          <w:p>
            <w:r>
              <w:t>0.75</w:t>
            </w:r>
          </w:p>
        </w:tc>
        <w:tc>
          <w:tcPr>
            <w:tcW w:type="dxa" w:w="2880"/>
          </w:tcPr>
          <w:p>
            <w:r>
              <w:t>SupervisorConfig — below → clarify</w:t>
            </w:r>
          </w:p>
        </w:tc>
      </w:tr>
      <w:tr>
        <w:tc>
          <w:tcPr>
            <w:tcW w:type="dxa" w:w="2880"/>
          </w:tcPr>
          <w:p>
            <w:r>
              <w:t>max_rewrite_attempts</w:t>
            </w:r>
          </w:p>
        </w:tc>
        <w:tc>
          <w:tcPr>
            <w:tcW w:type="dxa" w:w="2880"/>
          </w:tcPr>
          <w:p>
            <w:r>
              <w:t>2</w:t>
            </w:r>
          </w:p>
        </w:tc>
        <w:tc>
          <w:tcPr>
            <w:tcW w:type="dxa" w:w="2880"/>
          </w:tcPr>
          <w:p>
            <w:r>
              <w:t>RAGConfig</w:t>
            </w:r>
          </w:p>
        </w:tc>
      </w:tr>
      <w:tr>
        <w:tc>
          <w:tcPr>
            <w:tcW w:type="dxa" w:w="2880"/>
          </w:tcPr>
          <w:p>
            <w:r>
              <w:t>relevance_threshold</w:t>
            </w:r>
          </w:p>
        </w:tc>
        <w:tc>
          <w:tcPr>
            <w:tcW w:type="dxa" w:w="2880"/>
          </w:tcPr>
          <w:p>
            <w:r>
              <w:t>0.7</w:t>
            </w:r>
          </w:p>
        </w:tc>
        <w:tc>
          <w:tcPr>
            <w:tcW w:type="dxa" w:w="2880"/>
          </w:tcPr>
          <w:p>
            <w:r>
              <w:t>RAGConfig — grading cutoff</w:t>
            </w:r>
          </w:p>
        </w:tc>
      </w:tr>
      <w:tr>
        <w:tc>
          <w:tcPr>
            <w:tcW w:type="dxa" w:w="2880"/>
          </w:tcPr>
          <w:p>
            <w:r>
              <w:t>confidence_threshold</w:t>
            </w:r>
          </w:p>
        </w:tc>
        <w:tc>
          <w:tcPr>
            <w:tcW w:type="dxa" w:w="2880"/>
          </w:tcPr>
          <w:p>
            <w:r>
              <w:t>0.6</w:t>
            </w:r>
          </w:p>
        </w:tc>
        <w:tc>
          <w:tcPr>
            <w:tcW w:type="dxa" w:w="2880"/>
          </w:tcPr>
          <w:p>
            <w:r>
              <w:t>RAGConfig — hallucination check</w:t>
            </w:r>
          </w:p>
        </w:tc>
      </w:tr>
      <w:tr>
        <w:tc>
          <w:tcPr>
            <w:tcW w:type="dxa" w:w="2880"/>
          </w:tcPr>
          <w:p>
            <w:r>
              <w:t>search_top_k</w:t>
            </w:r>
          </w:p>
        </w:tc>
        <w:tc>
          <w:tcPr>
            <w:tcW w:type="dxa" w:w="2880"/>
          </w:tcPr>
          <w:p>
            <w:r>
              <w:t>5</w:t>
            </w:r>
          </w:p>
        </w:tc>
        <w:tc>
          <w:tcPr>
            <w:tcW w:type="dxa" w:w="2880"/>
          </w:tcPr>
          <w:p>
            <w:r>
              <w:t>VectorStoreConfig</w:t>
            </w:r>
          </w:p>
        </w:tc>
      </w:tr>
      <w:tr>
        <w:tc>
          <w:tcPr>
            <w:tcW w:type="dxa" w:w="2880"/>
          </w:tcPr>
          <w:p>
            <w:r>
              <w:t>chunk_size</w:t>
            </w:r>
          </w:p>
        </w:tc>
        <w:tc>
          <w:tcPr>
            <w:tcW w:type="dxa" w:w="2880"/>
          </w:tcPr>
          <w:p>
            <w:r>
              <w:t>768 tokens (target)</w:t>
            </w:r>
          </w:p>
        </w:tc>
        <w:tc>
          <w:tcPr>
            <w:tcW w:type="dxa" w:w="2880"/>
          </w:tcPr>
          <w:p>
            <w:r>
              <w:t>ChunkingConfig</w:t>
            </w:r>
          </w:p>
        </w:tc>
      </w:tr>
      <w:tr>
        <w:tc>
          <w:tcPr>
            <w:tcW w:type="dxa" w:w="2880"/>
          </w:tcPr>
          <w:p>
            <w:r>
              <w:t>chunk_overlap_pct</w:t>
            </w:r>
          </w:p>
        </w:tc>
        <w:tc>
          <w:tcPr>
            <w:tcW w:type="dxa" w:w="2880"/>
          </w:tcPr>
          <w:p>
            <w:r>
              <w:t>0.15</w:t>
            </w:r>
          </w:p>
        </w:tc>
        <w:tc>
          <w:tcPr>
            <w:tcW w:type="dxa" w:w="2880"/>
          </w:tcPr>
          <w:p>
            <w:r>
              <w:t>ChunkingConfig</w:t>
            </w:r>
          </w:p>
        </w:tc>
      </w:tr>
      <w:tr>
        <w:tc>
          <w:tcPr>
            <w:tcW w:type="dxa" w:w="2880"/>
          </w:tcPr>
          <w:p>
            <w:r>
              <w:t>embedding_model</w:t>
            </w:r>
          </w:p>
        </w:tc>
        <w:tc>
          <w:tcPr>
            <w:tcW w:type="dxa" w:w="2880"/>
          </w:tcPr>
          <w:p>
            <w:r>
              <w:t>thenlper/gte-large</w:t>
            </w:r>
          </w:p>
        </w:tc>
        <w:tc>
          <w:tcPr>
            <w:tcW w:type="dxa" w:w="2880"/>
          </w:tcPr>
          <w:p>
            <w:r>
              <w:t>EmbeddingConfig</w:t>
            </w:r>
          </w:p>
        </w:tc>
      </w:tr>
      <w:tr>
        <w:tc>
          <w:tcPr>
            <w:tcW w:type="dxa" w:w="2880"/>
          </w:tcPr>
          <w:p>
            <w:r>
              <w:t>default_model_id</w:t>
            </w:r>
          </w:p>
        </w:tc>
        <w:tc>
          <w:tcPr>
            <w:tcW w:type="dxa" w:w="2880"/>
          </w:tcPr>
          <w:p>
            <w:r>
              <w:t>gemini_flash</w:t>
            </w:r>
          </w:p>
        </w:tc>
        <w:tc>
          <w:tcPr>
            <w:tcW w:type="dxa" w:w="2880"/>
          </w:tcPr>
          <w:p>
            <w:r>
              <w:t>run_query default LLM</w:t>
            </w:r>
          </w:p>
        </w:tc>
      </w:tr>
    </w:tbl>
    <w:p/>
    <w:p>
      <w:pPr>
        <w:pStyle w:val="Heading1"/>
      </w:pPr>
      <w:r>
        <w:t>Appendix B: Repository Map</w:t>
      </w:r>
    </w:p>
    <w:p>
      <w:pPr>
        <w:spacing w:after="120"/>
      </w:pPr>
      <w:r>
        <w:t>agents/ — base_agent.py, industrial_agent.py, recipe_agent.py, scientific_agent.py</w:t>
        <w:br/>
        <w:t>config/ — settings.py, prompts.py</w:t>
        <w:br/>
        <w:t>evaluation/ — metrics.py</w:t>
        <w:br/>
        <w:t>foundation/ — llm_wrapper.py, embedding_service.py, vector_store.py, model_registry.py</w:t>
        <w:br/>
        <w:t>ingestion/ — document_loader.py, chunking_pipeline.py, index_builder.py</w:t>
        <w:br/>
        <w:t>notebooks/ — main_demo.ipynb, Multi_Domain_Agent.ipynb</w:t>
        <w:br/>
        <w:t>orchestration/ — state_schema.py, supervisor.py, workflow_graph.py</w:t>
        <w:br/>
        <w:t>rag_core/ — crag_pipeline.py, retriever.py, document_grader.py, query_rewriter.py, response_generator.py, hallucination_checker.py</w:t>
        <w:br/>
        <w:t>tests/ — test_crag_pipeline.py, test_security.py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