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97FF" w14:textId="77777777" w:rsidR="00066D29" w:rsidRDefault="00066D29">
      <w:pPr>
        <w:pStyle w:val="Body"/>
      </w:pPr>
    </w:p>
    <w:p w14:paraId="0BDC9800" w14:textId="77777777" w:rsidR="00066D29" w:rsidRDefault="00066D29">
      <w:pPr>
        <w:pStyle w:val="Body"/>
      </w:pPr>
    </w:p>
    <w:p w14:paraId="0BDC9801" w14:textId="77777777" w:rsidR="00066D29" w:rsidRDefault="00066D29">
      <w:pPr>
        <w:pStyle w:val="Body"/>
      </w:pPr>
    </w:p>
    <w:p w14:paraId="0BDC9802" w14:textId="77777777" w:rsidR="00066D29" w:rsidRDefault="00066D29">
      <w:pPr>
        <w:pStyle w:val="Body"/>
        <w:jc w:val="both"/>
      </w:pPr>
    </w:p>
    <w:p w14:paraId="0BDC9803" w14:textId="77777777" w:rsidR="00066D29" w:rsidRDefault="00537065">
      <w:pPr>
        <w:pStyle w:val="Body"/>
        <w:jc w:val="both"/>
      </w:pPr>
      <w:r>
        <w:rPr>
          <w:noProof/>
        </w:rPr>
        <w:drawing>
          <wp:inline distT="0" distB="0" distL="0" distR="0" wp14:anchorId="0BDC9989" wp14:editId="0BDC998A">
            <wp:extent cx="1335768" cy="914316"/>
            <wp:effectExtent l="0" t="0" r="0" b="0"/>
            <wp:docPr id="1073741825"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descr="officeArt object"/>
                    <pic:cNvPicPr>
                      <a:picLocks noChangeAspect="1"/>
                    </pic:cNvPicPr>
                  </pic:nvPicPr>
                  <pic:blipFill>
                    <a:blip r:embed="rId7"/>
                    <a:stretch>
                      <a:fillRect/>
                    </a:stretch>
                  </pic:blipFill>
                  <pic:spPr>
                    <a:xfrm>
                      <a:off x="0" y="0"/>
                      <a:ext cx="1335768" cy="914316"/>
                    </a:xfrm>
                    <a:prstGeom prst="rect">
                      <a:avLst/>
                    </a:prstGeom>
                    <a:ln w="12700" cap="flat">
                      <a:noFill/>
                      <a:miter lim="400000"/>
                    </a:ln>
                    <a:effectLst/>
                  </pic:spPr>
                </pic:pic>
              </a:graphicData>
            </a:graphic>
          </wp:inline>
        </w:drawing>
      </w:r>
    </w:p>
    <w:p w14:paraId="0BDC9804" w14:textId="77777777" w:rsidR="00066D29" w:rsidRDefault="00066D29">
      <w:pPr>
        <w:pStyle w:val="Body"/>
        <w:jc w:val="both"/>
      </w:pPr>
    </w:p>
    <w:p w14:paraId="0BDC9805" w14:textId="77777777" w:rsidR="00066D29" w:rsidRDefault="00066D29">
      <w:pPr>
        <w:pStyle w:val="Body"/>
        <w:jc w:val="both"/>
      </w:pPr>
    </w:p>
    <w:p w14:paraId="0BDC9806" w14:textId="77777777" w:rsidR="00066D29" w:rsidRDefault="00537065">
      <w:pPr>
        <w:pStyle w:val="Body"/>
        <w:jc w:val="both"/>
      </w:pPr>
      <w:r>
        <w:rPr>
          <w:rFonts w:ascii="Arial Unicode MS" w:hAnsi="Arial Unicode MS"/>
        </w:rPr>
        <w:br w:type="column"/>
      </w:r>
    </w:p>
    <w:p w14:paraId="0BDC9807" w14:textId="77777777" w:rsidR="00066D29" w:rsidRDefault="00066D29">
      <w:pPr>
        <w:pStyle w:val="Body"/>
        <w:jc w:val="both"/>
      </w:pPr>
    </w:p>
    <w:p w14:paraId="0BDC9808" w14:textId="77777777" w:rsidR="00066D29" w:rsidRDefault="00066D29">
      <w:pPr>
        <w:pStyle w:val="Body"/>
        <w:jc w:val="both"/>
      </w:pPr>
    </w:p>
    <w:p w14:paraId="0BDC9809" w14:textId="77777777" w:rsidR="00066D29" w:rsidRDefault="00066D29">
      <w:pPr>
        <w:pStyle w:val="Body"/>
        <w:jc w:val="both"/>
      </w:pPr>
    </w:p>
    <w:p w14:paraId="0BDC980A" w14:textId="77777777" w:rsidR="00066D29" w:rsidRDefault="00066D29">
      <w:pPr>
        <w:pStyle w:val="Body"/>
        <w:ind w:left="540"/>
        <w:rPr>
          <w:rFonts w:ascii="Arial" w:hAnsi="Arial"/>
          <w:b/>
          <w:bCs/>
          <w:sz w:val="64"/>
          <w:szCs w:val="64"/>
        </w:rPr>
      </w:pPr>
    </w:p>
    <w:p w14:paraId="0BDC980B" w14:textId="77777777" w:rsidR="00066D29" w:rsidRDefault="00537065">
      <w:pPr>
        <w:pStyle w:val="Body"/>
        <w:ind w:left="540"/>
        <w:rPr>
          <w:rFonts w:ascii="Arial" w:eastAsia="Arial" w:hAnsi="Arial" w:cs="Arial"/>
          <w:b/>
          <w:bCs/>
          <w:sz w:val="44"/>
          <w:szCs w:val="44"/>
        </w:rPr>
      </w:pPr>
      <w:r>
        <w:rPr>
          <w:rFonts w:ascii="Arial" w:hAnsi="Arial"/>
          <w:b/>
          <w:bCs/>
          <w:sz w:val="44"/>
          <w:szCs w:val="44"/>
        </w:rPr>
        <w:t>Natural Language Processing</w:t>
      </w:r>
    </w:p>
    <w:p w14:paraId="0BDC980C" w14:textId="77777777" w:rsidR="00066D29" w:rsidRDefault="00066D29">
      <w:pPr>
        <w:pStyle w:val="Body"/>
        <w:ind w:left="540"/>
        <w:rPr>
          <w:b/>
          <w:bCs/>
          <w:sz w:val="32"/>
          <w:szCs w:val="32"/>
        </w:rPr>
      </w:pPr>
    </w:p>
    <w:p w14:paraId="0BDC980D" w14:textId="77777777" w:rsidR="00066D29" w:rsidRDefault="00066D29">
      <w:pPr>
        <w:pStyle w:val="Body"/>
        <w:jc w:val="center"/>
        <w:rPr>
          <w:b/>
          <w:bCs/>
          <w:sz w:val="24"/>
          <w:szCs w:val="24"/>
        </w:rPr>
      </w:pPr>
    </w:p>
    <w:p w14:paraId="0BDC980E" w14:textId="77777777" w:rsidR="00066D29" w:rsidRDefault="00066D29">
      <w:pPr>
        <w:pStyle w:val="Body"/>
        <w:ind w:left="540"/>
        <w:rPr>
          <w:sz w:val="28"/>
          <w:szCs w:val="28"/>
        </w:rPr>
      </w:pPr>
    </w:p>
    <w:p w14:paraId="0BDC980F" w14:textId="77777777" w:rsidR="00066D29" w:rsidRDefault="00066D29">
      <w:pPr>
        <w:pStyle w:val="Body"/>
        <w:ind w:left="540"/>
        <w:rPr>
          <w:sz w:val="28"/>
          <w:szCs w:val="28"/>
        </w:rPr>
      </w:pPr>
    </w:p>
    <w:p w14:paraId="0BDC9810" w14:textId="77777777" w:rsidR="00066D29" w:rsidRDefault="00066D29">
      <w:pPr>
        <w:pStyle w:val="Body"/>
        <w:ind w:left="540"/>
        <w:rPr>
          <w:sz w:val="28"/>
          <w:szCs w:val="28"/>
        </w:rPr>
      </w:pPr>
    </w:p>
    <w:p w14:paraId="0BDC9811" w14:textId="77777777" w:rsidR="00066D29" w:rsidRDefault="00537065">
      <w:pPr>
        <w:pStyle w:val="Body"/>
        <w:ind w:left="540"/>
        <w:rPr>
          <w:b/>
          <w:bCs/>
          <w:i/>
          <w:iCs/>
          <w:sz w:val="44"/>
          <w:szCs w:val="44"/>
        </w:rPr>
      </w:pPr>
      <w:r>
        <w:rPr>
          <w:b/>
          <w:bCs/>
          <w:i/>
          <w:iCs/>
          <w:sz w:val="44"/>
          <w:szCs w:val="44"/>
        </w:rPr>
        <w:t>Multi-Domain Intelligent Assistant with Supervisor Agent Architecture</w:t>
      </w:r>
      <w:r>
        <w:rPr>
          <w:b/>
          <w:bCs/>
          <w:i/>
          <w:iCs/>
          <w:sz w:val="44"/>
          <w:szCs w:val="44"/>
          <w:shd w:val="clear" w:color="auto" w:fill="5F5F5F"/>
        </w:rPr>
        <w:t> </w:t>
      </w:r>
    </w:p>
    <w:p w14:paraId="0BDC9812" w14:textId="77777777" w:rsidR="00066D29" w:rsidRDefault="00537065">
      <w:pPr>
        <w:pStyle w:val="Body"/>
        <w:ind w:left="540"/>
        <w:rPr>
          <w:b/>
          <w:bCs/>
          <w:i/>
          <w:iCs/>
          <w:sz w:val="32"/>
          <w:szCs w:val="32"/>
        </w:rPr>
      </w:pPr>
      <w:r>
        <w:rPr>
          <w:b/>
          <w:bCs/>
          <w:i/>
          <w:iCs/>
          <w:sz w:val="32"/>
          <w:szCs w:val="32"/>
        </w:rPr>
        <w:t>Team 3</w:t>
      </w:r>
    </w:p>
    <w:p w14:paraId="0BDC9813" w14:textId="77777777" w:rsidR="00066D29" w:rsidRDefault="00537065">
      <w:pPr>
        <w:pStyle w:val="Body"/>
        <w:ind w:left="540"/>
        <w:rPr>
          <w:i/>
          <w:iCs/>
          <w:sz w:val="28"/>
          <w:szCs w:val="28"/>
        </w:rPr>
      </w:pPr>
      <w:r>
        <w:rPr>
          <w:i/>
          <w:iCs/>
          <w:sz w:val="28"/>
          <w:szCs w:val="28"/>
        </w:rPr>
        <w:t>Rosh Sreedharan and Dhruv Chaudhry</w:t>
      </w:r>
    </w:p>
    <w:p w14:paraId="0BDC9814" w14:textId="77777777" w:rsidR="00066D29" w:rsidRDefault="00066D29">
      <w:pPr>
        <w:pStyle w:val="Body"/>
        <w:ind w:left="540"/>
        <w:rPr>
          <w:sz w:val="28"/>
          <w:szCs w:val="28"/>
        </w:rPr>
      </w:pPr>
    </w:p>
    <w:p w14:paraId="0BDC9815" w14:textId="77777777" w:rsidR="00066D29" w:rsidRDefault="00066D29">
      <w:pPr>
        <w:pStyle w:val="Body"/>
        <w:ind w:left="540"/>
        <w:rPr>
          <w:sz w:val="28"/>
          <w:szCs w:val="28"/>
        </w:rPr>
      </w:pPr>
    </w:p>
    <w:p w14:paraId="0BDC9816" w14:textId="77777777" w:rsidR="00066D29" w:rsidRDefault="00537065">
      <w:pPr>
        <w:pStyle w:val="Body"/>
        <w:ind w:left="540"/>
        <w:jc w:val="both"/>
        <w:rPr>
          <w:b/>
          <w:bCs/>
          <w:sz w:val="28"/>
          <w:szCs w:val="28"/>
        </w:rPr>
      </w:pPr>
      <w:r>
        <w:rPr>
          <w:b/>
          <w:bCs/>
          <w:sz w:val="28"/>
          <w:szCs w:val="28"/>
        </w:rPr>
        <w:t>School of Graduate Professional Studies</w:t>
      </w:r>
    </w:p>
    <w:p w14:paraId="0BDC9817" w14:textId="77777777" w:rsidR="00066D29" w:rsidRDefault="00537065">
      <w:pPr>
        <w:pStyle w:val="Body"/>
        <w:ind w:left="540"/>
        <w:jc w:val="both"/>
        <w:rPr>
          <w:sz w:val="28"/>
          <w:szCs w:val="28"/>
        </w:rPr>
      </w:pPr>
      <w:r>
        <w:rPr>
          <w:sz w:val="28"/>
          <w:szCs w:val="28"/>
        </w:rPr>
        <w:t>Data Analytics</w:t>
      </w:r>
    </w:p>
    <w:p w14:paraId="0BDC9818" w14:textId="77777777" w:rsidR="00066D29" w:rsidRDefault="00537065">
      <w:pPr>
        <w:pStyle w:val="Body"/>
        <w:ind w:left="540"/>
        <w:jc w:val="both"/>
        <w:rPr>
          <w:sz w:val="28"/>
          <w:szCs w:val="28"/>
        </w:rPr>
      </w:pPr>
      <w:r>
        <w:rPr>
          <w:sz w:val="28"/>
          <w:szCs w:val="28"/>
        </w:rPr>
        <w:t xml:space="preserve">AI 574 – Natural Language Processing </w:t>
      </w:r>
    </w:p>
    <w:p w14:paraId="0BDC9819" w14:textId="77777777" w:rsidR="00066D29" w:rsidRDefault="00537065">
      <w:pPr>
        <w:pStyle w:val="Body"/>
        <w:ind w:left="540"/>
        <w:jc w:val="both"/>
        <w:rPr>
          <w:sz w:val="28"/>
          <w:szCs w:val="28"/>
        </w:rPr>
      </w:pPr>
      <w:r>
        <w:rPr>
          <w:i/>
          <w:iCs/>
          <w:sz w:val="28"/>
          <w:szCs w:val="28"/>
        </w:rPr>
        <w:t>Spring 2026</w:t>
      </w:r>
    </w:p>
    <w:p w14:paraId="0BDC981A" w14:textId="77777777" w:rsidR="00066D29" w:rsidRDefault="00066D29">
      <w:pPr>
        <w:pStyle w:val="Body"/>
        <w:jc w:val="both"/>
        <w:sectPr w:rsidR="00066D29">
          <w:headerReference w:type="default" r:id="rId8"/>
          <w:footerReference w:type="default" r:id="rId9"/>
          <w:pgSz w:w="12240" w:h="15840"/>
          <w:pgMar w:top="1440" w:right="1440" w:bottom="1440" w:left="1440" w:header="720" w:footer="720" w:gutter="0"/>
          <w:pgNumType w:start="1"/>
          <w:cols w:num="2" w:space="720" w:equalWidth="0">
            <w:col w:w="2160" w:space="182"/>
            <w:col w:w="7018" w:space="0"/>
          </w:cols>
        </w:sectPr>
      </w:pPr>
    </w:p>
    <w:p w14:paraId="0BDC981B" w14:textId="77777777" w:rsidR="00066D29" w:rsidRDefault="00537065">
      <w:pPr>
        <w:pStyle w:val="Body"/>
        <w:rPr>
          <w:b/>
          <w:bCs/>
          <w:sz w:val="32"/>
          <w:szCs w:val="32"/>
        </w:rPr>
      </w:pPr>
      <w:r>
        <w:rPr>
          <w:b/>
          <w:bCs/>
          <w:sz w:val="32"/>
          <w:szCs w:val="32"/>
        </w:rPr>
        <w:lastRenderedPageBreak/>
        <w:t>Document Control</w:t>
      </w:r>
    </w:p>
    <w:p w14:paraId="0BDC981C" w14:textId="77777777" w:rsidR="00066D29" w:rsidRDefault="00066D29">
      <w:pPr>
        <w:pStyle w:val="Body"/>
      </w:pPr>
    </w:p>
    <w:p w14:paraId="0BDC981D" w14:textId="77777777" w:rsidR="00066D29" w:rsidRDefault="00537065">
      <w:pPr>
        <w:pStyle w:val="Body"/>
        <w:rPr>
          <w:b/>
          <w:bCs/>
          <w:sz w:val="32"/>
          <w:szCs w:val="32"/>
        </w:rPr>
      </w:pPr>
      <w:r>
        <w:rPr>
          <w:b/>
          <w:bCs/>
          <w:sz w:val="32"/>
          <w:szCs w:val="32"/>
        </w:rPr>
        <w:t>Work carried out by:</w:t>
      </w:r>
    </w:p>
    <w:tbl>
      <w:tblPr>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1947"/>
        <w:gridCol w:w="4363"/>
      </w:tblGrid>
      <w:tr w:rsidR="00066D29" w14:paraId="0BDC9821" w14:textId="77777777">
        <w:trPr>
          <w:trHeight w:val="261"/>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E" w14:textId="77777777" w:rsidR="00066D29" w:rsidRDefault="00537065">
            <w:pPr>
              <w:pStyle w:val="Body"/>
            </w:pPr>
            <w:r>
              <w:rPr>
                <w:b/>
                <w:bCs/>
              </w:rPr>
              <w:t>Name</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F" w14:textId="77777777" w:rsidR="00066D29" w:rsidRDefault="00537065">
            <w:pPr>
              <w:pStyle w:val="Body"/>
            </w:pPr>
            <w:r>
              <w:rPr>
                <w:b/>
                <w:bCs/>
              </w:rPr>
              <w:t>Email Address</w:t>
            </w:r>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0" w14:textId="77777777" w:rsidR="00066D29" w:rsidRDefault="00537065">
            <w:pPr>
              <w:pStyle w:val="Body"/>
            </w:pPr>
            <w:r>
              <w:rPr>
                <w:b/>
                <w:bCs/>
              </w:rPr>
              <w:t xml:space="preserve">Exhaustive list of Tasks </w:t>
            </w:r>
          </w:p>
        </w:tc>
      </w:tr>
      <w:tr w:rsidR="00066D29" w14:paraId="0BDC9825"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2" w14:textId="77777777" w:rsidR="00066D29" w:rsidRDefault="00537065">
            <w:r>
              <w:rPr>
                <w:rFonts w:cs="Arial Unicode MS"/>
                <w:color w:val="000000"/>
                <w:sz w:val="22"/>
                <w:szCs w:val="22"/>
                <w:u w:color="000000"/>
                <w14:textOutline w14:w="0" w14:cap="flat" w14:cmpd="sng" w14:algn="ctr">
                  <w14:noFill/>
                  <w14:prstDash w14:val="solid"/>
                  <w14:bevel/>
                </w14:textOutline>
              </w:rPr>
              <w:t>Dhruv Chaudhry</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3" w14:textId="77777777" w:rsidR="00066D29" w:rsidRDefault="00537065">
            <w:hyperlink r:id="rId10" w:history="1">
              <w:r>
                <w:rPr>
                  <w:rStyle w:val="Hyperlink0"/>
                  <w:rFonts w:cs="Arial Unicode MS"/>
                  <w:sz w:val="22"/>
                  <w:szCs w:val="22"/>
                  <w14:textOutline w14:w="0" w14:cap="flat" w14:cmpd="sng" w14:algn="ctr">
                    <w14:noFill/>
                    <w14:prstDash w14:val="solid"/>
                    <w14:bevel/>
                  </w14:textOutline>
                </w:rPr>
                <w:t>dqc5618@psu.edu</w:t>
              </w:r>
            </w:hyperlink>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4" w14:textId="77777777" w:rsidR="00066D29" w:rsidRDefault="00537065">
            <w:pPr>
              <w:pStyle w:val="Body"/>
            </w:pPr>
            <w:r>
              <w:t xml:space="preserve">Data preprocessing, indexing, demos, slides</w:t>
            </w:r>
          </w:p>
        </w:tc>
      </w:tr>
      <w:tr w:rsidR="00066D29" w14:paraId="0BDC9829"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6" w14:textId="77777777" w:rsidR="00066D29" w:rsidRDefault="00537065">
            <w:pPr>
              <w:pStyle w:val="Body"/>
            </w:pPr>
            <w:r>
              <w:t xml:space="preserve">Rosh Sreedharan</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7" w14:textId="77777777" w:rsidR="00066D29" w:rsidRDefault="00537065">
            <w:pPr>
              <w:pStyle w:val="Body"/>
            </w:pPr>
            <w:r>
              <w:t xml:space="preserve">rosh.sreedharan@gmail.com</w:t>
            </w:r>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8" w14:textId="77777777" w:rsidR="00066D29" w:rsidRDefault="00537065">
            <w:pPr>
              <w:pStyle w:val="Body"/>
            </w:pPr>
            <w:r>
              <w:t xml:space="preserve">Notebook architecture, CRAG pipeline, evaluation harness, presentation slides, project, validation of results</w:t>
            </w:r>
          </w:p>
        </w:tc>
      </w:tr>
      <w:tr w:rsidR="00066D29" w14:paraId="0BDC982D"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A" w14:textId="77777777" w:rsidR="00066D29" w:rsidRDefault="00066D29"/>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B" w14:textId="77777777" w:rsidR="00066D29" w:rsidRDefault="00066D29"/>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C" w14:textId="77777777" w:rsidR="00066D29" w:rsidRDefault="00066D29"/>
        </w:tc>
      </w:tr>
    </w:tbl>
    <w:p w14:paraId="0BDC982E" w14:textId="77777777" w:rsidR="00066D29" w:rsidRDefault="00066D29">
      <w:pPr>
        <w:pStyle w:val="Body"/>
        <w:widowControl w:val="0"/>
        <w:ind w:left="108" w:hanging="108"/>
        <w:rPr>
          <w:b/>
          <w:bCs/>
          <w:sz w:val="32"/>
          <w:szCs w:val="32"/>
        </w:rPr>
      </w:pPr>
    </w:p>
    <w:p w14:paraId="0BDC982F" w14:textId="77777777" w:rsidR="00066D29" w:rsidRDefault="00066D29">
      <w:pPr>
        <w:pStyle w:val="Heading2"/>
        <w:widowControl w:val="0"/>
      </w:pPr>
    </w:p>
    <w:p w14:paraId="0BDC9830" w14:textId="77777777" w:rsidR="00066D29" w:rsidRDefault="00066D29">
      <w:pPr>
        <w:pStyle w:val="Body"/>
      </w:pPr>
    </w:p>
    <w:p w14:paraId="0BDC9831" w14:textId="77777777" w:rsidR="00066D29" w:rsidRDefault="00537065">
      <w:pPr>
        <w:pStyle w:val="Body"/>
        <w:rPr>
          <w:b/>
          <w:bCs/>
          <w:sz w:val="32"/>
          <w:szCs w:val="32"/>
        </w:rPr>
      </w:pPr>
      <w:r>
        <w:rPr>
          <w:b/>
          <w:bCs/>
          <w:sz w:val="32"/>
          <w:szCs w:val="32"/>
        </w:rPr>
        <w:t>Revision Sheet</w:t>
      </w:r>
    </w:p>
    <w:p w14:paraId="0BDC9832" w14:textId="77777777" w:rsidR="00066D29" w:rsidRDefault="00066D29">
      <w:pPr>
        <w:pStyle w:val="Body"/>
        <w:widowControl w:val="0"/>
        <w:jc w:val="both"/>
      </w:pPr>
    </w:p>
    <w:tbl>
      <w:tblPr>
        <w:tblW w:w="9326" w:type="dxa"/>
        <w:tblInd w:w="2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16"/>
        <w:gridCol w:w="7110"/>
      </w:tblGrid>
      <w:tr w:rsidR="00066D29" w14:paraId="0BDC9835" w14:textId="77777777">
        <w:trPr>
          <w:trHeight w:val="261"/>
        </w:trPr>
        <w:tc>
          <w:tcPr>
            <w:tcW w:w="22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3" w14:textId="77777777" w:rsidR="00066D29" w:rsidRDefault="00537065">
            <w:pPr>
              <w:pStyle w:val="Body"/>
              <w:jc w:val="both"/>
            </w:pPr>
            <w:r>
              <w:rPr>
                <w:b/>
                <w:bCs/>
              </w:rPr>
              <w:t>Date</w:t>
            </w:r>
          </w:p>
        </w:tc>
        <w:tc>
          <w:tcPr>
            <w:tcW w:w="71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4" w14:textId="77777777" w:rsidR="00066D29" w:rsidRDefault="00537065">
            <w:pPr>
              <w:pStyle w:val="Body"/>
              <w:jc w:val="both"/>
            </w:pPr>
            <w:r>
              <w:rPr>
                <w:b/>
                <w:bCs/>
              </w:rPr>
              <w:t>Revision Description</w:t>
            </w:r>
          </w:p>
        </w:tc>
      </w:tr>
      <w:tr w:rsidR="00066D29" w14:paraId="0BDC9838"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6" w14:textId="77777777" w:rsidR="00066D29" w:rsidRDefault="00537065">
            <w:pPr>
              <w:pStyle w:val="Body"/>
            </w:pPr>
            <w:r>
              <w:t xml:space="preserve">2026-05-01</w:t>
            </w:r>
          </w:p>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7" w14:textId="77777777" w:rsidR="00066D29" w:rsidRDefault="00537065">
            <w:pPr>
              <w:pStyle w:val="Body"/>
            </w:pPr>
            <w:r>
              <w:t xml:space="preserve">Full report rewrite: Results updated to v2 benchmark numbers; Methodology, Discussion, Data Collection, and References expanded; placeholder template prompts removed; Document Control task split populated.</w:t>
            </w:r>
          </w:p>
        </w:tc>
      </w:tr>
      <w:tr w:rsidR="00066D29" w14:paraId="0BDC983B"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9"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A" w14:textId="77777777" w:rsidR="00066D29" w:rsidRDefault="00066D29"/>
        </w:tc>
      </w:tr>
      <w:tr w:rsidR="00066D29" w14:paraId="0BDC983E"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C"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D" w14:textId="77777777" w:rsidR="00066D29" w:rsidRDefault="00066D29"/>
        </w:tc>
      </w:tr>
      <w:tr w:rsidR="00066D29" w14:paraId="0BDC9841"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F"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0" w14:textId="77777777" w:rsidR="00066D29" w:rsidRDefault="00066D29"/>
        </w:tc>
      </w:tr>
      <w:tr w:rsidR="00066D29" w14:paraId="0BDC9844"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2"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3" w14:textId="77777777" w:rsidR="00066D29" w:rsidRDefault="00066D29"/>
        </w:tc>
      </w:tr>
      <w:tr w:rsidR="00066D29" w14:paraId="0BDC9847"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5"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6" w14:textId="77777777" w:rsidR="00066D29" w:rsidRDefault="00066D29"/>
        </w:tc>
      </w:tr>
      <w:tr w:rsidR="00066D29" w14:paraId="0BDC984A"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8"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9" w14:textId="77777777" w:rsidR="00066D29" w:rsidRDefault="00066D29"/>
        </w:tc>
      </w:tr>
    </w:tbl>
    <w:p w14:paraId="0BDC984B" w14:textId="77777777" w:rsidR="00066D29" w:rsidRDefault="00066D29">
      <w:pPr>
        <w:pStyle w:val="Body"/>
        <w:widowControl w:val="0"/>
        <w:ind w:left="116" w:hanging="116"/>
        <w:jc w:val="both"/>
      </w:pPr>
    </w:p>
    <w:p w14:paraId="0BDC984C" w14:textId="77777777" w:rsidR="00066D29" w:rsidRDefault="00066D29">
      <w:pPr>
        <w:pStyle w:val="Body"/>
        <w:widowControl w:val="0"/>
        <w:jc w:val="both"/>
      </w:pPr>
    </w:p>
    <w:p w14:paraId="0BDC984D" w14:textId="77777777" w:rsidR="00066D29" w:rsidRDefault="00066D29">
      <w:pPr>
        <w:pStyle w:val="Body"/>
        <w:jc w:val="both"/>
      </w:pPr>
    </w:p>
    <w:p w14:paraId="0BDC984E" w14:textId="77777777" w:rsidR="00066D29" w:rsidRDefault="00066D29">
      <w:pPr>
        <w:pStyle w:val="Body"/>
        <w:jc w:val="both"/>
      </w:pPr>
    </w:p>
    <w:p w14:paraId="0BDC984F" w14:textId="77777777" w:rsidR="00066D29" w:rsidRDefault="00066D29">
      <w:pPr>
        <w:pStyle w:val="Body"/>
        <w:jc w:val="both"/>
      </w:pPr>
    </w:p>
    <w:p w14:paraId="0BDC9850" w14:textId="77777777" w:rsidR="00066D29" w:rsidRDefault="00066D29">
      <w:pPr>
        <w:pStyle w:val="Body"/>
        <w:jc w:val="both"/>
        <w:sectPr w:rsidR="00066D29">
          <w:headerReference w:type="default" r:id="rId11"/>
          <w:footerReference w:type="default" r:id="rId12"/>
          <w:pgSz w:w="12240" w:h="15840"/>
          <w:pgMar w:top="1440" w:right="1440" w:bottom="1440" w:left="1440" w:header="720" w:footer="720" w:gutter="0"/>
          <w:pgNumType w:start="1"/>
          <w:cols w:space="720"/>
        </w:sectPr>
      </w:pPr>
    </w:p>
    <w:p w14:paraId="0BDC9851" w14:textId="77777777" w:rsidR="00066D29" w:rsidRDefault="00066D29">
      <w:pPr>
        <w:pStyle w:val="Body"/>
      </w:pPr>
    </w:p>
    <w:p w14:paraId="0BDC9852" w14:textId="77777777" w:rsidR="00066D29" w:rsidRDefault="00066D29">
      <w:pPr>
        <w:pStyle w:val="Body"/>
      </w:pPr>
    </w:p>
    <w:p w14:paraId="0BDC9853" w14:textId="77777777" w:rsidR="00066D29" w:rsidRDefault="00066D29">
      <w:pPr>
        <w:pStyle w:val="Body"/>
        <w:jc w:val="center"/>
        <w:rPr>
          <w:b/>
          <w:bCs/>
          <w:sz w:val="28"/>
          <w:szCs w:val="28"/>
        </w:rPr>
      </w:pPr>
    </w:p>
    <w:p w14:paraId="0BDC9854" w14:textId="77777777" w:rsidR="00066D29" w:rsidRDefault="00537065">
      <w:pPr>
        <w:pStyle w:val="Body"/>
        <w:jc w:val="center"/>
        <w:rPr>
          <w:b/>
          <w:bCs/>
          <w:sz w:val="28"/>
          <w:szCs w:val="28"/>
        </w:rPr>
      </w:pPr>
      <w:r>
        <w:rPr>
          <w:b/>
          <w:bCs/>
          <w:sz w:val="28"/>
          <w:szCs w:val="28"/>
        </w:rPr>
        <w:t>TABLE OF CONTENTS</w:t>
      </w:r>
    </w:p>
    <w:p w14:paraId="0BDC9855" w14:textId="77777777" w:rsidR="00066D29" w:rsidRDefault="00066D29">
      <w:pPr>
        <w:pStyle w:val="Body"/>
        <w:jc w:val="both"/>
        <w:rPr>
          <w:b/>
          <w:bCs/>
          <w:sz w:val="28"/>
          <w:szCs w:val="28"/>
        </w:rPr>
      </w:pPr>
    </w:p>
    <w:p w14:paraId="0BDC9856" w14:textId="77777777" w:rsidR="00066D29" w:rsidRDefault="00537065">
      <w:pPr>
        <w:pStyle w:val="ListParagraph"/>
        <w:jc w:val="both"/>
      </w:pPr>
      <w:r>
        <w:fldChar w:fldCharType="begin"/>
        <w:instrText xml:space="preserve"> TOC \o 1-2 </w:instrText>
        <w:fldChar w:fldCharType="separate"/>
      </w:r>
    </w:p>
    <w:p w14:paraId="0BDC9857" w14:textId="77777777" w:rsidR="00066D29" w:rsidRDefault="00537065">
      <w:pPr>
        <w:pStyle w:val="TOC1"/>
        <w:numPr>
          <w:ilvl w:val="0"/>
          <w:numId w:val="1"/>
        </w:numPr>
      </w:pPr>
      <w:r>
        <w:rPr>
          <w:rFonts w:eastAsia="Arial Unicode MS" w:cs="Arial Unicode MS"/>
        </w:rPr>
        <w:t>Introduction</w:t>
        <w:tab/>
      </w:r>
      <w:r>
        <w:fldChar w:fldCharType="begin"/>
        <w:instrText xml:space="preserve"> PAGEREF _Toc \h </w:instrText>
        <w:fldChar w:fldCharType="separate"/>
      </w:r>
      <w:r>
        <w:rPr>
          <w:rFonts w:eastAsia="Arial Unicode MS" w:cs="Arial Unicode MS"/>
        </w:rPr>
        <w:t>3</w:t>
      </w:r>
      <w:r>
        <w:fldChar w:fldCharType="end"/>
      </w:r>
    </w:p>
    <w:p w14:paraId="0BDC9858" w14:textId="77777777" w:rsidR="00066D29" w:rsidRDefault="00537065">
      <w:pPr>
        <w:pStyle w:val="TOC1"/>
        <w:numPr>
          <w:ilvl w:val="0"/>
          <w:numId w:val="2"/>
        </w:numPr>
      </w:pPr>
      <w:r>
        <w:rPr>
          <w:rFonts w:eastAsia="Arial Unicode MS" w:cs="Arial Unicode MS"/>
        </w:rPr>
        <w:t>Problem Statement</w:t>
        <w:tab/>
      </w:r>
      <w:r>
        <w:fldChar w:fldCharType="begin"/>
        <w:instrText xml:space="preserve"> PAGEREF _Toc1 \h </w:instrText>
        <w:fldChar w:fldCharType="separate"/>
      </w:r>
      <w:r>
        <w:rPr>
          <w:rFonts w:eastAsia="Arial Unicode MS" w:cs="Arial Unicode MS"/>
        </w:rPr>
        <w:t>3</w:t>
      </w:r>
      <w:r>
        <w:fldChar w:fldCharType="end"/>
      </w:r>
    </w:p>
    <w:p w14:paraId="0BDC9859" w14:textId="77777777" w:rsidR="00066D29" w:rsidRDefault="00537065">
      <w:pPr>
        <w:pStyle w:val="TOC1"/>
        <w:numPr>
          <w:ilvl w:val="0"/>
          <w:numId w:val="3"/>
        </w:numPr>
      </w:pPr>
      <w:r>
        <w:rPr>
          <w:rFonts w:eastAsia="Arial Unicode MS" w:cs="Arial Unicode MS"/>
        </w:rPr>
        <w:t>Challenges</w:t>
        <w:tab/>
      </w:r>
      <w:r>
        <w:fldChar w:fldCharType="begin"/>
        <w:instrText xml:space="preserve"> PAGEREF _Toc2 \h </w:instrText>
        <w:fldChar w:fldCharType="separate"/>
      </w:r>
      <w:r>
        <w:rPr>
          <w:rFonts w:eastAsia="Arial Unicode MS" w:cs="Arial Unicode MS"/>
        </w:rPr>
        <w:t>3</w:t>
      </w:r>
      <w:r>
        <w:fldChar w:fldCharType="end"/>
      </w:r>
    </w:p>
    <w:p w14:paraId="0BDC985A" w14:textId="77777777" w:rsidR="00066D29" w:rsidRDefault="00537065">
      <w:pPr>
        <w:pStyle w:val="TOC2"/>
        <w:numPr>
          <w:ilvl w:val="1"/>
          <w:numId w:val="1"/>
        </w:numPr>
      </w:pPr>
      <w:r>
        <w:rPr>
          <w:rFonts w:eastAsia="Arial Unicode MS" w:cs="Arial Unicode MS"/>
        </w:rPr>
        <w:t>RELATED WORKS</w:t>
        <w:tab/>
      </w:r>
      <w:r>
        <w:fldChar w:fldCharType="begin"/>
        <w:instrText xml:space="preserve"> PAGEREF _Toc3 \h </w:instrText>
        <w:fldChar w:fldCharType="separate"/>
      </w:r>
      <w:r>
        <w:rPr>
          <w:rFonts w:eastAsia="Arial Unicode MS" w:cs="Arial Unicode MS"/>
        </w:rPr>
        <w:t>3</w:t>
      </w:r>
      <w:r>
        <w:fldChar w:fldCharType="end"/>
      </w:r>
    </w:p>
    <w:p w14:paraId="0BDC985B" w14:textId="77777777" w:rsidR="00066D29" w:rsidRDefault="00537065">
      <w:pPr>
        <w:pStyle w:val="TOC2"/>
        <w:numPr>
          <w:ilvl w:val="1"/>
          <w:numId w:val="4"/>
        </w:numPr>
      </w:pPr>
      <w:r>
        <w:rPr>
          <w:rFonts w:eastAsia="Arial Unicode MS" w:cs="Arial Unicode MS"/>
        </w:rPr>
        <w:t>IMPORTANCE AND IMPACTS</w:t>
        <w:tab/>
      </w:r>
      <w:r>
        <w:fldChar w:fldCharType="begin"/>
        <w:instrText xml:space="preserve"> PAGEREF _Toc4 \h </w:instrText>
        <w:fldChar w:fldCharType="separate"/>
      </w:r>
      <w:r>
        <w:rPr>
          <w:rFonts w:eastAsia="Arial Unicode MS" w:cs="Arial Unicode MS"/>
        </w:rPr>
        <w:t>4</w:t>
      </w:r>
      <w:r>
        <w:fldChar w:fldCharType="end"/>
      </w:r>
    </w:p>
    <w:p w14:paraId="0BDC985C" w14:textId="77777777" w:rsidR="00066D29" w:rsidRDefault="00537065">
      <w:pPr>
        <w:pStyle w:val="TOC1"/>
        <w:numPr>
          <w:ilvl w:val="0"/>
          <w:numId w:val="5"/>
        </w:numPr>
      </w:pPr>
      <w:r>
        <w:rPr>
          <w:rFonts w:eastAsia="Arial Unicode MS" w:cs="Arial Unicode MS"/>
        </w:rPr>
        <w:t>Data Collection</w:t>
        <w:tab/>
      </w:r>
      <w:r>
        <w:fldChar w:fldCharType="begin"/>
        <w:instrText xml:space="preserve"> PAGEREF _Toc5 \h </w:instrText>
        <w:fldChar w:fldCharType="separate"/>
      </w:r>
      <w:r>
        <w:rPr>
          <w:rFonts w:eastAsia="Arial Unicode MS" w:cs="Arial Unicode MS"/>
        </w:rPr>
        <w:t>5</w:t>
      </w:r>
      <w:r>
        <w:fldChar w:fldCharType="end"/>
      </w:r>
    </w:p>
    <w:p w14:paraId="0BDC985D" w14:textId="77777777" w:rsidR="00066D29" w:rsidRDefault="00537065">
      <w:pPr>
        <w:pStyle w:val="TOC1"/>
        <w:numPr>
          <w:ilvl w:val="0"/>
          <w:numId w:val="6"/>
        </w:numPr>
      </w:pPr>
      <w:r>
        <w:rPr>
          <w:rFonts w:eastAsia="Arial Unicode MS" w:cs="Arial Unicode MS"/>
        </w:rPr>
        <w:t>Data Preprocessing</w:t>
        <w:tab/>
      </w:r>
      <w:r>
        <w:fldChar w:fldCharType="begin"/>
        <w:instrText xml:space="preserve"> PAGEREF _Toc6 \h </w:instrText>
        <w:fldChar w:fldCharType="separate"/>
      </w:r>
      <w:r>
        <w:rPr>
          <w:rFonts w:eastAsia="Arial Unicode MS" w:cs="Arial Unicode MS"/>
        </w:rPr>
        <w:t>6</w:t>
      </w:r>
      <w:r>
        <w:fldChar w:fldCharType="end"/>
      </w:r>
    </w:p>
    <w:p w14:paraId="0BDC985E" w14:textId="77777777" w:rsidR="00066D29" w:rsidRDefault="00537065">
      <w:pPr>
        <w:pStyle w:val="TOC1"/>
        <w:numPr>
          <w:ilvl w:val="0"/>
          <w:numId w:val="7"/>
        </w:numPr>
      </w:pPr>
      <w:r>
        <w:rPr>
          <w:rFonts w:eastAsia="Arial Unicode MS" w:cs="Arial Unicode MS"/>
        </w:rPr>
        <w:t>Methodology</w:t>
        <w:tab/>
      </w:r>
      <w:r>
        <w:fldChar w:fldCharType="begin"/>
        <w:instrText xml:space="preserve"> PAGEREF _Toc7 \h </w:instrText>
        <w:fldChar w:fldCharType="separate"/>
      </w:r>
      <w:r>
        <w:rPr>
          <w:rFonts w:eastAsia="Arial Unicode MS" w:cs="Arial Unicode MS"/>
        </w:rPr>
        <w:t>8</w:t>
      </w:r>
      <w:r>
        <w:fldChar w:fldCharType="end"/>
      </w:r>
    </w:p>
    <w:p w14:paraId="0BDC985F" w14:textId="77777777" w:rsidR="00066D29" w:rsidRDefault="00537065">
      <w:pPr>
        <w:pStyle w:val="TOC1"/>
        <w:numPr>
          <w:ilvl w:val="0"/>
          <w:numId w:val="8"/>
        </w:numPr>
      </w:pPr>
      <w:r>
        <w:rPr>
          <w:rFonts w:eastAsia="Arial Unicode MS" w:cs="Arial Unicode MS"/>
        </w:rPr>
        <w:t>Results and Interpretation</w:t>
        <w:tab/>
      </w:r>
      <w:r>
        <w:fldChar w:fldCharType="begin"/>
        <w:instrText xml:space="preserve"> PAGEREF _Toc8 \h </w:instrText>
        <w:fldChar w:fldCharType="separate"/>
      </w:r>
      <w:r>
        <w:rPr>
          <w:rFonts w:eastAsia="Arial Unicode MS" w:cs="Arial Unicode MS"/>
        </w:rPr>
        <w:t>9</w:t>
      </w:r>
      <w:r>
        <w:fldChar w:fldCharType="end"/>
      </w:r>
    </w:p>
    <w:p w14:paraId="0BDC9860" w14:textId="77777777" w:rsidR="00066D29" w:rsidRDefault="00537065">
      <w:pPr>
        <w:pStyle w:val="TOC1"/>
        <w:numPr>
          <w:ilvl w:val="0"/>
          <w:numId w:val="9"/>
        </w:numPr>
      </w:pPr>
      <w:r>
        <w:rPr>
          <w:rFonts w:eastAsia="Arial Unicode MS" w:cs="Arial Unicode MS"/>
        </w:rPr>
        <w:t>Discussion of Results</w:t>
        <w:tab/>
      </w:r>
      <w:r>
        <w:fldChar w:fldCharType="begin"/>
        <w:instrText xml:space="preserve"> PAGEREF _Toc9 \h </w:instrText>
        <w:fldChar w:fldCharType="separate"/>
      </w:r>
      <w:r>
        <w:rPr>
          <w:rFonts w:eastAsia="Arial Unicode MS" w:cs="Arial Unicode MS"/>
        </w:rPr>
        <w:t>10</w:t>
      </w:r>
      <w:r>
        <w:fldChar w:fldCharType="end"/>
      </w:r>
    </w:p>
    <w:p w14:paraId="0BDC9861" w14:textId="77777777" w:rsidR="00066D29" w:rsidRDefault="00537065">
      <w:pPr>
        <w:pStyle w:val="TOC1"/>
        <w:numPr>
          <w:ilvl w:val="0"/>
          <w:numId w:val="10"/>
        </w:numPr>
      </w:pPr>
      <w:r>
        <w:rPr>
          <w:rFonts w:eastAsia="Arial Unicode MS" w:cs="Arial Unicode MS"/>
        </w:rPr>
        <w:t>Your Feedback</w:t>
        <w:tab/>
      </w:r>
      <w:r>
        <w:fldChar w:fldCharType="begin"/>
        <w:instrText xml:space="preserve"> PAGEREF _Toc10 \h </w:instrText>
        <w:fldChar w:fldCharType="separate"/>
      </w:r>
      <w:r>
        <w:rPr>
          <w:rFonts w:eastAsia="Arial Unicode MS" w:cs="Arial Unicode MS"/>
        </w:rPr>
        <w:t>10</w:t>
      </w:r>
      <w:r>
        <w:fldChar w:fldCharType="end"/>
      </w:r>
    </w:p>
    <w:p w14:paraId="0BDC9862" w14:textId="77777777" w:rsidR="00066D29" w:rsidRDefault="00537065">
      <w:pPr>
        <w:pStyle w:val="TOC1"/>
        <w:numPr>
          <w:ilvl w:val="0"/>
          <w:numId w:val="11"/>
        </w:numPr>
      </w:pPr>
      <w:r>
        <w:rPr>
          <w:rFonts w:eastAsia="Arial Unicode MS" w:cs="Arial Unicode MS"/>
        </w:rPr>
        <w:t>References</w:t>
        <w:tab/>
      </w:r>
      <w:r>
        <w:fldChar w:fldCharType="begin"/>
        <w:instrText xml:space="preserve"> PAGEREF _Toc11 \h </w:instrText>
        <w:fldChar w:fldCharType="separate"/>
      </w:r>
      <w:r>
        <w:rPr>
          <w:rFonts w:eastAsia="Arial Unicode MS" w:cs="Arial Unicode MS"/>
        </w:rPr>
        <w:t>10</w:t>
      </w:r>
      <w:r>
        <w:fldChar w:fldCharType="end"/>
      </w:r>
    </w:p>
    <w:p w14:paraId="0BDC9863" w14:textId="77777777" w:rsidR="00066D29" w:rsidRDefault="00537065">
      <w:pPr>
        <w:jc w:val="both"/>
        <w:rPr>
          <w:b/>
          <w:bCs/>
          <w:sz w:val="28"/>
          <w:szCs w:val="28"/>
        </w:rPr>
      </w:pPr>
      <w:r>
        <w:fldChar w:fldCharType="end"/>
      </w:r>
    </w:p>
    <w:p w14:paraId="0BDC9864" w14:textId="77777777" w:rsidR="00066D29" w:rsidRDefault="00537065">
      <w:pPr>
        <w:pStyle w:val="Body"/>
        <w:spacing w:after="200" w:line="276" w:lineRule="auto"/>
      </w:pPr>
      <w:r>
        <w:rPr>
          <w:rFonts w:ascii="Arial Unicode MS" w:hAnsi="Arial Unicode MS"/>
          <w:sz w:val="28"/>
          <w:szCs w:val="28"/>
        </w:rPr>
        <w:br w:type="page"/>
      </w:r>
    </w:p>
    <w:p w14:paraId="0BDC9865" w14:textId="77777777" w:rsidR="00066D29" w:rsidRDefault="00066D29">
      <w:pPr>
        <w:pStyle w:val="ListParagraph"/>
        <w:jc w:val="both"/>
        <w:rPr>
          <w:b/>
          <w:bCs/>
          <w:sz w:val="28"/>
          <w:szCs w:val="28"/>
        </w:rPr>
      </w:pPr>
    </w:p>
    <w:p w14:paraId="0BDC9866" w14:textId="77777777" w:rsidR="00066D29" w:rsidRDefault="00537065">
      <w:pPr>
        <w:pStyle w:val="Heading"/>
        <w:numPr>
          <w:ilvl w:val="0"/>
          <w:numId w:val="13"/>
        </w:numPr>
      </w:pPr>
      <w:bookmarkStart w:id="0" w:name="_Toc"/>
      <w:r>
        <w:rPr>
          <w:rFonts w:eastAsia="Arial Unicode MS" w:cs="Arial Unicode MS"/>
          <w:lang w:val="fr-FR"/>
        </w:rPr>
        <w:t>Introduction</w:t>
      </w:r>
      <w:bookmarkEnd w:id="0"/>
    </w:p>
    <w:p>
      <w:pPr>
        <w:pStyle w:val="Body"/>
      </w:pPr>
      <w:r>
        <w:t xml:space="preserve">Natural language processing systems have evolved from simple question-answering tools into assistants capable of multi-step retrieval and decision-making. Traditional Retrieval-Augmented Generation (RAG) systems still rely on one model and one shared knowledge base, which limits performance when queries span domains with different vocabularies and safety requirements — a query like “temperature problem” is plausibly industrial, culinary, or scientific. This project introduces a multi-domain assistant in which a supervisor agent routes each query to a specialist (industrial, recipe, or scientific) running a Corrective RAG (CRAG) pipeline that grades its retrieved documents, rewrites weak queries, and validates the final answer against its sources. On a 150-query benchmark it achieves 100% routing accuracy and reduces user-visible hallucination from 19.3% (monolithic baseline) to 4.7% — roughly a 4× reduction.</w:t>
      </w:r>
    </w:p>
    <w:p>
      <w:pPr>
        <w:pStyle w:val="Body"/>
      </w:pPr>
    </w:p>
    <w:p w14:paraId="0BDC9868" w14:textId="77777777" w:rsidR="00066D29" w:rsidRDefault="00537065">
      <w:pPr>
        <w:pStyle w:val="Heading"/>
        <w:numPr>
          <w:ilvl w:val="0"/>
          <w:numId w:val="16"/>
        </w:numPr>
      </w:pPr>
      <w:bookmarkStart w:id="1" w:name="_Toc1"/>
      <w:r>
        <w:rPr>
          <w:rFonts w:eastAsia="Arial Unicode MS" w:cs="Arial Unicode MS"/>
        </w:rPr>
        <w:t>Problem Statement</w:t>
      </w:r>
      <w:bookmarkEnd w:id="1"/>
    </w:p>
    <w:p>
      <w:pPr>
        <w:pStyle w:val="Body"/>
      </w:pPr>
      <w:r>
        <w:t xml:space="preserve">Standard RAG systems use a single retrieval pipeline for all queries, which degrades performance when those queries span diverse domains: retrieval pulls in irrelevant chunks, context is weakly grounded, and the final output is unreliable. Given a free-form user question, the system must (1) infer the intended domain or ask for clarification, (2) retrieve relevant evidence from the correct knowledge base, (3) produce an answer that stays consistent with the retrieved sources, and (4) surface diagnostics — confidence, timing, source attribution — suitable for debugging and safe use, especially in the industrial domain. The research question is whether a supervisor-based multi-agent RAG system can outperform a monolithic RAG system on routing accuracy, retrieval quality, hallucination rate, and task completion.</w:t>
      </w:r>
    </w:p>
    <w:p>
      <w:pPr>
        <w:pStyle w:val="Body"/>
      </w:pPr>
    </w:p>
    <w:p w14:paraId="0BDC986B" w14:textId="77777777" w:rsidR="00066D29" w:rsidRDefault="00537065">
      <w:pPr>
        <w:pStyle w:val="Heading"/>
        <w:numPr>
          <w:ilvl w:val="0"/>
          <w:numId w:val="17"/>
        </w:numPr>
      </w:pPr>
      <w:bookmarkStart w:id="2" w:name="_Toc2"/>
      <w:r>
        <w:rPr>
          <w:rFonts w:eastAsia="Arial Unicode MS" w:cs="Arial Unicode MS"/>
          <w:lang w:val="nl-NL"/>
        </w:rPr>
        <w:t>Challenges</w:t>
      </w:r>
      <w:bookmarkEnd w:id="2"/>
    </w:p>
    <w:p>
      <w:pPr>
        <w:pStyle w:val="ListParagraph"/>
        <w:numPr>
          <w:ilvl w:val="0"/>
          <w:numId w:val="29"/>
        </w:numPr>
        <w:jc w:val="both"/>
      </w:pPr>
      <w:r>
        <w:rPr>
          <w:b/>
          <w:bCs/>
        </w:rPr>
        <w:t xml:space="preserve">Cross-domain contamination. </w:t>
      </w:r>
      <w:r>
        <w:t xml:space="preserve">A shared knowledge base mixes vocabularies — “temperature” can hit cooking, electrical, and scientific chunks at once — so the retriever needs domain-scoped collections to stay precise.</w:t>
      </w:r>
    </w:p>
    <w:p>
      <w:pPr>
        <w:pStyle w:val="ListParagraph"/>
        <w:numPr>
          <w:ilvl w:val="0"/>
          <w:numId w:val="29"/>
        </w:numPr>
        <w:jc w:val="both"/>
      </w:pPr>
      <w:r>
        <w:rPr>
          <w:b/>
          <w:bCs/>
        </w:rPr>
        <w:t xml:space="preserve">Ambiguous and multi-domain queries. </w:t>
      </w:r>
      <w:r>
        <w:t xml:space="preserve">Some questions genuinely span domains; the system needs a clarify or synthesis path rather than forcing them through one specialist.</w:t>
      </w:r>
    </w:p>
    <w:p>
      <w:pPr>
        <w:pStyle w:val="ListParagraph"/>
        <w:numPr>
          <w:ilvl w:val="0"/>
          <w:numId w:val="29"/>
        </w:numPr>
        <w:jc w:val="both"/>
      </w:pPr>
      <w:r>
        <w:rPr>
          <w:b/>
          <w:bCs/>
        </w:rPr>
        <w:t xml:space="preserve">Domain-specific terminology. </w:t>
      </w:r>
      <w:r>
        <w:t xml:space="preserve">Fault codes (e.g., F004), recipe units, and ArXiv identifiers do not look like natural language and stress generic embeddings.</w:t>
      </w:r>
    </w:p>
    <w:p>
      <w:pPr>
        <w:pStyle w:val="ListParagraph"/>
        <w:numPr>
          <w:ilvl w:val="0"/>
          <w:numId w:val="29"/>
        </w:numPr>
        <w:jc w:val="both"/>
      </w:pPr>
      <w:r>
        <w:rPr>
          <w:b/>
          <w:bCs/>
        </w:rPr>
        <w:t xml:space="preserve">Weak retrieval quality. </w:t>
      </w:r>
      <w:r>
        <w:t xml:space="preserve">Even well-routed queries can return low-relevance chunks, motivating an explicit grading and rewrite step rather than trusting the first top-k.</w:t>
      </w:r>
    </w:p>
    <w:p>
      <w:pPr>
        <w:pStyle w:val="ListParagraph"/>
        <w:numPr>
          <w:ilvl w:val="0"/>
          <w:numId w:val="29"/>
        </w:numPr>
        <w:jc w:val="both"/>
      </w:pPr>
      <w:r>
        <w:rPr>
          <w:b/>
          <w:bCs/>
        </w:rPr>
        <w:t xml:space="preserve">Hallucination risk. </w:t>
      </w:r>
      <w:r>
        <w:t xml:space="preserve">Without a post-generation grounding check, RAG outputs can extrapolate plausible-but-unsourced details — measured at 19.3% in the monolithic baseline (§7).</w:t>
      </w:r>
    </w:p>
    <w:p>
      <w:pPr>
        <w:pStyle w:val="ListParagraph"/>
        <w:numPr>
          <w:ilvl w:val="0"/>
          <w:numId w:val="29"/>
        </w:numPr>
        <w:jc w:val="both"/>
      </w:pPr>
      <w:r>
        <w:rPr>
          <w:b/>
          <w:bCs/>
        </w:rPr>
        <w:t xml:space="preserve">Latency cost of correction. </w:t>
      </w:r>
      <w:r>
        <w:t xml:space="preserve">Grading, rewriting, and validating multiply LLM calls; the multi-agent pipeline runs ~4.5× slower than the monolithic baseline (27 s vs 6 s mean) — a tax that has to be justified by the safety gain.</w:t>
      </w:r>
    </w:p>
    <w:p>
      <w:pPr>
        <w:pStyle w:val="ListParagraph"/>
        <w:numPr>
          <w:ilvl w:val="0"/>
          <w:numId w:val="29"/>
        </w:numPr>
        <w:jc w:val="both"/>
      </w:pPr>
      <w:r>
        <w:rPr>
          <w:b/>
          <w:bCs/>
        </w:rPr>
        <w:t xml:space="preserve">Evaluation at scale. </w:t>
      </w:r>
      <w:r>
        <w:t xml:space="preserve">Judging RAG outputs requires either expensive human grading or an LLM judge with known length and self-preference biases — neither is clean.</w:t>
      </w:r>
    </w:p>
    <w:p>
      <w:pPr>
        <w:pStyle w:val="Body"/>
      </w:pPr>
    </w:p>
    <w:p w14:paraId="0BDC9875" w14:textId="77777777" w:rsidR="00066D29" w:rsidRDefault="00537065">
      <w:pPr>
        <w:pStyle w:val="Heading2"/>
        <w:numPr>
          <w:ilvl w:val="1"/>
          <w:numId w:val="13"/>
        </w:numPr>
      </w:pPr>
      <w:bookmarkStart w:id="3" w:name="_Toc3"/>
      <w:r>
        <w:rPr>
          <w:rFonts w:eastAsia="Arial Unicode MS" w:cs="Arial Unicode MS"/>
        </w:rPr>
        <w:t>RELATED WORKS</w:t>
      </w:r>
      <w:bookmarkEnd w:id="3"/>
    </w:p>
    <w:p>
      <w:pPr>
        <w:pStyle w:val="Body"/>
      </w:pPr>
      <w:r>
        <w:rPr>
          <w:b/>
          <w:bCs/>
        </w:rPr>
        <w:t xml:space="preserve">Retrieval-Augmented Generation (RAG). </w:t>
      </w:r>
      <w:r>
        <w:t xml:space="preserve">Lewis et al. (2020) introduced the canonical retrieve-then-generate pattern but provided no mechanism to verify that retrieved passages are actually relevant.</w:t>
      </w:r>
    </w:p>
    <w:p>
      <w:pPr>
        <w:pStyle w:val="Body"/>
      </w:pPr>
      <w:r>
        <w:rPr>
          <w:b/>
          <w:bCs/>
        </w:rPr>
        <w:t xml:space="preserve">Corrective RAG (CRAG). </w:t>
      </w:r>
      <w:r>
        <w:t xml:space="preserve">Yan et al. (2024) add a retrieval grader that triggers query rewriting and re-retrieval when relevance is weak — improving robustness without retraining the generator. Our system inherits this loop and adds an explicit post-generation grounding check.</w:t>
      </w:r>
    </w:p>
    <w:p>
      <w:pPr>
        <w:pStyle w:val="Body"/>
      </w:pPr>
      <w:r>
        <w:rPr>
          <w:b/>
          <w:bCs/>
        </w:rPr>
        <w:t xml:space="preserve">Self-RAG. </w:t>
      </w:r>
      <w:r>
        <w:t xml:space="preserve">Asai et al. (2023) train the model to critique its own outputs using reflection tokens, but require fine-tuning a custom critic — incompatible with a hosted-LLM deployment.</w:t>
      </w:r>
    </w:p>
    <w:p>
      <w:pPr>
        <w:pStyle w:val="Body"/>
      </w:pPr>
      <w:r>
        <w:rPr>
          <w:b/>
          <w:bCs/>
        </w:rPr>
        <w:t xml:space="preserve">Multi-agent systems. </w:t>
      </w:r>
      <w:r>
        <w:t xml:space="preserve">AutoGen (Wu et al., 2023) and HuggingGPT (Shen et al., 2023) coordinate LLM agents over heterogeneous tools and APIs; their focus is task orchestration rather than domain separation across structurally similar retrieval pipelines.</w:t>
      </w:r>
    </w:p>
    <w:p>
      <w:pPr>
        <w:pStyle w:val="Body"/>
      </w:pPr>
      <w:r>
        <w:rPr>
          <w:b/>
          <w:bCs/>
        </w:rPr>
        <w:t xml:space="preserve">Gap addressed. </w:t>
      </w:r>
      <w:r>
        <w:t xml:space="preserve">No prior system combines (a) supervisor-based routing across multiple domains, (b) domain-isolated vector collections to prevent cross-domain contamination, and (c) Corrective RAG with a post-generation grounding validator inside each specialist. This project integrates the three and reports a like-for-like quantitative comparison against a pooled-collection RAG baseline.</w:t>
      </w:r>
    </w:p>
    <w:p>
      <w:pPr>
        <w:pStyle w:val="Body"/>
      </w:pPr>
    </w:p>
    <w:p w14:paraId="0BDC988B" w14:textId="77777777" w:rsidR="00066D29" w:rsidRDefault="00537065">
      <w:pPr>
        <w:pStyle w:val="Heading2"/>
        <w:numPr>
          <w:ilvl w:val="1"/>
          <w:numId w:val="23"/>
        </w:numPr>
      </w:pPr>
      <w:bookmarkStart w:id="4" w:name="_Toc4"/>
      <w:r>
        <w:rPr>
          <w:rFonts w:eastAsia="Arial Unicode MS" w:cs="Arial Unicode MS"/>
        </w:rPr>
        <w:t>IMPORTANCE AND IMPACTS</w:t>
      </w:r>
      <w:bookmarkEnd w:id="4"/>
    </w:p>
    <w:p>
      <w:pPr>
        <w:pStyle w:val="Body"/>
      </w:pPr>
      <w:r>
        <w:t xml:space="preserve">The core value of a RAG-based assistant is its ability to answer from trusted, citable documentation rather than from the model's parametric memory alone — a property that matters most where unsupported claims have real consequences (industrial maintenance, dietary information, scientific summaries). The ~4× reduction in unblocked hallucination demonstrated in §7 (4.7% vs 19.3%) is a concrete realization of that value: the validator keeps roughly nine of every ten flagged-but-fabricated claims from reaching the user.</w:t>
      </w:r>
    </w:p>
    <w:p>
      <w:pPr>
        <w:pStyle w:val="Body"/>
      </w:pPr>
      <w:r>
        <w:t xml:space="preserve">The project carries three impacts:</w:t>
      </w:r>
    </w:p>
    <w:p>
      <w:pPr>
        <w:pStyle w:val="ListParagraph"/>
        <w:numPr>
          <w:ilvl w:val="0"/>
          <w:numId w:val="29"/>
        </w:numPr>
        <w:jc w:val="both"/>
      </w:pPr>
      <w:r>
        <w:rPr>
          <w:b/>
          <w:bCs/>
        </w:rPr>
        <w:t xml:space="preserve">Technical: </w:t>
      </w:r>
      <w:r>
        <w:t xml:space="preserve">architecture-level changes (supervisor routing, domain-isolated collections, post-generation grounding) deliver measurable safety gains without fine-tuning the LLM, making the approach portable across hosted-model deployments.</w:t>
      </w:r>
    </w:p>
    <w:p>
      <w:pPr>
        <w:pStyle w:val="ListParagraph"/>
        <w:numPr>
          <w:ilvl w:val="0"/>
          <w:numId w:val="29"/>
        </w:numPr>
        <w:jc w:val="both"/>
      </w:pPr>
      <w:r>
        <w:rPr>
          <w:b/>
          <w:bCs/>
        </w:rPr>
        <w:t xml:space="preserve">Business: </w:t>
      </w:r>
      <w:r>
        <w:t xml:space="preserve">the same routing-plus-validation pattern applies to enterprise assistants where wrong answers carry liability — customer support, internal knowledge bases, regulated-industry copilots — and lets organizations swap models without rebuilding the pipeline.</w:t>
      </w:r>
    </w:p>
    <w:p>
      <w:pPr>
        <w:pStyle w:val="ListParagraph"/>
        <w:numPr>
          <w:ilvl w:val="0"/>
          <w:numId w:val="29"/>
        </w:numPr>
        <w:jc w:val="both"/>
      </w:pPr>
      <w:r>
        <w:rPr>
          <w:b/>
          <w:bCs/>
        </w:rPr>
        <w:t xml:space="preserve">Social: </w:t>
      </w:r>
      <w:r>
        <w:t xml:space="preserve">by surfacing source attribution and blocking unsupported claims, the system makes AI-generated answers easier to audit and less likely to be trusted blindly — the right direction for assistants used in high-stakes settings.</w:t>
      </w:r>
    </w:p>
    <w:p>
      <w:pPr>
        <w:pStyle w:val="Body"/>
      </w:pPr>
    </w:p>
    <w:p w14:paraId="0BDC98A2" w14:textId="77777777" w:rsidR="00066D29" w:rsidRDefault="00537065">
      <w:pPr>
        <w:pStyle w:val="Heading"/>
        <w:numPr>
          <w:ilvl w:val="0"/>
          <w:numId w:val="25"/>
        </w:numPr>
      </w:pPr>
      <w:bookmarkStart w:id="5" w:name="_Toc5"/>
      <w:r>
        <w:rPr>
          <w:rFonts w:eastAsia="Arial Unicode MS" w:cs="Arial Unicode MS"/>
          <w:lang w:val="fr-FR"/>
        </w:rPr>
        <w:t>Data Collection</w:t>
      </w:r>
      <w:bookmarkEnd w:id="5"/>
    </w:p>
    <w:p>
      <w:pPr>
        <w:pStyle w:val="Body"/>
      </w:pPr>
      <w:r>
        <w:t xml:space="preserve">Three corpora were assembled to back the three domain specialists; each is indexed into its own ChromaDB collection to keep retrieval domain-scoped.</w:t>
      </w:r>
    </w:p>
    <w:p>
      <w:pPr>
        <w:pStyle w:val="ListParagraph"/>
        <w:numPr>
          <w:ilvl w:val="0"/>
          <w:numId w:val="29"/>
        </w:numPr>
        <w:jc w:val="both"/>
      </w:pPr>
      <w:r>
        <w:rPr>
          <w:b/>
          <w:bCs/>
        </w:rPr>
        <w:t xml:space="preserve">Industrial — 6,150 chunks. </w:t>
      </w:r>
      <w:r>
        <w:t xml:space="preserve">Rockwell Automation product manuals (PowerFlex 525/755 drives, CompactLogix controllers, PanelView terminals) plus the 750-series troubleshooting guide. Each PDF is split into ~500-token chunks with page-level provenance retained for citation; metadata: source, page.</w:t>
      </w:r>
    </w:p>
    <w:p>
      <w:pPr>
        <w:pStyle w:val="ListParagraph"/>
        <w:numPr>
          <w:ilvl w:val="0"/>
          <w:numId w:val="29"/>
        </w:numPr>
        <w:jc w:val="both"/>
      </w:pPr>
      <w:r>
        <w:rPr>
          <w:b/>
          <w:bCs/>
        </w:rPr>
        <w:t xml:space="preserve">Recipe — 231,311 chunks. </w:t>
      </w:r>
      <w:r>
        <w:t xml:space="preserve">Food.com / RecipeNLG via Kaggle (shuyangli94/food-com-recipes-and-user-interactions); each recipe becomes one chunk. Metadata: name, minutes_bucket (quick / medium / long), is_vegetarian, is_quick, review_count, avg_rating, and a popularity tier — all queryable via Chroma where filters at retrieval time.</w:t>
      </w:r>
    </w:p>
    <w:p>
      <w:pPr>
        <w:pStyle w:val="ListParagraph"/>
        <w:numPr>
          <w:ilvl w:val="0"/>
          <w:numId w:val="29"/>
        </w:numPr>
        <w:jc w:val="both"/>
      </w:pPr>
      <w:r>
        <w:rPr>
          <w:b/>
          <w:bCs/>
        </w:rPr>
        <w:t xml:space="preserve">Scientific — 686,968 chunks. </w:t>
      </w:r>
      <w:r>
        <w:t xml:space="preserve">Cornell-University/arxiv Kaggle dump filtered to cs.* papers from 2020 onward; each paper's title, abstract, authors, and category metadata becomes one chunk. The ScientificAgent additionally backfills against the live ArXiv API for queries the local index misses. Metadata: primary_category, year, month, authors_short, is_nlp, has_doi.</w:t>
      </w:r>
    </w:p>
    <w:p>
      <w:pPr>
        <w:pStyle w:val="Body"/>
      </w:pPr>
      <w:r>
        <w:t xml:space="preserve">In total the system indexes ~924,000 documents across the three collections, all embedded with the thenlper/gte-large sentence transformer so the three collections share a single semantic space.</w:t>
      </w:r>
    </w:p>
    <w:p>
      <w:pPr>
        <w:pStyle w:val="Body"/>
      </w:pPr>
    </w:p>
    <w:p w14:paraId="0BDC98D3" w14:textId="77777777" w:rsidR="00066D29" w:rsidRDefault="00537065">
      <w:pPr>
        <w:pStyle w:val="Heading"/>
        <w:numPr>
          <w:ilvl w:val="0"/>
          <w:numId w:val="30"/>
        </w:numPr>
      </w:pPr>
      <w:bookmarkStart w:id="6" w:name="_Toc6"/>
      <w:r>
        <w:rPr>
          <w:rFonts w:eastAsia="Arial Unicode MS" w:cs="Arial Unicode MS"/>
        </w:rPr>
        <w:t>Data Preprocessing</w:t>
      </w:r>
      <w:bookmarkEnd w:id="6"/>
    </w:p>
    <w:p>
      <w:pPr>
        <w:pStyle w:val="Body"/>
      </w:pPr>
      <w:r>
        <w:t xml:space="preserve">Each corpus required different preprocessing, but the resulting indexed records share a common shape: one chunk per record, plain-text body, structured metadata, and a 1024-dimensional gte-large embedding.</w:t>
      </w:r>
    </w:p>
    <w:p>
      <w:pPr>
        <w:pStyle w:val="ListParagraph"/>
        <w:numPr>
          <w:ilvl w:val="0"/>
          <w:numId w:val="29"/>
        </w:numPr>
        <w:jc w:val="both"/>
      </w:pPr>
      <w:r>
        <w:rPr>
          <w:b/>
          <w:bCs/>
        </w:rPr>
        <w:t xml:space="preserve">Industrial. </w:t>
      </w:r>
      <w:r>
        <w:t xml:space="preserve">PDFs are loaded via DocumentLoader, split into ~500-token chunks (with overlap) by ChunkingPipeline, and tagged with source and page for citation. Manual model-number prefixes (e.g., 750-TG101) are preserved verbatim — exact matches matter for fault-code lookup.</w:t>
      </w:r>
    </w:p>
    <w:p>
      <w:pPr>
        <w:pStyle w:val="ListParagraph"/>
        <w:numPr>
          <w:ilvl w:val="0"/>
          <w:numId w:val="29"/>
        </w:numPr>
        <w:jc w:val="both"/>
      </w:pPr>
      <w:r>
        <w:rPr>
          <w:b/>
          <w:bCs/>
        </w:rPr>
        <w:t xml:space="preserve">Recipe. </w:t>
      </w:r>
      <w:r>
        <w:t xml:space="preserve">RAW_recipes.csv and RAW_interactions.csv (Food.com) are joined to attach review counts and average ratings to each recipe. Free-text tag strings are parsed into binary flags (is_vegetarian, is_quick); cooking times are bucketed (quick ≤ 30 min, medium 31–90 min, long &gt; 90 min); a popularity field is derived from interaction counts.</w:t>
      </w:r>
    </w:p>
    <w:p>
      <w:pPr>
        <w:pStyle w:val="ListParagraph"/>
        <w:numPr>
          <w:ilvl w:val="0"/>
          <w:numId w:val="29"/>
        </w:numPr>
        <w:jc w:val="both"/>
      </w:pPr>
      <w:r>
        <w:rPr>
          <w:b/>
          <w:bCs/>
        </w:rPr>
        <w:t xml:space="preserve">Scientific. </w:t>
      </w:r>
      <w:r>
        <w:t xml:space="preserve">The Cornell ArXiv NDJSON dump is filtered to cs.* categories from 2020 onward, then each paper's title and abstract are concatenated into one chunk. Author lists are truncated to a short form for previews; DOIs and ArXiv IDs are preserved as metadata so generated answers can cite them without the LLM having to fabricate identifiers.</w:t>
      </w:r>
    </w:p>
    <w:p>
      <w:pPr>
        <w:pStyle w:val="Body"/>
      </w:pPr>
      <w:r>
        <w:t xml:space="preserve">Common normalization is applied across all three corpora: text is lowercased for embedding, special characters are stripped, and exact duplicates are removed before embedding. Re-runs use skip_existing=True so unchanged records are not re-embedded — incremental indexing finishes in seconds rather than hours.</w:t>
      </w:r>
    </w:p>
    <w:p>
      <w:pPr>
        <w:pStyle w:val="Body"/>
      </w:pPr>
      <w:r>
        <w:t xml:space="preserve">In addition to these one-time steps, CRAG's grade-and-rewrite loop functions as a query-time augmentation: weak retrievals trigger an automatic query rewrite and retry, effectively expanding the recall of the static index.</w:t>
      </w:r>
    </w:p>
    <w:p>
      <w:pPr>
        <w:pStyle w:val="Body"/>
      </w:pPr>
    </w:p>
    <w:p w14:paraId="0BDC993D" w14:textId="77777777" w:rsidR="00066D29" w:rsidRDefault="00537065">
      <w:pPr>
        <w:pStyle w:val="Heading"/>
        <w:numPr>
          <w:ilvl w:val="0"/>
          <w:numId w:val="31"/>
        </w:numPr>
      </w:pPr>
      <w:bookmarkStart w:id="7" w:name="_Toc7"/>
      <w:r>
        <w:rPr>
          <w:rFonts w:eastAsia="Arial Unicode MS" w:cs="Arial Unicode MS"/>
        </w:rPr>
        <w:t>Methodology</w:t>
      </w:r>
      <w:bookmarkEnd w:id="7"/>
    </w:p>
    <w:p>
      <w:pPr>
        <w:pStyle w:val="Body"/>
      </w:pPr>
      <w:r>
        <w:t xml:space="preserve">The system is a supervisor-based multi-agent RAG architecture in which each domain specialist runs a Corrective RAG (CRAG) pipeline. A single query flows through six stages:</w:t>
      </w:r>
    </w:p>
    <w:p>
      <w:pPr>
        <w:pStyle w:val="ListParagraph"/>
        <w:numPr>
          <w:ilvl w:val="0"/>
          <w:numId w:val="29"/>
        </w:numPr>
        <w:jc w:val="both"/>
      </w:pPr>
      <w:r>
        <w:rPr>
          <w:b/>
          <w:bCs/>
        </w:rPr>
        <w:t xml:space="preserve">1. Routing. </w:t>
      </w:r>
      <w:r>
        <w:t xml:space="preserve">A hybrid lexical pre-classifier handles obvious cases (e.g., “PowerFlex 525” → industrial); ambiguous queries fall through to an LLM supervisor that picks among industrial, recipe, scientific, clarify, synthesis, or fallback.</w:t>
      </w:r>
    </w:p>
    <w:p>
      <w:pPr>
        <w:pStyle w:val="ListParagraph"/>
        <w:numPr>
          <w:ilvl w:val="0"/>
          <w:numId w:val="29"/>
        </w:numPr>
        <w:jc w:val="both"/>
      </w:pPr>
      <w:r>
        <w:rPr>
          <w:b/>
          <w:bCs/>
        </w:rPr>
        <w:t xml:space="preserve">2. Domain retrieval. </w:t>
      </w:r>
      <w:r>
        <w:t xml:space="preserve">The chosen specialist queries its ChromaDB collection by top-k semantic similarity over gte-large embeddings, optionally with metadata filters.</w:t>
      </w:r>
    </w:p>
    <w:p>
      <w:pPr>
        <w:pStyle w:val="ListParagraph"/>
        <w:numPr>
          <w:ilvl w:val="0"/>
          <w:numId w:val="29"/>
        </w:numPr>
        <w:jc w:val="both"/>
      </w:pPr>
      <w:r>
        <w:rPr>
          <w:b/>
          <w:bCs/>
        </w:rPr>
        <w:t xml:space="preserve">3. Document grading. </w:t>
      </w:r>
      <w:r>
        <w:t xml:space="preserve">The LLM grades each retrieved chunk for relevance.</w:t>
      </w:r>
    </w:p>
    <w:p>
      <w:pPr>
        <w:pStyle w:val="ListParagraph"/>
        <w:numPr>
          <w:ilvl w:val="0"/>
          <w:numId w:val="29"/>
        </w:numPr>
        <w:jc w:val="both"/>
      </w:pPr>
      <w:r>
        <w:rPr>
          <w:b/>
          <w:bCs/>
        </w:rPr>
        <w:t xml:space="preserve">4. Query rewrite and retry. </w:t>
      </w:r>
      <w:r>
        <w:t xml:space="preserve">If grades fall below threshold, the LLM rewrites the query (paraphrase, acronym expansion, domain hints) and retrieval re-runs.</w:t>
      </w:r>
    </w:p>
    <w:p>
      <w:pPr>
        <w:pStyle w:val="ListParagraph"/>
        <w:numPr>
          <w:ilvl w:val="0"/>
          <w:numId w:val="29"/>
        </w:numPr>
        <w:jc w:val="both"/>
      </w:pPr>
      <w:r>
        <w:rPr>
          <w:b/>
          <w:bCs/>
        </w:rPr>
        <w:t xml:space="preserve">5. Grounded generation. </w:t>
      </w:r>
      <w:r>
        <w:t xml:space="preserve">The LLM answers conditioned only on the surviving chunks, with per-source attribution.</w:t>
      </w:r>
    </w:p>
    <w:p>
      <w:pPr>
        <w:pStyle w:val="ListParagraph"/>
        <w:numPr>
          <w:ilvl w:val="0"/>
          <w:numId w:val="29"/>
        </w:numPr>
        <w:jc w:val="both"/>
      </w:pPr>
      <w:r>
        <w:rPr>
          <w:b/>
          <w:bCs/>
        </w:rPr>
        <w:t xml:space="preserve">6. Hallucination validation. </w:t>
      </w:r>
      <w:r>
        <w:t xml:space="preserve">A second LLM pass cross-checks the answer against its cited sources; unsupported claims escalate or block the response.</w:t>
      </w:r>
    </w:p>
    <w:p>
      <w:pPr>
        <w:pStyle w:val="Body"/>
      </w:pPr>
      <w:r>
        <w:t xml:space="preserve">The workflow is implemented as a LangGraph state machine so routing decisions, intermediate states, and per-stage timings remain inspectable.</w:t>
      </w:r>
    </w:p>
    <w:p>
      <w:pPr>
        <w:pStyle w:val="Body"/>
        <w:rPr>
          <w:b/>
          <w:bCs/>
        </w:rPr>
      </w:pPr>
      <w:r>
        <w:rPr>
          <w:b/>
          <w:bCs/>
        </w:rPr>
        <w:t xml:space="preserve">Models and justification.</w:t>
      </w:r>
    </w:p>
    <w:p>
      <w:pPr>
        <w:pStyle w:val="Body"/>
      </w:pPr>
      <w:r>
        <w:t xml:space="preserve">All components are transformer-based (no RNNs or CNNs — these are text-only tasks where transformers dominate).</w:t>
      </w:r>
    </w:p>
    <w:p>
      <w:pPr>
        <w:pStyle w:val="ListParagraph"/>
        <w:numPr>
          <w:ilvl w:val="0"/>
          <w:numId w:val="29"/>
        </w:numPr>
        <w:jc w:val="both"/>
      </w:pPr>
      <w:r>
        <w:rPr>
          <w:b/>
          <w:bCs/>
        </w:rPr>
        <w:t xml:space="preserve">LLM: </w:t>
      </w:r>
      <w:r>
        <w:t xml:space="preserve">hosted Gemini Flash (with Gemma 3 as offline fallback). One model handles routing, grading, rewriting, generation, and validation; chosen for strong instruction-following and low hosted-inference latency.</w:t>
      </w:r>
    </w:p>
    <w:p>
      <w:pPr>
        <w:pStyle w:val="ListParagraph"/>
        <w:numPr>
          <w:ilvl w:val="0"/>
          <w:numId w:val="29"/>
        </w:numPr>
        <w:jc w:val="both"/>
      </w:pPr>
      <w:r>
        <w:rPr>
          <w:b/>
          <w:bCs/>
        </w:rPr>
        <w:t xml:space="preserve">Embeddings: </w:t>
      </w:r>
      <w:r>
        <w:t xml:space="preserve">thenlper/gte-large (1024-dim sentence transformer). Chosen for top MTEB scores at tractable cost; using one model across all corpora yields a single semantic space.</w:t>
      </w:r>
    </w:p>
    <w:p>
      <w:pPr>
        <w:pStyle w:val="ListParagraph"/>
        <w:numPr>
          <w:ilvl w:val="0"/>
          <w:numId w:val="29"/>
        </w:numPr>
        <w:jc w:val="both"/>
      </w:pPr>
      <w:r>
        <w:rPr>
          <w:b/>
          <w:bCs/>
        </w:rPr>
        <w:t xml:space="preserve">Vector store: </w:t>
      </w:r>
      <w:r>
        <w:t xml:space="preserve">ChromaDB. Chosen for zero-ops persistence and flexible metadata filtering (where clauses) that the recipe and scientific specialists rely on.</w:t>
      </w:r>
    </w:p>
    <w:p>
      <w:pPr>
        <w:pStyle w:val="ListParagraph"/>
        <w:numPr>
          <w:ilvl w:val="0"/>
          <w:numId w:val="29"/>
        </w:numPr>
        <w:jc w:val="both"/>
      </w:pPr>
      <w:r>
        <w:rPr>
          <w:b/>
          <w:bCs/>
        </w:rPr>
        <w:t xml:space="preserve">Orchestration: </w:t>
      </w:r>
      <w:r>
        <w:t xml:space="preserve">LangGraph state machine; Python end-to-end.</w:t>
      </w:r>
    </w:p>
    <w:p>
      <w:pPr>
        <w:pStyle w:val="Body"/>
        <w:rPr>
          <w:b/>
          <w:bCs/>
        </w:rPr>
      </w:pPr>
      <w:r>
        <w:rPr>
          <w:b/>
          <w:bCs/>
        </w:rPr>
        <w:t xml:space="preserve">Training regime.</w:t>
      </w:r>
    </w:p>
    <w:p>
      <w:pPr>
        <w:pStyle w:val="Body"/>
      </w:pPr>
      <w:r>
        <w:t xml:space="preserve">No fine-tuning was performed. Cost functions, activation functions, and weight initialization are inherited from the pretrained checkpoints (cross-entropy + softmax for the LLM; contrastive InfoNCE for gte-large). All quality engineering was done through prompt design and the CRAG control flow.</w:t>
      </w:r>
    </w:p>
    <w:p>
      <w:pPr>
        <w:pStyle w:val="Body"/>
        <w:rPr>
          <w:b/>
          <w:bCs/>
        </w:rPr>
      </w:pPr>
      <w:r>
        <w:rPr>
          <w:b/>
          <w:bCs/>
        </w:rPr>
        <w:t xml:space="preserve">Validation strategy.</w:t>
      </w:r>
    </w:p>
    <w:p>
      <w:pPr>
        <w:pStyle w:val="Body"/>
      </w:pPr>
      <w:r>
        <w:t xml:space="preserve">Pretrained-only, no transfer learning, evaluated on a 150-query hold-out set (50 per domain) with five metrics: routing accuracy, retrieval P@5, raw and unblocked hallucination rates, task completion, and mean per-query latency. Cross-validation was rejected because the LLM-judge labels are too noisy at per-fold granularity for the resulting numbers to remain interpretable.</w:t>
      </w:r>
    </w:p>
    <w:p>
      <w:pPr>
        <w:pStyle w:val="Body"/>
        <w:rPr>
          <w:b/>
          <w:bCs/>
        </w:rPr>
      </w:pPr>
      <w:r>
        <w:rPr>
          <w:b/>
          <w:bCs/>
        </w:rPr>
        <w:t xml:space="preserve">Comparison to traditional ML.</w:t>
      </w:r>
    </w:p>
    <w:p>
      <w:pPr>
        <w:pStyle w:val="Body"/>
      </w:pPr>
      <w:r>
        <w:t xml:space="preserve">A traditional approach would need labeled training data per domain, hand-crafted features, and three separately trained classifiers. The LLM-based approach gets the same behavior from prompts at inference time and serves three structurally different corpora without any retraining; the trade-off is per-query latency and dependence on a hosted LLM provider.</w:t>
      </w:r>
    </w:p>
    <w:p>
      <w:pPr>
        <w:pStyle w:val="Body"/>
        <w:rPr>
          <w:b/>
          <w:bCs/>
        </w:rPr>
      </w:pPr>
      <w:r>
        <w:rPr>
          <w:b/>
          <w:bCs/>
        </w:rPr>
        <w:t xml:space="preserve">Advantages and limitations.</w:t>
      </w:r>
    </w:p>
    <w:p>
      <w:pPr>
        <w:pStyle w:val="Body"/>
      </w:pPr>
      <w:r>
        <w:t xml:space="preserve">Advantages: modular (adding a fourth domain requires a new collection, a prompt, and a routing rule — no retraining) and introspectable (every routing decision and stage timing is logged via LangGraph). Limitations: every query is assumed to map to one of the three predefined domains (out-of-scope queries hit web fallback); latency is dominated by sequential LLM calls (the cost of the safety property); and the LLM judge used in §7 is from the same family as the system-under-test, so some self-preference bias is expected.</w:t>
      </w:r>
    </w:p>
    <w:p>
      <w:pPr>
        <w:pStyle w:val="Body"/>
      </w:pPr>
    </w:p>
    <w:p w14:paraId="0BDC996C" w14:textId="77777777" w:rsidR="00066D29" w:rsidRDefault="00537065">
      <w:pPr>
        <w:pStyle w:val="Heading"/>
        <w:numPr>
          <w:ilvl w:val="0"/>
          <w:numId w:val="35"/>
        </w:numPr>
      </w:pPr>
      <w:bookmarkStart w:id="8" w:name="_Toc8"/>
      <w:r>
        <w:rPr>
          <w:rFonts w:eastAsia="Arial Unicode MS" w:cs="Arial Unicode MS"/>
        </w:rPr>
        <w:t xml:space="preserve">Results and Interpretation </w:t>
      </w:r>
      <w:bookmarkEnd w:id="8"/>
    </w:p>
    <w:p>
      <w:pPr>
        <w:pStyle w:val="Body"/>
      </w:pPr>
      <w:r>
        <w:t xml:space="preserve">The 150-query benchmark (50 per domain) compares multi_agent_crag against monolithic_rag (a pooled-collection baseline). Numbers come from the notebook's formal_eval_summary.</w:t>
      </w:r>
    </w:p>
    <w:p>
      <w:pPr>
        <w:pStyle w:val="Body"/>
        <w:rPr>
          <w:b/>
          <w:bCs/>
        </w:rPr>
      </w:pPr>
      <w:r>
        <w:rPr>
          <w:b/>
          <w:bCs/>
        </w:rPr>
        <w:t xml:space="preserve">Aggregate results (n = 150).</w:t>
      </w:r>
    </w:p>
    <w:tbl>
      <w:tblPr>
        <w:tblW w:w="86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00"/>
        <w:gridCol w:w="1100"/>
        <w:gridCol w:w="900"/>
        <w:gridCol w:w="1200"/>
        <w:gridCol w:w="1200"/>
        <w:gridCol w:w="1200"/>
        <w:gridCol w:w="1100"/>
      </w:tblGrid>
      <w:tr>
        <w:tc>
          <w:tcPr>
            <w:tcW w:w="19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System</w:t>
            </w:r>
          </w:p>
        </w:tc>
        <w:tc>
          <w:tcPr>
            <w:tcW w:w="11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Route Acc</w:t>
            </w:r>
          </w:p>
        </w:tc>
        <w:tc>
          <w:tcPr>
            <w:tcW w:w="9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P@5</w:t>
            </w:r>
          </w:p>
        </w:tc>
        <w:tc>
          <w:tcPr>
            <w:tcW w:w="12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Raw Halluc.</w:t>
            </w:r>
          </w:p>
        </w:tc>
        <w:tc>
          <w:tcPr>
            <w:tcW w:w="12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Unblocked</w:t>
            </w:r>
          </w:p>
        </w:tc>
        <w:tc>
          <w:tcPr>
            <w:tcW w:w="12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Task Done</w:t>
            </w:r>
          </w:p>
        </w:tc>
        <w:tc>
          <w:tcPr>
            <w:tcW w:w="1100" w:type="dxa"/>
            <w:tcBorders>
              <w:top w:val="single" w:sz="6" w:space="0" w:color="808080"/>
              <w:left w:val="single" w:sz="6" w:space="0" w:color="808080"/>
              <w:bottom w:val="single" w:sz="6" w:space="0" w:color="808080"/>
              <w:right w:val="single" w:sz="6" w:space="0" w:color="808080"/>
            </w:tcBorders>
            <w:shd w:val="clear" w:color="auto" w:fill="D5E8F0"/>
            <w:tcMar>
              <w:top w:w="80" w:type="dxa"/>
              <w:left w:w="120" w:type="dxa"/>
              <w:bottom w:w="80" w:type="dxa"/>
              <w:right w:w="120" w:type="dxa"/>
            </w:tcMar>
          </w:tcPr>
          <w:p>
            <w:pPr>
              <w:pStyle w:val="Body"/>
              <w:rPr>
                <w:sz w:val="20"/>
                <w:szCs w:val="20"/>
              </w:rPr>
            </w:pPr>
            <w:r>
              <w:rPr>
                <w:b/>
                <w:bCs/>
                <w:sz w:val="20"/>
                <w:szCs w:val="20"/>
              </w:rPr>
              <w:t xml:space="preserve">Latency</w:t>
            </w:r>
          </w:p>
        </w:tc>
      </w:tr>
      <w:tr>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multi_agent_crag</w:t>
            </w:r>
          </w:p>
        </w:tc>
        <w:tc>
          <w:tcPr>
            <w:tcW w:w="1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100.0%</w:t>
            </w:r>
          </w:p>
        </w:tc>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100.0%</w:t>
            </w:r>
          </w:p>
        </w:tc>
        <w:tc>
          <w:tcPr>
            <w:tcW w:w="1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45.3%</w:t>
            </w:r>
          </w:p>
        </w:tc>
        <w:tc>
          <w:tcPr>
            <w:tcW w:w="1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4.7%</w:t>
            </w:r>
          </w:p>
        </w:tc>
        <w:tc>
          <w:tcPr>
            <w:tcW w:w="1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96.7%</w:t>
            </w:r>
          </w:p>
        </w:tc>
        <w:tc>
          <w:tcPr>
            <w:tcW w:w="1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27.08 s</w:t>
            </w:r>
          </w:p>
        </w:tc>
      </w:tr>
      <w:tr>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monolithic_rag</w:t>
            </w:r>
          </w:p>
        </w:tc>
        <w:tc>
          <w:tcPr>
            <w:tcW w:w="1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n/a</w:t>
            </w:r>
          </w:p>
        </w:tc>
        <w:tc>
          <w:tcPr>
            <w:tcW w:w="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98.3%</w:t>
            </w:r>
          </w:p>
        </w:tc>
        <w:tc>
          <w:tcPr>
            <w:tcW w:w="1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19.3%</w:t>
            </w:r>
          </w:p>
        </w:tc>
        <w:tc>
          <w:tcPr>
            <w:tcW w:w="1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19.3%</w:t>
            </w:r>
          </w:p>
        </w:tc>
        <w:tc>
          <w:tcPr>
            <w:tcW w:w="1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96.7%</w:t>
            </w:r>
          </w:p>
        </w:tc>
        <w:tc>
          <w:tcPr>
            <w:tcW w:w="1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pPr>
              <w:pStyle w:val="Body"/>
              <w:rPr>
                <w:sz w:val="20"/>
                <w:szCs w:val="20"/>
              </w:rPr>
            </w:pPr>
            <w:r>
              <w:rPr>
                <w:sz w:val="20"/>
                <w:szCs w:val="20"/>
              </w:rPr>
              <w:t xml:space="preserve">5.95 s</w:t>
            </w:r>
          </w:p>
        </w:tc>
      </w:tr>
    </w:tbl>
    <w:p>
      <w:pPr>
        <w:pStyle w:val="Body"/>
      </w:pPr>
    </w:p>
    <w:p>
      <w:pPr>
        <w:pStyle w:val="Body"/>
      </w:pPr>
      <w:r>
        <w:t xml:space="preserve">The headline finding: the post-generation grounding validator catches ~90% of unsupported claims (45.3% → 4.7%), reducing user-visible hallucination ~4× versus the baseline. The cost is ~4.5× higher per-query latency (27.08 s vs 5.95 s) from the additional grade / rewrite / validate LLM calls. Task completion is tied at 96.7%, so the safety gain does not reduce coverage.</w:t>
      </w:r>
    </w:p>
    <w:p>
      <w:pPr>
        <w:pStyle w:val="Body"/>
      </w:pPr>
      <w:r>
        <w:rPr>
          <w:b/>
          <w:bCs/>
        </w:rPr>
        <w:t xml:space="preserve">Per-domain pattern. </w:t>
      </w:r>
      <w:r>
        <w:t xml:space="preserve">The latency tax is uneven (4.4× industrial, 4.1× recipe, 5.0× scientific); the scientific path is slowest because the ArXiv backfill agent issues additional metadata lookups when local retrieval misses. Industrial is the only domain where retrieval quality differs by system: monolithic loses ~5 points of P@5 (94.8% vs 100%) because pooled retrieval pulls in non-industrial chunks under industrial keywords. Both systems lose 5 of 50 industrial queries on task completion, suggesting an industrial-corpus gap rather than a system failure.</w:t>
      </w:r>
    </w:p>
    <w:p>
      <w:pPr>
        <w:pStyle w:val="Body"/>
      </w:pPr>
      <w:r>
        <w:rPr>
          <w:b/>
          <w:bCs/>
        </w:rPr>
        <w:t xml:space="preserve">Interpreting the metrics. </w:t>
      </w:r>
      <w:r>
        <w:t xml:space="preserve">Routing is a classification task; route accuracy (100%) is a confusion-matrix diagonal with zero off-diagonal mass on this query set. P@5 is near-perfect for both systems, so retrieval is not the bottleneck. Raw and unblocked hallucination differ only for CRAG since monolithic has no validator. Task completion counts whether any answer was produced, not whether it was correct.</w:t>
      </w:r>
    </w:p>
    <w:p>
      <w:pPr>
        <w:pStyle w:val="Body"/>
      </w:pPr>
      <w:r>
        <w:rPr>
          <w:b/>
          <w:bCs/>
        </w:rPr>
        <w:t xml:space="preserve">Note on classical concepts. </w:t>
      </w:r>
      <w:r>
        <w:t xml:space="preserve">Because the system is inference-only with no fine-tuning, training/validation loss curves, ROC, and bias–variance trade-off do not apply. Both systems share the same pretrained weights, so measured differences are attributable to architectural changes (routing + per-domain collections + CRAG validation). Visualizations from notebook §21.8 should be inserted as Figure 1 (aggregate metrics), Figure 2 (per-domain latency), and Figure 3 (hallucination breakdown).</w:t>
      </w:r>
    </w:p>
    <w:p>
      <w:pPr>
        <w:pStyle w:val="Body"/>
      </w:pPr>
    </w:p>
    <w:p w14:paraId="0BDC9978" w14:textId="77777777" w:rsidR="00066D29" w:rsidRDefault="00537065">
      <w:pPr>
        <w:pStyle w:val="Heading"/>
        <w:numPr>
          <w:ilvl w:val="0"/>
          <w:numId w:val="39"/>
        </w:numPr>
      </w:pPr>
      <w:bookmarkStart w:id="9" w:name="_Toc9"/>
      <w:r>
        <w:rPr>
          <w:rFonts w:eastAsia="Arial Unicode MS" w:cs="Arial Unicode MS"/>
        </w:rPr>
        <w:t>Discussion of Results</w:t>
      </w:r>
      <w:bookmarkEnd w:id="9"/>
    </w:p>
    <w:p>
      <w:pPr>
        <w:pStyle w:val="Body"/>
      </w:pPr>
      <w:r>
        <w:t xml:space="preserve">The §2 research question is answered affirmatively: the multi-agent CRAG system outperforms the monolithic baseline on safety (4.7% vs 19.3% unblocked hallucination) while tying on coverage (96.7% task completion). The safety gain comes almost entirely from the validator — raw generations flag at 45.3%, but ~9 of every 10 unsupported claims are caught before reaching the user — at a cost of ~4.5× higher latency.</w:t>
      </w:r>
    </w:p>
    <w:p>
      <w:pPr>
        <w:pStyle w:val="Body"/>
      </w:pPr>
      <w:r>
        <w:rPr>
          <w:b/>
          <w:bCs/>
        </w:rPr>
        <w:t xml:space="preserve">Practical implications. </w:t>
      </w:r>
      <w:r>
        <w:t xml:space="preserve">The pattern is most useful where unsupported claims carry real cost (industrial maintenance, dietary information, scientific summaries, enterprise customer support over internal knowledge bases) and ports without retraining the LLM, lowering the operational barrier in regulated industries.</w:t>
      </w:r>
    </w:p>
    <w:p>
      <w:pPr>
        <w:pStyle w:val="Body"/>
      </w:pPr>
      <w:r>
        <w:rPr>
          <w:b/>
          <w:bCs/>
        </w:rPr>
        <w:t xml:space="preserve">Optional learned router/grader (notebook §21.5). </w:t>
      </w:r>
      <w:r>
        <w:t xml:space="preserve">Routing and grading were distilled into small classifiers — a DistilBERT 5-class router and a MiniLM cross-encoder grader, both trained on silver labels from the LLM components they replace. Latency drops sharply: routing 1,089 ms → 19 ms (~56×), grading 1,483 ms → 7 ms (~205×); held-out accuracy stays competitive (router F1 = 1.000, grader F1 = 0.882). Two caveats: silver labels mean the router's apparent superiority over the LLM is faithful distillation, not human-ground-truth quality; and these models are not enabled in the §7 headline numbers.</w:t>
      </w:r>
    </w:p>
    <w:p>
      <w:pPr>
        <w:pStyle w:val="Body"/>
      </w:pPr>
      <w:r>
        <w:rPr>
          <w:b/>
          <w:bCs/>
        </w:rPr>
        <w:t xml:space="preserve">Limitations. </w:t>
      </w:r>
      <w:r>
        <w:t xml:space="preserve">The eval set is deliberately easy (single-domain queries), so the 100% routing headline reads as “easy cases work,” not “routing is solved” — ambiguous queries are demonstrated qualitatively in notebook §12.5 but not measured at scale. Labels come from one LLM judge in the same family as the system under test (self-preference bias expected); per-domain n = 50 gives ~±11 pt CIs on hallucination rates near 20%. The router is the only classifier and is not stress-tested on ambiguous inputs.</w:t>
      </w:r>
    </w:p>
    <w:p>
      <w:pPr>
        <w:pStyle w:val="Body"/>
      </w:pPr>
      <w:r>
        <w:rPr>
          <w:b/>
          <w:bCs/>
        </w:rPr>
        <w:t xml:space="preserve">Future work. </w:t>
      </w:r>
      <w:r>
        <w:t xml:space="preserve">Four next steps: (1) add an ambiguous-query tranche with adjudicated gold labels; (2) run a human spot-check against the LLM judge to bound bias; (3) cache ArXiv backfills and tighten rewrite-retry limits to cut scientific-domain latency; (4) promote the §21.5 learned models into the production path with a small human-labeled tranche to escape the silver-label ceiling.</w:t>
      </w:r>
    </w:p>
    <w:p>
      <w:pPr>
        <w:pStyle w:val="Body"/>
      </w:pPr>
    </w:p>
    <w:p w14:paraId="0BDC997F" w14:textId="77777777" w:rsidR="00066D29" w:rsidRDefault="00537065">
      <w:pPr>
        <w:pStyle w:val="Heading"/>
        <w:numPr>
          <w:ilvl w:val="0"/>
          <w:numId w:val="42"/>
        </w:numPr>
      </w:pPr>
      <w:bookmarkStart w:id="10" w:name="_Toc10"/>
      <w:r>
        <w:rPr>
          <w:rFonts w:eastAsia="Arial Unicode MS" w:cs="Arial Unicode MS"/>
        </w:rPr>
        <w:t>Your Feedback</w:t>
      </w:r>
      <w:bookmarkEnd w:id="10"/>
    </w:p>
    <w:p>
      <w:pPr>
        <w:pStyle w:val="Body"/>
      </w:pPr>
      <w:r>
        <w:t xml:space="preserve">The structured deliverable cadence (framing, methodology, evaluation harness, write-up) made it straightforward to keep the codebase, notebook, and report aligned, and the freedom to choose the application domain made the project feel like a genuine reference architecture rather than an exercise. One useful addition would be a shared cross-team evaluation harness — same query set, same LLM judge — so different teams' RAG variants could be compared on common ground. A natural follow-on would be extending the supervisor pattern from single-turn retrieval into full agentic workflows — multi-step planning, tool use beyond retrieval, and persistent state across turns — so the same specialists could draft a work order, plan a week of meals, or assemble a literature review rather than only answering one question at a time.</w:t>
      </w:r>
    </w:p>
    <w:p>
      <w:pPr>
        <w:pStyle w:val="Body"/>
      </w:pPr>
    </w:p>
    <w:p w14:paraId="0BDC9984" w14:textId="77777777" w:rsidR="00066D29" w:rsidRDefault="00537065">
      <w:pPr>
        <w:pStyle w:val="Heading"/>
        <w:numPr>
          <w:ilvl w:val="0"/>
          <w:numId w:val="44"/>
        </w:numPr>
      </w:pPr>
      <w:bookmarkStart w:id="11" w:name="_Toc11"/>
      <w:r>
        <w:rPr>
          <w:rFonts w:eastAsia="Arial Unicode MS" w:cs="Arial Unicode MS"/>
          <w:lang w:val="fr-FR"/>
        </w:rPr>
        <w:t>References</w:t>
      </w:r>
      <w:bookmarkEnd w:id="11"/>
    </w:p>
    <w:p>
      <w:pPr>
        <w:pStyle w:val="Body"/>
        <w:rPr>
          <w:b/>
          <w:bCs/>
        </w:rPr>
      </w:pPr>
      <w:r>
        <w:rPr>
          <w:b/>
          <w:bCs/>
        </w:rPr>
        <w:t xml:space="preserve">Papers and publications.</w:t>
      </w:r>
    </w:p>
    <w:p>
      <w:pPr>
        <w:pStyle w:val="Body"/>
      </w:pPr>
      <w:r>
        <w:t xml:space="preserve">Asai, A., Wu, Z., Wang, Y., Sil, A., &amp; Hajishirzi, H. (2023). Self-RAG: Learning to Retrieve, Generate, and Critique Through Self-Reflection. arXiv:2310.11511. https://arxiv.org/abs/2310.11511</w:t>
      </w:r>
    </w:p>
    <w:p>
      <w:pPr>
        <w:pStyle w:val="Body"/>
      </w:pPr>
      <w:r>
        <w:t xml:space="preserve">Lewis, P., Perez, E., Piktus, A., Petroni, F., Karpukhin, V., Goyal, N., Küttler, H., Lewis, M., Yih, W., Rocktäschel, T., Riedel, S., &amp; Kiela, D. (2020). Retrieval-Augmented Generation for Knowledge-Intensive NLP Tasks. NeurIPS 2020. https://arxiv.org/abs/2005.11401</w:t>
      </w:r>
    </w:p>
    <w:p>
      <w:pPr>
        <w:pStyle w:val="Body"/>
      </w:pPr>
      <w:r>
        <w:t xml:space="preserve">Li, Z., Zhang, X., Zhang, Y., Long, D., Xie, P., &amp; Zhang, M. (2023). Towards General Text Embeddings with Multi-stage Contrastive Learning (GTE). arXiv:2308.03281. https://arxiv.org/abs/2308.03281</w:t>
      </w:r>
    </w:p>
    <w:p>
      <w:pPr>
        <w:pStyle w:val="Body"/>
      </w:pPr>
      <w:r>
        <w:t xml:space="preserve">Shen, Y., Song, K., Tan, X., Li, D., Lu, W., &amp; Zhuang, Y. (2023). HuggingGPT: Solving AI Tasks with ChatGPT and its Friends in Hugging Face. NeurIPS 2023. https://arxiv.org/abs/2303.17580</w:t>
      </w:r>
    </w:p>
    <w:p>
      <w:pPr>
        <w:pStyle w:val="Body"/>
      </w:pPr>
      <w:r>
        <w:t xml:space="preserve">Wu, Q., Bansal, G., Zhang, J., Wu, Y., Zhang, S., Zhu, E., Li, B., Jiang, L., Zhang, X., &amp; Wang, C. (2023). AutoGen: Enabling Next-Gen LLM Applications via Multi-Agent Conversation. arXiv:2308.08155. https://arxiv.org/abs/2308.08155</w:t>
      </w:r>
    </w:p>
    <w:p>
      <w:pPr>
        <w:pStyle w:val="Body"/>
      </w:pPr>
      <w:r>
        <w:t xml:space="preserve">Yan, S., Gu, J., Zhu, Y., &amp; Ling, Z. (2024). Corrective Retrieval Augmented Generation. arXiv:2401.15884. https://arxiv.org/abs/2401.15884</w:t>
      </w:r>
    </w:p>
    <w:p>
      <w:pPr>
        <w:pStyle w:val="Body"/>
        <w:rPr>
          <w:b/>
          <w:bCs/>
        </w:rPr>
      </w:pPr>
      <w:r>
        <w:rPr>
          <w:b/>
          <w:bCs/>
        </w:rPr>
        <w:t xml:space="preserve">Datasets.</w:t>
      </w:r>
    </w:p>
    <w:p>
      <w:pPr>
        <w:pStyle w:val="Body"/>
      </w:pPr>
      <w:r>
        <w:t xml:space="preserve">Cornell University. (n.d.). arXiv Dataset (Kaggle, Cornell-University/arxiv). https://www.kaggle.com/datasets/Cornell-University/arxiv (accessed April 2026)</w:t>
      </w:r>
    </w:p>
    <w:p>
      <w:pPr>
        <w:pStyle w:val="Body"/>
      </w:pPr>
      <w:r>
        <w:t xml:space="preserve">Food.com. (n.d.). Recipes and User Interactions Dataset (Kaggle, shuyangli94/food-com-recipes-and-user-interactions). https://www.kaggle.com/datasets/shuyangli94/food-com-recipes-and-user-interactions (accessed April 2026)</w:t>
      </w:r>
    </w:p>
    <w:p>
      <w:pPr>
        <w:pStyle w:val="Body"/>
      </w:pPr>
      <w:r>
        <w:t xml:space="preserve">Rockwell Automation. (n.d.). PowerFlex 525 AC Drive User Manual (Publication 520-UM001) and related Allen-Bradley product manuals. https://literature.rockwellautomation.com/ (accessed April 2026)</w:t>
      </w:r>
    </w:p>
    <w:p>
      <w:pPr>
        <w:pStyle w:val="Body"/>
        <w:rPr>
          <w:b/>
          <w:bCs/>
        </w:rPr>
      </w:pPr>
      <w:r>
        <w:rPr>
          <w:b/>
          <w:bCs/>
        </w:rPr>
        <w:t xml:space="preserve">Software and tools.</w:t>
      </w:r>
    </w:p>
    <w:p>
      <w:pPr>
        <w:pStyle w:val="Body"/>
      </w:pPr>
      <w:r>
        <w:t xml:space="preserve">Chroma. (2024). ChromaDB: AI-native open-source embedding database. https://www.trychroma.com (accessed April 2026)</w:t>
      </w:r>
    </w:p>
    <w:p>
      <w:pPr>
        <w:pStyle w:val="Body"/>
      </w:pPr>
      <w:r>
        <w:t xml:space="preserve">Google DeepMind. (2024). Gemini API and model documentation. https://ai.google.dev/ (accessed April 2026)</w:t>
      </w:r>
    </w:p>
    <w:p>
      <w:pPr>
        <w:pStyle w:val="Body"/>
      </w:pPr>
      <w:r>
        <w:t xml:space="preserve">Google. (2024). Gemma open models documentation. https://ai.google.dev/gemma (accessed April 2026)</w:t>
      </w:r>
    </w:p>
    <w:p>
      <w:pPr>
        <w:pStyle w:val="Body"/>
      </w:pPr>
      <w:r>
        <w:t xml:space="preserve">Hugging Face. (2023). thenlper/gte-large model card. https://huggingface.co/thenlper/gte-large (accessed April 2026)</w:t>
      </w:r>
    </w:p>
    <w:p>
      <w:pPr>
        <w:pStyle w:val="Body"/>
      </w:pPr>
      <w:r>
        <w:t xml:space="preserve">LangChain Inc. (2024). LangGraph: stateful, multi-actor applications with LLMs. https://langchain-ai.github.io/langgraph/ (accessed April 2026)</w:t>
      </w:r>
    </w:p>
    <w:p>
      <w:pPr>
        <w:pStyle w:val="Body"/>
      </w:pPr>
    </w:p>
    <w:sectPr w:rsidR="00066D29">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5111" w14:textId="77777777" w:rsidR="00537065" w:rsidRDefault="00537065">
      <w:r>
        <w:separator/>
      </w:r>
    </w:p>
  </w:endnote>
  <w:endnote w:type="continuationSeparator" w:id="0">
    <w:p w14:paraId="305D0490" w14:textId="77777777" w:rsidR="00537065" w:rsidRDefault="0053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C" w14:textId="77777777" w:rsidR="00066D29" w:rsidRDefault="00066D2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F" w14:textId="2112850A" w:rsidR="00066D29" w:rsidRDefault="00537065">
    <w:pPr>
      <w:pStyle w:val="Footer"/>
      <w:tabs>
        <w:tab w:val="clear" w:pos="4320"/>
        <w:tab w:val="clear" w:pos="8640"/>
        <w:tab w:val="center" w:pos="4680"/>
        <w:tab w:val="right" w:pos="9340"/>
      </w:tabs>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1</w:t>
    </w:r>
    <w:r>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1" w14:textId="5E86938B" w:rsidR="00066D29" w:rsidRDefault="00537065">
    <w:pPr>
      <w:pStyle w:val="Footer"/>
      <w:tabs>
        <w:tab w:val="clear" w:pos="4320"/>
        <w:tab w:val="clear" w:pos="8640"/>
        <w:tab w:val="center" w:pos="4770"/>
        <w:tab w:val="right" w:pos="9340"/>
      </w:tabs>
      <w:rPr>
        <w:b/>
        <w:bCs/>
        <w:sz w:val="20"/>
        <w:szCs w:val="20"/>
      </w:rPr>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2</w:t>
    </w:r>
    <w:r>
      <w:rPr>
        <w:b/>
        <w:bCs/>
        <w:sz w:val="20"/>
        <w:szCs w:val="20"/>
      </w:rPr>
      <w:fldChar w:fldCharType="end"/>
    </w:r>
  </w:p>
  <w:p w14:paraId="0BDC9992" w14:textId="77777777" w:rsidR="00066D29" w:rsidRDefault="00537065">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65DFC" w14:textId="77777777" w:rsidR="00537065" w:rsidRDefault="00537065">
      <w:r>
        <w:separator/>
      </w:r>
    </w:p>
  </w:footnote>
  <w:footnote w:type="continuationSeparator" w:id="0">
    <w:p w14:paraId="4C8C0B9F" w14:textId="77777777" w:rsidR="00537065" w:rsidRDefault="00537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B" w14:textId="77777777" w:rsidR="00066D29" w:rsidRDefault="00066D2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D" w14:textId="77777777" w:rsidR="00066D29" w:rsidRDefault="00066D29">
    <w:pPr>
      <w:pStyle w:val="Header"/>
      <w:rPr>
        <w:b/>
        <w:bCs/>
      </w:rPr>
    </w:pPr>
  </w:p>
  <w:p w14:paraId="0BDC998E" w14:textId="77777777" w:rsidR="00066D29" w:rsidRDefault="00537065">
    <w:pPr>
      <w:pStyle w:val="Header"/>
      <w:jc w:val="right"/>
    </w:pPr>
    <w:r>
      <w:rPr>
        <w:b/>
        <w:bCs/>
        <w:sz w:val="20"/>
        <w:szCs w:val="20"/>
      </w:rPr>
      <w:t>Revision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0" w14:textId="77777777" w:rsidR="00066D29" w:rsidRDefault="00066D2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D46"/>
    <w:multiLevelType w:val="hybridMultilevel"/>
    <w:tmpl w:val="B4081124"/>
    <w:numStyleLink w:val="Bullets"/>
  </w:abstractNum>
  <w:abstractNum w:abstractNumId="1" w15:restartNumberingAfterBreak="0">
    <w:nsid w:val="0B5F7507"/>
    <w:multiLevelType w:val="hybridMultilevel"/>
    <w:tmpl w:val="D20000CE"/>
    <w:styleLink w:val="ImportedStyle3"/>
    <w:lvl w:ilvl="0" w:tplc="1F0C98F8">
      <w:start w:val="1"/>
      <w:numFmt w:val="bullet"/>
      <w:lvlText w:val="·"/>
      <w:lvlJc w:val="left"/>
      <w:pPr>
        <w:ind w:left="7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BB2E2B2">
      <w:start w:val="1"/>
      <w:numFmt w:val="bullet"/>
      <w:lvlText w:val="o"/>
      <w:lvlJc w:val="left"/>
      <w:pPr>
        <w:ind w:left="15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6A6089C">
      <w:start w:val="1"/>
      <w:numFmt w:val="bullet"/>
      <w:lvlText w:val="▪"/>
      <w:lvlJc w:val="left"/>
      <w:pPr>
        <w:ind w:left="22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FEE426">
      <w:start w:val="1"/>
      <w:numFmt w:val="bullet"/>
      <w:lvlText w:val="·"/>
      <w:lvlJc w:val="left"/>
      <w:pPr>
        <w:ind w:left="29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9484D2E">
      <w:start w:val="1"/>
      <w:numFmt w:val="bullet"/>
      <w:lvlText w:val="o"/>
      <w:lvlJc w:val="left"/>
      <w:pPr>
        <w:ind w:left="3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420F6E">
      <w:start w:val="1"/>
      <w:numFmt w:val="bullet"/>
      <w:lvlText w:val="▪"/>
      <w:lvlJc w:val="left"/>
      <w:pPr>
        <w:ind w:left="43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5E3102">
      <w:start w:val="1"/>
      <w:numFmt w:val="bullet"/>
      <w:lvlText w:val="·"/>
      <w:lvlJc w:val="left"/>
      <w:pPr>
        <w:ind w:left="51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F5E53DC">
      <w:start w:val="1"/>
      <w:numFmt w:val="bullet"/>
      <w:lvlText w:val="o"/>
      <w:lvlJc w:val="left"/>
      <w:pPr>
        <w:ind w:left="58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569814">
      <w:start w:val="1"/>
      <w:numFmt w:val="bullet"/>
      <w:lvlText w:val="▪"/>
      <w:lvlJc w:val="left"/>
      <w:pPr>
        <w:ind w:left="6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CA53F2C"/>
    <w:multiLevelType w:val="hybridMultilevel"/>
    <w:tmpl w:val="A914D674"/>
    <w:numStyleLink w:val="Bullet"/>
  </w:abstractNum>
  <w:abstractNum w:abstractNumId="3" w15:restartNumberingAfterBreak="0">
    <w:nsid w:val="16F60D35"/>
    <w:multiLevelType w:val="hybridMultilevel"/>
    <w:tmpl w:val="AA7E4842"/>
    <w:styleLink w:val="ImportedStyle10"/>
    <w:lvl w:ilvl="0" w:tplc="8C52B0A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F1A271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21C5592">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104584">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B98AF5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5EC2A3A">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E0E5C6">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55C61E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F2F49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CB91709"/>
    <w:multiLevelType w:val="hybridMultilevel"/>
    <w:tmpl w:val="D20000CE"/>
    <w:numStyleLink w:val="ImportedStyle3"/>
  </w:abstractNum>
  <w:abstractNum w:abstractNumId="5" w15:restartNumberingAfterBreak="0">
    <w:nsid w:val="28BF5EA2"/>
    <w:multiLevelType w:val="multilevel"/>
    <w:tmpl w:val="8FA67CAE"/>
    <w:lvl w:ilvl="0">
      <w:start w:val="1"/>
      <w:numFmt w:val="decimal"/>
      <w:lvlText w:val="%1."/>
      <w:lvlJc w:val="left"/>
      <w:pPr>
        <w:ind w:left="309"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631" w:hanging="4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34" w:hanging="51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37" w:hanging="61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94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43" w:hanging="82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146" w:hanging="92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49" w:hanging="102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351" w:hanging="113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CE006C"/>
    <w:multiLevelType w:val="hybridMultilevel"/>
    <w:tmpl w:val="B4081124"/>
    <w:styleLink w:val="Bullets"/>
    <w:lvl w:ilvl="0" w:tplc="E4B6CBC6">
      <w:start w:val="1"/>
      <w:numFmt w:val="bullet"/>
      <w:lvlText w:val="•"/>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DA0B48A">
      <w:start w:val="1"/>
      <w:numFmt w:val="bullet"/>
      <w:lvlText w:val="•"/>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84E49642">
      <w:start w:val="1"/>
      <w:numFmt w:val="bullet"/>
      <w:lvlText w:val="•"/>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0C58033E">
      <w:start w:val="1"/>
      <w:numFmt w:val="bullet"/>
      <w:lvlText w:val="•"/>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C84A72CE">
      <w:start w:val="1"/>
      <w:numFmt w:val="bullet"/>
      <w:lvlText w:val="•"/>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010B63C">
      <w:start w:val="1"/>
      <w:numFmt w:val="bullet"/>
      <w:lvlText w:val="•"/>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963C2AFE">
      <w:start w:val="1"/>
      <w:numFmt w:val="bullet"/>
      <w:lvlText w:val="•"/>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AD68E644">
      <w:start w:val="1"/>
      <w:numFmt w:val="bullet"/>
      <w:lvlText w:val="•"/>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6BA6356E">
      <w:start w:val="1"/>
      <w:numFmt w:val="bullet"/>
      <w:lvlText w:val="•"/>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775303"/>
    <w:multiLevelType w:val="hybridMultilevel"/>
    <w:tmpl w:val="D98C4AD8"/>
    <w:styleLink w:val="ImportedStyle9"/>
    <w:lvl w:ilvl="0" w:tplc="A1C202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BAE4A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909AD23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E76A5A5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0ECB1B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B06274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1120A5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66F0927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9588C5C">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7213E22"/>
    <w:multiLevelType w:val="hybridMultilevel"/>
    <w:tmpl w:val="B61A8778"/>
    <w:styleLink w:val="ImportedStyle2"/>
    <w:lvl w:ilvl="0" w:tplc="9D72CFF4">
      <w:start w:val="1"/>
      <w:numFmt w:val="bullet"/>
      <w:lvlText w:val="·"/>
      <w:lvlJc w:val="left"/>
      <w:pPr>
        <w:ind w:left="8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454E5280">
      <w:start w:val="1"/>
      <w:numFmt w:val="bullet"/>
      <w:lvlText w:val="o"/>
      <w:lvlJc w:val="left"/>
      <w:pPr>
        <w:ind w:left="15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4A6C706C">
      <w:start w:val="1"/>
      <w:numFmt w:val="bullet"/>
      <w:lvlText w:val="▪"/>
      <w:lvlJc w:val="left"/>
      <w:pPr>
        <w:ind w:left="22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52446906">
      <w:start w:val="1"/>
      <w:numFmt w:val="bullet"/>
      <w:lvlText w:val="·"/>
      <w:lvlJc w:val="left"/>
      <w:pPr>
        <w:ind w:left="30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62B40A9A">
      <w:start w:val="1"/>
      <w:numFmt w:val="bullet"/>
      <w:lvlText w:val="o"/>
      <w:lvlJc w:val="left"/>
      <w:pPr>
        <w:ind w:left="37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FC8C46CA">
      <w:start w:val="1"/>
      <w:numFmt w:val="bullet"/>
      <w:lvlText w:val="▪"/>
      <w:lvlJc w:val="left"/>
      <w:pPr>
        <w:ind w:left="44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298EA8AE">
      <w:start w:val="1"/>
      <w:numFmt w:val="bullet"/>
      <w:lvlText w:val="·"/>
      <w:lvlJc w:val="left"/>
      <w:pPr>
        <w:ind w:left="516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BCC424B4">
      <w:start w:val="1"/>
      <w:numFmt w:val="bullet"/>
      <w:lvlText w:val="o"/>
      <w:lvlJc w:val="left"/>
      <w:pPr>
        <w:ind w:left="58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7D92BB30">
      <w:start w:val="1"/>
      <w:numFmt w:val="bullet"/>
      <w:lvlText w:val="▪"/>
      <w:lvlJc w:val="left"/>
      <w:pPr>
        <w:ind w:left="66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9" w15:restartNumberingAfterBreak="0">
    <w:nsid w:val="39DD21B2"/>
    <w:multiLevelType w:val="hybridMultilevel"/>
    <w:tmpl w:val="D98C4AD8"/>
    <w:numStyleLink w:val="ImportedStyle9"/>
  </w:abstractNum>
  <w:abstractNum w:abstractNumId="10" w15:restartNumberingAfterBreak="0">
    <w:nsid w:val="3AC71508"/>
    <w:multiLevelType w:val="hybridMultilevel"/>
    <w:tmpl w:val="34B8C0FE"/>
    <w:numStyleLink w:val="ImportedStyle6"/>
  </w:abstractNum>
  <w:abstractNum w:abstractNumId="11" w15:restartNumberingAfterBreak="0">
    <w:nsid w:val="3BCF3608"/>
    <w:multiLevelType w:val="multilevel"/>
    <w:tmpl w:val="014E8694"/>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1BC7EFE"/>
    <w:multiLevelType w:val="hybridMultilevel"/>
    <w:tmpl w:val="AA7E4842"/>
    <w:numStyleLink w:val="ImportedStyle10"/>
  </w:abstractNum>
  <w:abstractNum w:abstractNumId="13" w15:restartNumberingAfterBreak="0">
    <w:nsid w:val="4C274551"/>
    <w:multiLevelType w:val="multilevel"/>
    <w:tmpl w:val="014E8694"/>
    <w:numStyleLink w:val="ImportedStyle1"/>
  </w:abstractNum>
  <w:abstractNum w:abstractNumId="14" w15:restartNumberingAfterBreak="0">
    <w:nsid w:val="4E9436A8"/>
    <w:multiLevelType w:val="hybridMultilevel"/>
    <w:tmpl w:val="1D4A15E8"/>
    <w:styleLink w:val="ImportedStyle11"/>
    <w:lvl w:ilvl="0" w:tplc="D0469F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BC162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73AA5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50540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7E7B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7806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4C57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10E5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7A19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FFA66A0"/>
    <w:multiLevelType w:val="hybridMultilevel"/>
    <w:tmpl w:val="B61A8778"/>
    <w:numStyleLink w:val="ImportedStyle2"/>
  </w:abstractNum>
  <w:abstractNum w:abstractNumId="16" w15:restartNumberingAfterBreak="0">
    <w:nsid w:val="556124EA"/>
    <w:multiLevelType w:val="hybridMultilevel"/>
    <w:tmpl w:val="A914D674"/>
    <w:styleLink w:val="Bullet"/>
    <w:lvl w:ilvl="0" w:tplc="B5923ED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798469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8432D4C6">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390A911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5D4527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614186C">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5C545AD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AE2D30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570420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5C9F0115"/>
    <w:multiLevelType w:val="hybridMultilevel"/>
    <w:tmpl w:val="748EC80C"/>
    <w:lvl w:ilvl="0" w:tplc="FFDAFF0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0C1566">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58893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9A8550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D7635D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70150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7C27CB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3A24B2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94682E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6AC341F"/>
    <w:multiLevelType w:val="hybridMultilevel"/>
    <w:tmpl w:val="1D4A15E8"/>
    <w:numStyleLink w:val="ImportedStyle11"/>
  </w:abstractNum>
  <w:abstractNum w:abstractNumId="19" w15:restartNumberingAfterBreak="0">
    <w:nsid w:val="774F67C4"/>
    <w:multiLevelType w:val="hybridMultilevel"/>
    <w:tmpl w:val="34B8C0FE"/>
    <w:styleLink w:val="ImportedStyle6"/>
    <w:lvl w:ilvl="0" w:tplc="4056820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A0FC84">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BAD34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30914A">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F4E66C">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5836A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DE6196">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C66FB06">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E987026">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88523204">
    <w:abstractNumId w:val="5"/>
  </w:num>
  <w:num w:numId="2" w16cid:durableId="1283224864">
    <w:abstractNumId w:val="5"/>
    <w:lvlOverride w:ilvl="0">
      <w:startOverride w:val="2"/>
    </w:lvlOverride>
  </w:num>
  <w:num w:numId="3" w16cid:durableId="1571227875">
    <w:abstractNumId w:val="5"/>
    <w:lvlOverride w:ilvl="0">
      <w:startOverride w:val="3"/>
    </w:lvlOverride>
  </w:num>
  <w:num w:numId="4" w16cid:durableId="2021658545">
    <w:abstractNumId w:val="5"/>
    <w:lvlOverride w:ilvl="1">
      <w:startOverride w:val="2"/>
    </w:lvlOverride>
  </w:num>
  <w:num w:numId="5" w16cid:durableId="1594628814">
    <w:abstractNumId w:val="5"/>
    <w:lvlOverride w:ilvl="0">
      <w:startOverride w:val="4"/>
    </w:lvlOverride>
  </w:num>
  <w:num w:numId="6" w16cid:durableId="1276401832">
    <w:abstractNumId w:val="5"/>
    <w:lvlOverride w:ilvl="0">
      <w:startOverride w:val="5"/>
    </w:lvlOverride>
  </w:num>
  <w:num w:numId="7" w16cid:durableId="615988643">
    <w:abstractNumId w:val="5"/>
    <w:lvlOverride w:ilvl="0">
      <w:startOverride w:val="6"/>
    </w:lvlOverride>
  </w:num>
  <w:num w:numId="8" w16cid:durableId="752705718">
    <w:abstractNumId w:val="5"/>
    <w:lvlOverride w:ilvl="0">
      <w:startOverride w:val="7"/>
    </w:lvlOverride>
  </w:num>
  <w:num w:numId="9" w16cid:durableId="360977882">
    <w:abstractNumId w:val="5"/>
    <w:lvlOverride w:ilvl="0">
      <w:startOverride w:val="8"/>
    </w:lvlOverride>
  </w:num>
  <w:num w:numId="10" w16cid:durableId="1080249648">
    <w:abstractNumId w:val="5"/>
    <w:lvlOverride w:ilvl="0">
      <w:startOverride w:val="9"/>
    </w:lvlOverride>
  </w:num>
  <w:num w:numId="11" w16cid:durableId="1884630018">
    <w:abstractNumId w:val="5"/>
    <w:lvlOverride w:ilvl="0">
      <w:startOverride w:val="10"/>
    </w:lvlOverride>
  </w:num>
  <w:num w:numId="12" w16cid:durableId="828717869">
    <w:abstractNumId w:val="11"/>
  </w:num>
  <w:num w:numId="13" w16cid:durableId="1277565249">
    <w:abstractNumId w:val="13"/>
  </w:num>
  <w:num w:numId="14" w16cid:durableId="1342396082">
    <w:abstractNumId w:val="8"/>
  </w:num>
  <w:num w:numId="15" w16cid:durableId="891116086">
    <w:abstractNumId w:val="15"/>
  </w:num>
  <w:num w:numId="16" w16cid:durableId="1009215583">
    <w:abstractNumId w:val="13"/>
    <w:lvlOverride w:ilvl="0">
      <w:startOverride w:val="2"/>
    </w:lvlOverride>
  </w:num>
  <w:num w:numId="17" w16cid:durableId="1553807480">
    <w:abstractNumId w:val="13"/>
    <w:lvlOverride w:ilvl="0">
      <w:startOverride w:val="3"/>
    </w:lvlOverride>
  </w:num>
  <w:num w:numId="18" w16cid:durableId="1967588429">
    <w:abstractNumId w:val="1"/>
  </w:num>
  <w:num w:numId="19" w16cid:durableId="1962959093">
    <w:abstractNumId w:val="4"/>
  </w:num>
  <w:num w:numId="20" w16cid:durableId="1827285917">
    <w:abstractNumId w:val="17"/>
  </w:num>
  <w:num w:numId="21" w16cid:durableId="1285192424">
    <w:abstractNumId w:val="16"/>
  </w:num>
  <w:num w:numId="22" w16cid:durableId="28191957">
    <w:abstractNumId w:val="2"/>
  </w:num>
  <w:num w:numId="23" w16cid:durableId="1445349396">
    <w:abstractNumId w:val="13"/>
    <w:lvlOverride w:ilvl="1">
      <w:startOverride w:val="2"/>
    </w:lvlOverride>
  </w:num>
  <w:num w:numId="24" w16cid:durableId="548229586">
    <w:abstractNumId w:val="2"/>
    <w:lvlOverride w:ilvl="0">
      <w:lvl w:ilvl="0" w:tplc="79DA43A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670ADE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61809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B950A4D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1F85A6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ABC4F32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CC48EA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986196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87E038E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5" w16cid:durableId="1672563341">
    <w:abstractNumId w:val="13"/>
    <w:lvlOverride w:ilvl="0">
      <w:startOverride w:val="4"/>
    </w:lvlOverride>
  </w:num>
  <w:num w:numId="26" w16cid:durableId="1795522357">
    <w:abstractNumId w:val="3"/>
  </w:num>
  <w:num w:numId="27" w16cid:durableId="1161850826">
    <w:abstractNumId w:val="12"/>
  </w:num>
  <w:num w:numId="28" w16cid:durableId="1066148459">
    <w:abstractNumId w:val="19"/>
  </w:num>
  <w:num w:numId="29" w16cid:durableId="67924604">
    <w:abstractNumId w:val="10"/>
  </w:num>
  <w:num w:numId="30" w16cid:durableId="674576649">
    <w:abstractNumId w:val="13"/>
    <w:lvlOverride w:ilvl="0">
      <w:startOverride w:val="5"/>
    </w:lvlOverride>
  </w:num>
  <w:num w:numId="31" w16cid:durableId="862942068">
    <w:abstractNumId w:val="13"/>
    <w:lvlOverride w:ilvl="0">
      <w:startOverride w:val="6"/>
    </w:lvlOverride>
  </w:num>
  <w:num w:numId="32" w16cid:durableId="1025210744">
    <w:abstractNumId w:val="6"/>
  </w:num>
  <w:num w:numId="33" w16cid:durableId="1047219288">
    <w:abstractNumId w:val="0"/>
  </w:num>
  <w:num w:numId="34" w16cid:durableId="187062277">
    <w:abstractNumId w:val="0"/>
    <w:lvlOverride w:ilvl="0">
      <w:lvl w:ilvl="0" w:tplc="00E25EDE">
        <w:start w:val="1"/>
        <w:numFmt w:val="bullet"/>
        <w:lvlText w:val="•"/>
        <w:lvlJc w:val="left"/>
        <w:pPr>
          <w:ind w:left="6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2428F78">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B64705A">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E8D56C">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C02D7D4">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F4B902">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AA003F8">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F1EEF1A">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928FAF2">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16cid:durableId="80227067">
    <w:abstractNumId w:val="13"/>
    <w:lvlOverride w:ilvl="0">
      <w:startOverride w:val="7"/>
    </w:lvlOverride>
  </w:num>
  <w:num w:numId="36" w16cid:durableId="566493893">
    <w:abstractNumId w:val="7"/>
  </w:num>
  <w:num w:numId="37" w16cid:durableId="1396512123">
    <w:abstractNumId w:val="9"/>
  </w:num>
  <w:num w:numId="38" w16cid:durableId="641232530">
    <w:abstractNumId w:val="9"/>
    <w:lvlOverride w:ilvl="0">
      <w:lvl w:ilvl="0" w:tplc="D6C85D3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7CB48E9C">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7BA8684">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FB6604B0">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3846EC2">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9C144F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1C30A15C">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B6EAD93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BEFC65C4">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39" w16cid:durableId="1648320269">
    <w:abstractNumId w:val="13"/>
    <w:lvlOverride w:ilvl="0">
      <w:startOverride w:val="8"/>
    </w:lvlOverride>
  </w:num>
  <w:num w:numId="40" w16cid:durableId="956526804">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16cid:durableId="37164402">
    <w:abstractNumId w:val="12"/>
    <w:lvlOverride w:ilvl="0">
      <w:lvl w:ilvl="0" w:tplc="F2263DF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96DE3862">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C564112">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9A1483D8">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7F83EE6">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477CAE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ADCCE6A4">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A63CD27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D5466D5E">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42" w16cid:durableId="1661034672">
    <w:abstractNumId w:val="13"/>
    <w:lvlOverride w:ilvl="0">
      <w:startOverride w:val="9"/>
    </w:lvlOverride>
  </w:num>
  <w:num w:numId="43" w16cid:durableId="1238906493">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534614237">
    <w:abstractNumId w:val="13"/>
    <w:lvlOverride w:ilvl="0">
      <w:startOverride w:val="10"/>
    </w:lvlOverride>
  </w:num>
  <w:num w:numId="45" w16cid:durableId="1407145618">
    <w:abstractNumId w:val="14"/>
  </w:num>
  <w:num w:numId="46" w16cid:durableId="18338359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29"/>
    <w:rsid w:val="00066D29"/>
    <w:rsid w:val="003F2C74"/>
    <w:rsid w:val="003F542C"/>
    <w:rsid w:val="00537065"/>
    <w:rsid w:val="0090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97FF"/>
  <w15:docId w15:val="{7D095748-38BC-4042-AEE0-BDE85950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spacing w:before="240" w:after="60"/>
      <w:outlineLvl w:val="1"/>
    </w:pPr>
    <w:rPr>
      <w:rFonts w:ascii="Arial" w:eastAsia="Arial" w:hAnsi="Arial" w:cs="Arial"/>
      <w:b/>
      <w:bCs/>
      <w:color w:val="000000"/>
      <w:sz w:val="28"/>
      <w:szCs w:val="28"/>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2"/>
      <w:szCs w:val="22"/>
      <w:u w:color="000000"/>
      <w14:textOutline w14:w="0" w14:cap="flat" w14:cmpd="sng" w14:algn="ctr">
        <w14:noFill/>
        <w14:prstDash w14:val="solid"/>
        <w14:bevel/>
      </w14:textOutline>
    </w:rPr>
  </w:style>
  <w:style w:type="paragraph" w:styleId="Header">
    <w:name w:val="header"/>
    <w:pPr>
      <w:tabs>
        <w:tab w:val="center" w:pos="4320"/>
        <w:tab w:val="right" w:pos="8640"/>
      </w:tabs>
    </w:pPr>
    <w:rPr>
      <w:rFonts w:eastAsia="Times New Roman"/>
      <w:color w:val="000000"/>
      <w:sz w:val="22"/>
      <w:szCs w:val="22"/>
      <w:u w:color="000000"/>
    </w:rPr>
  </w:style>
  <w:style w:type="paragraph" w:styleId="Footer">
    <w:name w:val="footer"/>
    <w:pPr>
      <w:tabs>
        <w:tab w:val="center" w:pos="4320"/>
        <w:tab w:val="right" w:pos="8640"/>
      </w:tabs>
    </w:pPr>
    <w:rPr>
      <w:rFonts w:eastAsia="Times New Roman"/>
      <w:color w:val="000000"/>
      <w:sz w:val="22"/>
      <w:szCs w:val="22"/>
      <w:u w:color="000000"/>
    </w:rPr>
  </w:style>
  <w:style w:type="character" w:customStyle="1" w:styleId="Hyperlink0">
    <w:name w:val="Hyperlink.0"/>
    <w:basedOn w:val="Hyperlink"/>
    <w:rPr>
      <w:outline w:val="0"/>
      <w:color w:val="0000FF"/>
      <w:u w:val="single" w:color="0000FF"/>
    </w:rPr>
  </w:style>
  <w:style w:type="paragraph" w:styleId="TOC1">
    <w:name w:val="toc 1"/>
    <w:pPr>
      <w:tabs>
        <w:tab w:val="left" w:pos="440"/>
        <w:tab w:val="right" w:leader="dot" w:pos="9340"/>
      </w:tabs>
      <w:spacing w:before="120" w:after="120"/>
    </w:pPr>
    <w:rPr>
      <w:rFonts w:ascii="Calibri" w:eastAsia="Calibri" w:hAnsi="Calibri" w:cs="Calibri"/>
      <w:b/>
      <w:bCs/>
      <w:caps/>
      <w:color w:val="000000"/>
      <w:u w:color="000000"/>
    </w:rPr>
  </w:style>
  <w:style w:type="paragraph" w:customStyle="1" w:styleId="Heading">
    <w:name w:val="Heading"/>
    <w:next w:val="Body"/>
    <w:pPr>
      <w:keepNext/>
      <w:tabs>
        <w:tab w:val="left" w:pos="720"/>
      </w:tabs>
      <w:spacing w:before="240" w:after="60"/>
      <w:outlineLvl w:val="0"/>
    </w:pPr>
    <w:rPr>
      <w:rFonts w:ascii="Arial" w:eastAsia="Arial" w:hAnsi="Arial" w:cs="Arial"/>
      <w:b/>
      <w:bCs/>
      <w:caps/>
      <w:color w:val="000000"/>
      <w:kern w:val="28"/>
      <w:sz w:val="28"/>
      <w:szCs w:val="28"/>
      <w:u w:color="000000"/>
      <w14:textOutline w14:w="0" w14:cap="flat" w14:cmpd="sng" w14:algn="ctr">
        <w14:noFill/>
        <w14:prstDash w14:val="solid"/>
        <w14:bevel/>
      </w14:textOutline>
    </w:rPr>
  </w:style>
  <w:style w:type="paragraph" w:styleId="TOC2">
    <w:name w:val="toc 2"/>
    <w:pPr>
      <w:tabs>
        <w:tab w:val="left" w:pos="880"/>
        <w:tab w:val="right" w:leader="dot" w:pos="9340"/>
      </w:tabs>
      <w:ind w:left="220"/>
    </w:pPr>
    <w:rPr>
      <w:rFonts w:ascii="Calibri" w:eastAsia="Calibri" w:hAnsi="Calibri" w:cs="Calibri"/>
      <w:smallCaps/>
      <w:color w:val="000000"/>
      <w:u w:color="000000"/>
    </w:rPr>
  </w:style>
  <w:style w:type="paragraph" w:styleId="ListParagraph">
    <w:name w:val="List Paragraph"/>
    <w:pPr>
      <w:ind w:left="720"/>
    </w:pPr>
    <w:rPr>
      <w:rFonts w:eastAsia="Times New Roman"/>
      <w:color w:val="000000"/>
      <w:sz w:val="22"/>
      <w:szCs w:val="22"/>
      <w:u w:color="000000"/>
    </w:rPr>
  </w:style>
  <w:style w:type="numbering" w:customStyle="1" w:styleId="ImportedStyle1">
    <w:name w:val="Imported Style 1"/>
    <w:pPr>
      <w:numPr>
        <w:numId w:val="12"/>
      </w:numPr>
    </w:pPr>
  </w:style>
  <w:style w:type="numbering" w:customStyle="1" w:styleId="ImportedStyle2">
    <w:name w:val="Imported Style 2"/>
    <w:pPr>
      <w:numPr>
        <w:numId w:val="14"/>
      </w:numPr>
    </w:pPr>
  </w:style>
  <w:style w:type="numbering" w:customStyle="1" w:styleId="ImportedStyle3">
    <w:name w:val="Imported Style 3"/>
    <w:pPr>
      <w:numPr>
        <w:numId w:val="18"/>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21"/>
      </w:numPr>
    </w:pPr>
  </w:style>
  <w:style w:type="numbering" w:customStyle="1" w:styleId="ImportedStyle10">
    <w:name w:val="Imported Style 10"/>
    <w:pPr>
      <w:numPr>
        <w:numId w:val="26"/>
      </w:numPr>
    </w:pPr>
  </w:style>
  <w:style w:type="numbering" w:customStyle="1" w:styleId="ImportedStyle6">
    <w:name w:val="Imported Style 6"/>
    <w:pPr>
      <w:numPr>
        <w:numId w:val="28"/>
      </w:numPr>
    </w:pPr>
  </w:style>
  <w:style w:type="numbering" w:customStyle="1" w:styleId="Bullets">
    <w:name w:val="Bullets"/>
    <w:pPr>
      <w:numPr>
        <w:numId w:val="32"/>
      </w:numPr>
    </w:pPr>
  </w:style>
  <w:style w:type="numbering" w:customStyle="1" w:styleId="ImportedStyle9">
    <w:name w:val="Imported Style 9"/>
    <w:pPr>
      <w:numPr>
        <w:numId w:val="36"/>
      </w:numPr>
    </w:pPr>
  </w:style>
  <w:style w:type="numbering" w:customStyle="1" w:styleId="ImportedStyle11">
    <w:name w:val="Imported Style 11"/>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qc5618@psu.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1581</Words>
  <Characters>10106</Characters>
  <Application>Microsoft Office Word</Application>
  <DocSecurity>4</DocSecurity>
  <Lines>446</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 Sreedharan</cp:lastModifiedBy>
  <cp:revision>2</cp:revision>
  <dcterms:created xsi:type="dcterms:W3CDTF">2026-05-01T18:00:00Z</dcterms:created>
  <dcterms:modified xsi:type="dcterms:W3CDTF">2026-05-01T18:00:00Z</dcterms:modified>
</cp:coreProperties>
</file>