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101010"/>
          <w:sz w:val="56"/>
        </w:rPr>
        <w:t>AI574 Final Project Report</w:t>
      </w:r>
    </w:p>
    <w:p>
      <w:r>
        <w:rPr>
          <w:rFonts w:ascii="Arial" w:hAnsi="Arial"/>
          <w:i/>
          <w:color w:val="555555"/>
          <w:sz w:val="26"/>
        </w:rPr>
        <w:t>A Multi-Domain Corrective RAG Assistant with Supervisor-Routed Specialists</w:t>
      </w:r>
    </w:p>
    <w:p>
      <w:r>
        <w:rPr>
          <w:b w:val="0"/>
          <w:i/>
        </w:rPr>
        <w:t>Audience: Developers and technical reviewers.</w:t>
      </w:r>
    </w:p>
    <w:p>
      <w:r>
        <w:rPr>
          <w:b w:val="0"/>
          <w:i w:val="0"/>
        </w:rPr>
        <w:t>Revision: April 2026</w:t>
      </w:r>
    </w:p>
    <w:p>
      <w:pPr>
        <w:pBdr>
          <w:bottom w:val="single" w:sz="6" w:space="1" w:color="2E75B6"/>
        </w:pBdr>
      </w:pPr>
    </w:p>
    <w:p>
      <w:pPr>
        <w:pStyle w:val="Heading1"/>
      </w:pPr>
      <w:r>
        <w:t>Abstract</w:t>
      </w:r>
    </w:p>
    <w:p>
      <w:r>
        <w:rPr>
          <w:b w:val="0"/>
          <w:i w:val="0"/>
        </w:rPr>
        <w:t>AI574 is a retrieval-augmented generation (RAG) system that demonstrates how a lightweight supervisor and a shared Corrective RAG (CRAG) pipeline can deliver domain-aware answers across three independent knowledge bases — industrial control troubleshooting, cooking assistance, and scientific literature — without training domain-specific generators. The system routes each query to a specialist agent, retrieves from a domain-scoped Chroma collection, grades and optionally rewrites the query, generates a grounded response, and validates that response against its sources. The design trades a small amount of routing latency for substantial gains in answer quality, grounding, and failure containment.</w:t>
      </w:r>
    </w:p>
    <w:p>
      <w:pPr>
        <w:pStyle w:val="Heading1"/>
      </w:pPr>
      <w:r>
        <w:t>1. Introduction</w:t>
      </w:r>
    </w:p>
    <w:p>
      <w:r>
        <w:rPr>
          <w:b w:val="0"/>
          <w:i w:val="0"/>
        </w:rPr>
        <w:t>General-purpose RAG systems tend to flatten domain semantics: a single embedding space and a single prompt template struggle when user intent spans domains with very different vocabularies (fault codes vs. cooking techniques vs. citation-heavy paper summaries). AI574 addresses this with a supervisor-first architecture. The supervisor is a narrow LLM-as-judge that classifies intent into one of five routes: three domain specialists, a clarify route for ambiguous queries, and a fallback for out-of-scope questions. Each specialist composes the same CRAG pipeline with domain-specific preprocessing, prompts, and postprocessing.</w:t>
      </w:r>
    </w:p>
    <w:p>
      <w:pPr>
        <w:pStyle w:val="Heading1"/>
      </w:pPr>
      <w:r>
        <w:t>2. Goals and Non-goals</w:t>
      </w:r>
    </w:p>
    <w:p>
      <w:pPr>
        <w:pStyle w:val="Heading2"/>
      </w:pPr>
      <w:r>
        <w:t>2.1 Goals</w:t>
      </w:r>
    </w:p>
    <w:p>
      <w:pPr>
        <w:pStyle w:val="ListBullet"/>
      </w:pPr>
      <w:r>
        <w:t>Route queries correctly across heterogeneous domains without a large multi-task model.</w:t>
      </w:r>
    </w:p>
    <w:p>
      <w:pPr>
        <w:pStyle w:val="ListBullet"/>
      </w:pPr>
      <w:r>
        <w:t>Keep answers grounded in retrieved sources, with a mechanical check that catches hallucinations.</w:t>
      </w:r>
    </w:p>
    <w:p>
      <w:pPr>
        <w:pStyle w:val="ListBullet"/>
      </w:pPr>
      <w:r>
        <w:t>Allow runtime swapping of LLM providers so that hosted and local models can coexist.</w:t>
      </w:r>
    </w:p>
    <w:p>
      <w:pPr>
        <w:pStyle w:val="ListBullet"/>
      </w:pPr>
      <w:r>
        <w:t>Provide a single AgentState schema that makes the entire pipeline inspectable and debuggable.</w:t>
      </w:r>
    </w:p>
    <w:p>
      <w:pPr>
        <w:pStyle w:val="ListBullet"/>
      </w:pPr>
      <w:r>
        <w:t>Stay debuggable: per-stage timing, escalation reasons, and source attribution on every answer.</w:t>
      </w:r>
    </w:p>
    <w:p>
      <w:pPr>
        <w:pStyle w:val="Heading2"/>
      </w:pPr>
      <w:r>
        <w:t>2.2 Non-goals</w:t>
      </w:r>
    </w:p>
    <w:p>
      <w:pPr>
        <w:pStyle w:val="ListBullet"/>
      </w:pPr>
      <w:r>
        <w:t>Training or fine-tuning a new foundation model.</w:t>
      </w:r>
    </w:p>
    <w:p>
      <w:pPr>
        <w:pStyle w:val="ListBullet"/>
      </w:pPr>
      <w:r>
        <w:t>A production-grade fallback that performs live web search (currently a static recommendation).</w:t>
      </w:r>
    </w:p>
    <w:p>
      <w:pPr>
        <w:pStyle w:val="ListBullet"/>
      </w:pPr>
      <w:r>
        <w:t>Full PDF parsing for scientific queries; ArXiv abstracts and metadata are used by default.</w:t>
      </w:r>
    </w:p>
    <w:p>
      <w:pPr>
        <w:pStyle w:val="Heading1"/>
      </w:pPr>
      <w:r>
        <w:t>3. System Design</w:t>
      </w:r>
    </w:p>
    <w:p>
      <w:pPr>
        <w:pStyle w:val="Heading2"/>
      </w:pPr>
      <w:r>
        <w:t>3.1 High-level flow</w:t>
      </w:r>
    </w:p>
    <w:p>
      <w:pPr>
        <w:pStyle w:val="CodeBlock"/>
        <w:shd w:val="clear" w:color="auto" w:fill="F3F3F3"/>
      </w:pPr>
      <w:r>
        <w:rPr>
          <w:rFonts w:ascii="Consolas" w:hAnsi="Consolas"/>
          <w:sz w:val="19"/>
        </w:rPr>
        <w:t>START → supervisor → {industrial | recipe | scientific | clarify | fallback} → finalize → END</w:t>
      </w:r>
      <w:r>
        <w:br/>
      </w:r>
      <w:r>
        <w:rPr>
          <w:rFonts w:ascii="Consolas" w:hAnsi="Consolas"/>
          <w:sz w:val="19"/>
        </w:rPr>
        <w:t>Each specialist runs CRAG: retrieve → grade → rewrite → generate → hallucination check</w:t>
      </w:r>
    </w:p>
    <w:p>
      <w:pPr>
        <w:pStyle w:val="Heading2"/>
      </w:pPr>
      <w:r>
        <w:t>3.2 Component responsibilities</w:t>
      </w:r>
    </w:p>
    <w:tbl>
      <w:tblPr>
        <w:tblStyle w:val="LightGrid-Accent1"/>
        <w:tblW w:type="auto" w:w="0"/>
        <w:tblLook w:firstColumn="1" w:firstRow="1" w:lastColumn="0" w:lastRow="0" w:noHBand="0" w:noVBand="1" w:val="04A0"/>
      </w:tblPr>
      <w:tblGrid>
        <w:gridCol w:w="4320"/>
        <w:gridCol w:w="4320"/>
      </w:tblGrid>
      <w:tr>
        <w:tc>
          <w:tcPr>
            <w:tcW w:type="dxa" w:w="2880"/>
            <w:shd w:val="clear" w:color="auto" w:fill="2E75B6"/>
          </w:tcPr>
          <w:p>
            <w:r/>
            <w:r>
              <w:rPr>
                <w:b/>
                <w:color w:val="FFFFFF"/>
              </w:rPr>
              <w:t>Component</w:t>
            </w:r>
          </w:p>
        </w:tc>
        <w:tc>
          <w:tcPr>
            <w:tcW w:type="dxa" w:w="7200"/>
            <w:shd w:val="clear" w:color="auto" w:fill="2E75B6"/>
          </w:tcPr>
          <w:p>
            <w:r/>
            <w:r>
              <w:rPr>
                <w:b/>
                <w:color w:val="FFFFFF"/>
              </w:rPr>
              <w:t>Responsibility</w:t>
            </w:r>
          </w:p>
        </w:tc>
      </w:tr>
      <w:tr>
        <w:tc>
          <w:tcPr>
            <w:tcW w:type="dxa" w:w="2880"/>
          </w:tcPr>
          <w:p>
            <w:r/>
            <w:r>
              <w:t>SupervisorAgent</w:t>
            </w:r>
          </w:p>
        </w:tc>
        <w:tc>
          <w:tcPr>
            <w:tcW w:type="dxa" w:w="7200"/>
          </w:tcPr>
          <w:p>
            <w:r/>
            <w:r>
              <w:t>LLM-as-judge routing with a confidence threshold and a deterministic fallback path</w:t>
            </w:r>
          </w:p>
        </w:tc>
      </w:tr>
      <w:tr>
        <w:tc>
          <w:tcPr>
            <w:tcW w:type="dxa" w:w="2880"/>
          </w:tcPr>
          <w:p>
            <w:r/>
            <w:r>
              <w:t>Domain agents</w:t>
            </w:r>
          </w:p>
        </w:tc>
        <w:tc>
          <w:tcPr>
            <w:tcW w:type="dxa" w:w="7200"/>
          </w:tcPr>
          <w:p>
            <w:r/>
            <w:r>
              <w:t>Domain-specific query preprocessing and response postprocessing</w:t>
            </w:r>
          </w:p>
        </w:tc>
      </w:tr>
      <w:tr>
        <w:tc>
          <w:tcPr>
            <w:tcW w:type="dxa" w:w="2880"/>
          </w:tcPr>
          <w:p>
            <w:r/>
            <w:r>
              <w:t>CRAGPipeline</w:t>
            </w:r>
          </w:p>
        </w:tc>
        <w:tc>
          <w:tcPr>
            <w:tcW w:type="dxa" w:w="7200"/>
          </w:tcPr>
          <w:p>
            <w:r/>
            <w:r>
              <w:t>Retrieve, grade, rewrite, generate, and validate; escalate on failure</w:t>
            </w:r>
          </w:p>
        </w:tc>
      </w:tr>
      <w:tr>
        <w:tc>
          <w:tcPr>
            <w:tcW w:type="dxa" w:w="2880"/>
          </w:tcPr>
          <w:p>
            <w:r/>
            <w:r>
              <w:t>VectorStoreService</w:t>
            </w:r>
          </w:p>
        </w:tc>
        <w:tc>
          <w:tcPr>
            <w:tcW w:type="dxa" w:w="7200"/>
          </w:tcPr>
          <w:p>
            <w:r/>
            <w:r>
              <w:t>Per-domain Chroma collections with an LRU cache for repeated query embeddings</w:t>
            </w:r>
          </w:p>
        </w:tc>
      </w:tr>
      <w:tr>
        <w:tc>
          <w:tcPr>
            <w:tcW w:type="dxa" w:w="2880"/>
          </w:tcPr>
          <w:p>
            <w:r/>
            <w:r>
              <w:t>Model registry</w:t>
            </w:r>
          </w:p>
        </w:tc>
        <w:tc>
          <w:tcPr>
            <w:tcW w:type="dxa" w:w="7200"/>
          </w:tcPr>
          <w:p>
            <w:r/>
            <w:r>
              <w:t>Runtime LLM selection, plus auth-error failover via HostedChatModelAdapter</w:t>
            </w:r>
          </w:p>
        </w:tc>
      </w:tr>
    </w:tbl>
    <w:p>
      <w:pPr>
        <w:pStyle w:val="Heading2"/>
      </w:pPr>
      <w:r>
        <w:t>3.3 Orchestration</w:t>
      </w:r>
    </w:p>
    <w:p>
      <w:r>
        <w:rPr>
          <w:b w:val="0"/>
          <w:i w:val="0"/>
        </w:rPr>
        <w:t>The workflow is compiled as a LangGraph state machine. Every node reads and writes a single AgentState TypedDict, which also carries per-node timing. run_query is a thin wrapper that seeds the state, invokes the compiled graph, and returns a dictionary shaped around the caller's needs: domain, confidence, response, sources, timing, and diagnostic flags.</w:t>
      </w:r>
    </w:p>
    <w:p>
      <w:pPr>
        <w:pStyle w:val="Heading2"/>
      </w:pPr>
      <w:r>
        <w:t>3.4 Retrieval and chunking</w:t>
      </w:r>
    </w:p>
    <w:p>
      <w:r>
        <w:rPr>
          <w:b w:val="0"/>
          <w:i w:val="0"/>
        </w:rPr>
        <w:t>Documents are chunked with a recursive character splitter configured for roughly 768-token chunks with 15 percent overlap. For the industrial domain, a preprocessing pass expands common abbreviations (PLC → Programmable Logic Controller (PLC)) and normalizes equipment codes before embedding so that fault-code queries match chunks regardless of surface form. Embeddings default to thenlper/gte-large (1024-dim) with cosine similarity.</w:t>
      </w:r>
    </w:p>
    <w:p>
      <w:pPr>
        <w:pStyle w:val="Heading2"/>
      </w:pPr>
      <w:r>
        <w:t>3.5 Corrective RAG loop</w:t>
      </w:r>
    </w:p>
    <w:p>
      <w:r>
        <w:rPr>
          <w:b w:val="0"/>
          <w:i w:val="0"/>
        </w:rPr>
        <w:t>The CRAG loop is what gives the system its corrective character. After retrieval, the document grader classifies each document as relevant, ambiguous, or irrelevant using an LLM-as-judge. If the grader reports insufficient context, the query rewriter reformulates the query — expanding abbreviations, adding domain terms, and decomposing multi-part questions — and retrieval runs again, up to max_rewrite_attempts times. The generator then produces a grounded response, and the hallucination checker performs a final validation pass. If that validation fails, the result is flagged as escalated so the caller can decide whether to surface it or trigger a human-in-the-loop path.</w:t>
      </w:r>
    </w:p>
    <w:p>
      <w:pPr>
        <w:pStyle w:val="Heading1"/>
      </w:pPr>
      <w:r>
        <w:t>4. Implementation Highlights</w:t>
      </w:r>
    </w:p>
    <w:p>
      <w:pPr>
        <w:pStyle w:val="ListBullet"/>
      </w:pPr>
      <w:r>
        <w:rPr>
          <w:b/>
        </w:rPr>
        <w:t xml:space="preserve">KerasHub bridge: </w:t>
      </w:r>
      <w:r>
        <w:t>KerasHubChatModel implements the LangChain BaseChatModel contract on top of KerasHub presets (Gemma3/Gemma2/Llama3.1), including prompt formatting per model family and strict echo stripping.</w:t>
      </w:r>
    </w:p>
    <w:p>
      <w:pPr>
        <w:pStyle w:val="ListBullet"/>
      </w:pPr>
      <w:r>
        <w:rPr>
          <w:b/>
        </w:rPr>
        <w:t xml:space="preserve">Batch grading: </w:t>
      </w:r>
      <w:r>
        <w:t>DocumentGrader grades documents in small batches to cut LLM calls per retrieval, with a per-doc fallback when the batch JSON cannot be parsed.</w:t>
      </w:r>
    </w:p>
    <w:p>
      <w:pPr>
        <w:pStyle w:val="ListBullet"/>
      </w:pPr>
      <w:r>
        <w:rPr>
          <w:b/>
        </w:rPr>
        <w:t xml:space="preserve">Runtime model switching: </w:t>
      </w:r>
      <w:r>
        <w:t>The model registry lets the caller pick a model per query without rebuilding the workflow. Compiled workflows are cached per model_id.</w:t>
      </w:r>
    </w:p>
    <w:p>
      <w:pPr>
        <w:pStyle w:val="ListBullet"/>
      </w:pPr>
      <w:r>
        <w:rPr>
          <w:b/>
        </w:rPr>
        <w:t xml:space="preserve">Auth-error failover: </w:t>
      </w:r>
      <w:r>
        <w:t>HostedChatModelAdapter catches 401/403 responses and fails over to a local model so a revoked API key does not take the system offline.</w:t>
      </w:r>
    </w:p>
    <w:p>
      <w:pPr>
        <w:pStyle w:val="ListBullet"/>
      </w:pPr>
      <w:r>
        <w:rPr>
          <w:b/>
        </w:rPr>
        <w:t xml:space="preserve">Inspectable state: </w:t>
      </w:r>
      <w:r>
        <w:t>AgentState aggregates timing, routing reasoning, escalation reasons, and source attribution in one place, simplifying observability.</w:t>
      </w:r>
    </w:p>
    <w:p>
      <w:pPr>
        <w:pStyle w:val="Heading1"/>
      </w:pPr>
      <w:r>
        <w:t>5. Evaluation</w:t>
      </w:r>
    </w:p>
    <w:p>
      <w:r>
        <w:rPr>
          <w:b w:val="0"/>
          <w:i w:val="0"/>
        </w:rPr>
        <w:t>evaluation/metrics.py defines 150 test queries (50 per domain) plus edge cases, along with an EvaluationResult dataclass capturing routing accuracy, task completion rate, average latency, and self-correction rate. The suite is written so it can be driven from a notebook against any registered model for apples-to-apples comparison.</w:t>
      </w:r>
    </w:p>
    <w:p>
      <w:pPr>
        <w:pStyle w:val="Heading2"/>
      </w:pPr>
      <w:r>
        <w:t>5.1 Metrics captured</w:t>
      </w:r>
    </w:p>
    <w:tbl>
      <w:tblPr>
        <w:tblStyle w:val="LightGrid-Accent1"/>
        <w:tblW w:type="auto" w:w="0"/>
        <w:tblLook w:firstColumn="1" w:firstRow="1" w:lastColumn="0" w:lastRow="0" w:noHBand="0" w:noVBand="1" w:val="04A0"/>
      </w:tblPr>
      <w:tblGrid>
        <w:gridCol w:w="4320"/>
        <w:gridCol w:w="4320"/>
      </w:tblGrid>
      <w:tr>
        <w:tc>
          <w:tcPr>
            <w:tcW w:type="dxa" w:w="3168"/>
            <w:shd w:val="clear" w:color="auto" w:fill="2E75B6"/>
          </w:tcPr>
          <w:p>
            <w:r/>
            <w:r>
              <w:rPr>
                <w:b/>
                <w:color w:val="FFFFFF"/>
              </w:rPr>
              <w:t>Metric</w:t>
            </w:r>
          </w:p>
        </w:tc>
        <w:tc>
          <w:tcPr>
            <w:tcW w:type="dxa" w:w="6912"/>
            <w:shd w:val="clear" w:color="auto" w:fill="2E75B6"/>
          </w:tcPr>
          <w:p>
            <w:r/>
            <w:r>
              <w:rPr>
                <w:b/>
                <w:color w:val="FFFFFF"/>
              </w:rPr>
              <w:t>What it measures</w:t>
            </w:r>
          </w:p>
        </w:tc>
      </w:tr>
      <w:tr>
        <w:tc>
          <w:tcPr>
            <w:tcW w:type="dxa" w:w="3168"/>
          </w:tcPr>
          <w:p>
            <w:r/>
            <w:r>
              <w:t>Routing accuracy</w:t>
            </w:r>
          </w:p>
        </w:tc>
        <w:tc>
          <w:tcPr>
            <w:tcW w:type="dxa" w:w="6912"/>
          </w:tcPr>
          <w:p>
            <w:r/>
            <w:r>
              <w:t>Fraction of queries classified into the intended domain</w:t>
            </w:r>
          </w:p>
        </w:tc>
      </w:tr>
      <w:tr>
        <w:tc>
          <w:tcPr>
            <w:tcW w:type="dxa" w:w="3168"/>
          </w:tcPr>
          <w:p>
            <w:r/>
            <w:r>
              <w:t>Task completion rate</w:t>
            </w:r>
          </w:p>
        </w:tc>
        <w:tc>
          <w:tcPr>
            <w:tcW w:type="dxa" w:w="6912"/>
          </w:tcPr>
          <w:p>
            <w:r/>
            <w:r>
              <w:t>Fraction of non-escalated, grounded responses</w:t>
            </w:r>
          </w:p>
        </w:tc>
      </w:tr>
      <w:tr>
        <w:tc>
          <w:tcPr>
            <w:tcW w:type="dxa" w:w="3168"/>
          </w:tcPr>
          <w:p>
            <w:r/>
            <w:r>
              <w:t>Avg. latency (seconds)</w:t>
            </w:r>
          </w:p>
        </w:tc>
        <w:tc>
          <w:tcPr>
            <w:tcW w:type="dxa" w:w="6912"/>
          </w:tcPr>
          <w:p>
            <w:r/>
            <w:r>
              <w:t>End-to-end p50 latency per query</w:t>
            </w:r>
          </w:p>
        </w:tc>
      </w:tr>
      <w:tr>
        <w:tc>
          <w:tcPr>
            <w:tcW w:type="dxa" w:w="3168"/>
          </w:tcPr>
          <w:p>
            <w:r/>
            <w:r>
              <w:t>Self-correction rate</w:t>
            </w:r>
          </w:p>
        </w:tc>
        <w:tc>
          <w:tcPr>
            <w:tcW w:type="dxa" w:w="6912"/>
          </w:tcPr>
          <w:p>
            <w:r/>
            <w:r>
              <w:t>Fraction of queries that required at least one rewrite</w:t>
            </w:r>
          </w:p>
        </w:tc>
      </w:tr>
    </w:tbl>
    <w:p>
      <w:pPr>
        <w:pStyle w:val="Heading2"/>
      </w:pPr>
      <w:r>
        <w:t>5.2 Qualitative observations</w:t>
      </w:r>
    </w:p>
    <w:p>
      <w:pPr>
        <w:pStyle w:val="ListBullet"/>
      </w:pPr>
      <w:r>
        <w:t>The supervisor is the biggest quality lever: raising the confidence threshold surfaces more clarify responses, which improves grounding but worsens perceived responsiveness.</w:t>
      </w:r>
    </w:p>
    <w:p>
      <w:pPr>
        <w:pStyle w:val="ListBullet"/>
      </w:pPr>
      <w:r>
        <w:t>The batch grader is materially cheaper than per-document grading, but is sensitive to JSON formatting. The per-doc fallback is essential for robustness on smaller local models.</w:t>
      </w:r>
    </w:p>
    <w:p>
      <w:pPr>
        <w:pStyle w:val="ListBullet"/>
      </w:pPr>
      <w:r>
        <w:t>On industrial queries, fault-code normalization in preprocessing delivers a larger recall improvement than any single retrieval-side tweak.</w:t>
      </w:r>
    </w:p>
    <w:p>
      <w:pPr>
        <w:pStyle w:val="ListBullet"/>
      </w:pPr>
      <w:r>
        <w:t>The hallucination check mostly escalates on two failure modes: empty retrievals that still produced a confidently-worded answer, and answers that paraphrased adjacent-but-unrelated documents.</w:t>
      </w:r>
    </w:p>
    <w:p>
      <w:pPr>
        <w:pStyle w:val="Heading1"/>
      </w:pPr>
      <w:r>
        <w:t>6. Limitations</w:t>
      </w:r>
    </w:p>
    <w:p>
      <w:pPr>
        <w:pStyle w:val="ListBullet"/>
      </w:pPr>
      <w:r>
        <w:t>The fallback route returns a static recommendation rather than a real web search — live search integration (e.g., Tavily) is designed in but not yet wired up.</w:t>
      </w:r>
    </w:p>
    <w:p>
      <w:pPr>
        <w:pStyle w:val="ListBullet"/>
      </w:pPr>
      <w:r>
        <w:t>Scientific retrieval relies on ArXiv abstracts and metadata. Full-paper parsing would improve answers for citation-heavy queries but requires meaningful additional ingestion infrastructure.</w:t>
      </w:r>
    </w:p>
    <w:p>
      <w:pPr>
        <w:pStyle w:val="ListBullet"/>
      </w:pPr>
      <w:r>
        <w:t>Integration and end-to-end tests are thin; unit coverage is solid, but workflow-level regressions are caught primarily by running the notebooks.</w:t>
      </w:r>
    </w:p>
    <w:p>
      <w:pPr>
        <w:pStyle w:val="ListBullet"/>
      </w:pPr>
      <w:r>
        <w:t>The system assumes that indexed content is trustworthy. Indexing user-generated content without added sanitization would expose the generator to prompt injection.</w:t>
      </w:r>
    </w:p>
    <w:p>
      <w:pPr>
        <w:pStyle w:val="ListBullet"/>
      </w:pPr>
      <w:r>
        <w:t>Two imports (langchain-text-splitters, transformers) are not yet pinned in requirements.txt.</w:t>
      </w:r>
    </w:p>
    <w:p>
      <w:pPr>
        <w:pStyle w:val="Heading1"/>
      </w:pPr>
      <w:r>
        <w:t>7. Future Work</w:t>
      </w:r>
    </w:p>
    <w:p>
      <w:pPr>
        <w:pStyle w:val="ListBullet"/>
      </w:pPr>
      <w:r>
        <w:t>Wire up a real fallback search provider and add a small ranker on top of search snippets.</w:t>
      </w:r>
    </w:p>
    <w:p>
      <w:pPr>
        <w:pStyle w:val="ListBullet"/>
      </w:pPr>
      <w:r>
        <w:t>Add full-text scientific ingestion (PDF parsing + figure/table extraction).</w:t>
      </w:r>
    </w:p>
    <w:p>
      <w:pPr>
        <w:pStyle w:val="ListBullet"/>
      </w:pPr>
      <w:r>
        <w:t>Ship a canonical CLI or lightweight HTTP service so the system has a production entrypoint outside notebooks.</w:t>
      </w:r>
    </w:p>
    <w:p>
      <w:pPr>
        <w:pStyle w:val="ListBullet"/>
      </w:pPr>
      <w:r>
        <w:t>Expand the evaluation harness into a nightly job that tracks routing accuracy and self-correction rates over time.</w:t>
      </w:r>
    </w:p>
    <w:p>
      <w:pPr>
        <w:pStyle w:val="ListBullet"/>
      </w:pPr>
      <w:r>
        <w:t>Add structured observability: request IDs, OpenTelemetry spans per node, and a dashboard for p50/p95 latency.</w:t>
      </w:r>
    </w:p>
    <w:p>
      <w:pPr>
        <w:pStyle w:val="Heading1"/>
      </w:pPr>
      <w:r>
        <w:t>8. Conclusion</w:t>
      </w:r>
    </w:p>
    <w:p>
      <w:r>
        <w:rPr>
          <w:b w:val="0"/>
          <w:i w:val="0"/>
        </w:rPr>
        <w:t>AI574 shows that a modest amount of structure — a supervisor, a shared corrective loop, and per-domain preprocessing — buys a large amount of quality and debuggability on top of off-the-shelf LLMs and embeddings. The architecture cleanly separates routing, retrieval, correction, and validation, which makes each piece independently replaceable. The most valuable future investment is closing the remaining observability and integration-testing gaps so that the same pipeline can be operated with confidence outside of notebook demos.</w:t>
      </w:r>
    </w:p>
    <w:p>
      <w:pPr>
        <w:pStyle w:val="Heading1"/>
      </w:pPr>
      <w:r>
        <w:t>Appendix A: File Map</w:t>
      </w:r>
    </w:p>
    <w:p>
      <w:pPr>
        <w:pStyle w:val="CodeBlock"/>
        <w:shd w:val="clear" w:color="auto" w:fill="F3F3F3"/>
      </w:pPr>
      <w:r>
        <w:rPr>
          <w:rFonts w:ascii="Consolas" w:hAnsi="Consolas"/>
          <w:sz w:val="19"/>
        </w:rPr>
        <w:t>agents/      base_agent.py, industrial_agent.py, recipe_agent.py, scientific_agent.py</w:t>
      </w:r>
      <w:r>
        <w:br/>
      </w:r>
      <w:r>
        <w:rPr>
          <w:rFonts w:ascii="Consolas" w:hAnsi="Consolas"/>
          <w:sz w:val="19"/>
        </w:rPr>
        <w:t>config/      settings.py, prompts.py</w:t>
      </w:r>
      <w:r>
        <w:br/>
      </w:r>
      <w:r>
        <w:rPr>
          <w:rFonts w:ascii="Consolas" w:hAnsi="Consolas"/>
          <w:sz w:val="19"/>
        </w:rPr>
        <w:t>evaluation/  metrics.py</w:t>
      </w:r>
      <w:r>
        <w:br/>
      </w:r>
      <w:r>
        <w:rPr>
          <w:rFonts w:ascii="Consolas" w:hAnsi="Consolas"/>
          <w:sz w:val="19"/>
        </w:rPr>
        <w:t>foundation/  llm_wrapper.py, embedding_service.py, vector_store.py, model_registry.py</w:t>
      </w:r>
      <w:r>
        <w:br/>
      </w:r>
      <w:r>
        <w:rPr>
          <w:rFonts w:ascii="Consolas" w:hAnsi="Consolas"/>
          <w:sz w:val="19"/>
        </w:rPr>
        <w:t>ingestion/   document_loader.py, chunking_pipeline.py, index_builder.py</w:t>
      </w:r>
      <w:r>
        <w:br/>
      </w:r>
      <w:r>
        <w:rPr>
          <w:rFonts w:ascii="Consolas" w:hAnsi="Consolas"/>
          <w:sz w:val="19"/>
        </w:rPr>
        <w:t>notebooks/   main_demo.ipynb, Multi_Domain_Agent.ipynb</w:t>
      </w:r>
      <w:r>
        <w:br/>
      </w:r>
      <w:r>
        <w:rPr>
          <w:rFonts w:ascii="Consolas" w:hAnsi="Consolas"/>
          <w:sz w:val="19"/>
        </w:rPr>
        <w:t>orchestration/ state_schema.py, supervisor.py, workflow_graph.py</w:t>
      </w:r>
      <w:r>
        <w:br/>
      </w:r>
      <w:r>
        <w:rPr>
          <w:rFonts w:ascii="Consolas" w:hAnsi="Consolas"/>
          <w:sz w:val="19"/>
        </w:rPr>
        <w:t>rag_core/    crag_pipeline.py, retriever.py, document_grader.py, query_rewriter.py,</w:t>
      </w:r>
      <w:r>
        <w:br/>
      </w:r>
      <w:r>
        <w:rPr>
          <w:rFonts w:ascii="Consolas" w:hAnsi="Consolas"/>
          <w:sz w:val="19"/>
        </w:rPr>
        <w:t xml:space="preserve">             response_generator.py, hallucination_checker.py</w:t>
      </w:r>
      <w:r>
        <w:br/>
      </w:r>
      <w:r>
        <w:rPr>
          <w:rFonts w:ascii="Consolas" w:hAnsi="Consolas"/>
          <w:sz w:val="19"/>
        </w:rPr>
        <w:t>tests/       test_crag_pipeline.py, test_security.py</w:t>
      </w:r>
    </w:p>
    <w:p>
      <w:pPr>
        <w:pStyle w:val="Heading1"/>
      </w:pPr>
      <w:r>
        <w:t>Appendix B: Key Configuration</w:t>
      </w:r>
    </w:p>
    <w:tbl>
      <w:tblPr>
        <w:tblStyle w:val="LightGrid-Accent1"/>
        <w:tblW w:type="auto" w:w="0"/>
        <w:tblLook w:firstColumn="1" w:firstRow="1" w:lastColumn="0" w:lastRow="0" w:noHBand="0" w:noVBand="1" w:val="04A0"/>
      </w:tblPr>
      <w:tblGrid>
        <w:gridCol w:w="2880"/>
        <w:gridCol w:w="2880"/>
        <w:gridCol w:w="2880"/>
      </w:tblGrid>
      <w:tr>
        <w:tc>
          <w:tcPr>
            <w:tcW w:type="dxa" w:w="3168"/>
            <w:shd w:val="clear" w:color="auto" w:fill="2E75B6"/>
          </w:tcPr>
          <w:p>
            <w:r/>
            <w:r>
              <w:rPr>
                <w:b/>
                <w:color w:val="FFFFFF"/>
              </w:rPr>
              <w:t>Setting</w:t>
            </w:r>
          </w:p>
        </w:tc>
        <w:tc>
          <w:tcPr>
            <w:tcW w:type="dxa" w:w="2592"/>
            <w:shd w:val="clear" w:color="auto" w:fill="2E75B6"/>
          </w:tcPr>
          <w:p>
            <w:r/>
            <w:r>
              <w:rPr>
                <w:b/>
                <w:color w:val="FFFFFF"/>
              </w:rPr>
              <w:t>Default</w:t>
            </w:r>
          </w:p>
        </w:tc>
        <w:tc>
          <w:tcPr>
            <w:tcW w:type="dxa" w:w="3456"/>
            <w:shd w:val="clear" w:color="auto" w:fill="2E75B6"/>
          </w:tcPr>
          <w:p>
            <w:r/>
            <w:r>
              <w:rPr>
                <w:b/>
                <w:color w:val="FFFFFF"/>
              </w:rPr>
              <w:t>Where</w:t>
            </w:r>
          </w:p>
        </w:tc>
      </w:tr>
      <w:tr>
        <w:tc>
          <w:tcPr>
            <w:tcW w:type="dxa" w:w="3168"/>
          </w:tcPr>
          <w:p>
            <w:r/>
            <w:r>
              <w:t>routing_confidence_threshold</w:t>
            </w:r>
          </w:p>
        </w:tc>
        <w:tc>
          <w:tcPr>
            <w:tcW w:type="dxa" w:w="2592"/>
          </w:tcPr>
          <w:p>
            <w:r/>
            <w:r>
              <w:t>0.75</w:t>
            </w:r>
          </w:p>
        </w:tc>
        <w:tc>
          <w:tcPr>
            <w:tcW w:type="dxa" w:w="3456"/>
          </w:tcPr>
          <w:p>
            <w:r/>
            <w:r>
              <w:t>SupervisorConfig</w:t>
            </w:r>
          </w:p>
        </w:tc>
      </w:tr>
      <w:tr>
        <w:tc>
          <w:tcPr>
            <w:tcW w:type="dxa" w:w="3168"/>
          </w:tcPr>
          <w:p>
            <w:r/>
            <w:r>
              <w:t>max_rewrite_attempts</w:t>
            </w:r>
          </w:p>
        </w:tc>
        <w:tc>
          <w:tcPr>
            <w:tcW w:type="dxa" w:w="2592"/>
          </w:tcPr>
          <w:p>
            <w:r/>
            <w:r>
              <w:t>2</w:t>
            </w:r>
          </w:p>
        </w:tc>
        <w:tc>
          <w:tcPr>
            <w:tcW w:type="dxa" w:w="3456"/>
          </w:tcPr>
          <w:p>
            <w:r/>
            <w:r>
              <w:t>RAGConfig</w:t>
            </w:r>
          </w:p>
        </w:tc>
      </w:tr>
      <w:tr>
        <w:tc>
          <w:tcPr>
            <w:tcW w:type="dxa" w:w="3168"/>
          </w:tcPr>
          <w:p>
            <w:r/>
            <w:r>
              <w:t>relevance_threshold</w:t>
            </w:r>
          </w:p>
        </w:tc>
        <w:tc>
          <w:tcPr>
            <w:tcW w:type="dxa" w:w="2592"/>
          </w:tcPr>
          <w:p>
            <w:r/>
            <w:r>
              <w:t>0.7</w:t>
            </w:r>
          </w:p>
        </w:tc>
        <w:tc>
          <w:tcPr>
            <w:tcW w:type="dxa" w:w="3456"/>
          </w:tcPr>
          <w:p>
            <w:r/>
            <w:r>
              <w:t>RAGConfig</w:t>
            </w:r>
          </w:p>
        </w:tc>
      </w:tr>
      <w:tr>
        <w:tc>
          <w:tcPr>
            <w:tcW w:type="dxa" w:w="3168"/>
          </w:tcPr>
          <w:p>
            <w:r/>
            <w:r>
              <w:t>confidence_threshold</w:t>
            </w:r>
          </w:p>
        </w:tc>
        <w:tc>
          <w:tcPr>
            <w:tcW w:type="dxa" w:w="2592"/>
          </w:tcPr>
          <w:p>
            <w:r/>
            <w:r>
              <w:t>0.6</w:t>
            </w:r>
          </w:p>
        </w:tc>
        <w:tc>
          <w:tcPr>
            <w:tcW w:type="dxa" w:w="3456"/>
          </w:tcPr>
          <w:p>
            <w:r/>
            <w:r>
              <w:t>RAGConfig</w:t>
            </w:r>
          </w:p>
        </w:tc>
      </w:tr>
      <w:tr>
        <w:tc>
          <w:tcPr>
            <w:tcW w:type="dxa" w:w="3168"/>
          </w:tcPr>
          <w:p>
            <w:r/>
            <w:r>
              <w:t>search_top_k</w:t>
            </w:r>
          </w:p>
        </w:tc>
        <w:tc>
          <w:tcPr>
            <w:tcW w:type="dxa" w:w="2592"/>
          </w:tcPr>
          <w:p>
            <w:r/>
            <w:r>
              <w:t>5</w:t>
            </w:r>
          </w:p>
        </w:tc>
        <w:tc>
          <w:tcPr>
            <w:tcW w:type="dxa" w:w="3456"/>
          </w:tcPr>
          <w:p>
            <w:r/>
            <w:r>
              <w:t>VectorStoreConfig</w:t>
            </w:r>
          </w:p>
        </w:tc>
      </w:tr>
      <w:tr>
        <w:tc>
          <w:tcPr>
            <w:tcW w:type="dxa" w:w="3168"/>
          </w:tcPr>
          <w:p>
            <w:r/>
            <w:r>
              <w:t>chunk_size</w:t>
            </w:r>
          </w:p>
        </w:tc>
        <w:tc>
          <w:tcPr>
            <w:tcW w:type="dxa" w:w="2592"/>
          </w:tcPr>
          <w:p>
            <w:r/>
            <w:r>
              <w:t>768 tokens</w:t>
            </w:r>
          </w:p>
        </w:tc>
        <w:tc>
          <w:tcPr>
            <w:tcW w:type="dxa" w:w="3456"/>
          </w:tcPr>
          <w:p>
            <w:r/>
            <w:r>
              <w:t>ChunkingConfig</w:t>
            </w:r>
          </w:p>
        </w:tc>
      </w:tr>
      <w:tr>
        <w:tc>
          <w:tcPr>
            <w:tcW w:type="dxa" w:w="3168"/>
          </w:tcPr>
          <w:p>
            <w:r/>
            <w:r>
              <w:t>chunk_overlap_pct</w:t>
            </w:r>
          </w:p>
        </w:tc>
        <w:tc>
          <w:tcPr>
            <w:tcW w:type="dxa" w:w="2592"/>
          </w:tcPr>
          <w:p>
            <w:r/>
            <w:r>
              <w:t>0.15</w:t>
            </w:r>
          </w:p>
        </w:tc>
        <w:tc>
          <w:tcPr>
            <w:tcW w:type="dxa" w:w="3456"/>
          </w:tcPr>
          <w:p>
            <w:r/>
            <w:r>
              <w:t>ChunkingConfig</w:t>
            </w:r>
          </w:p>
        </w:tc>
      </w:tr>
      <w:tr>
        <w:tc>
          <w:tcPr>
            <w:tcW w:type="dxa" w:w="3168"/>
          </w:tcPr>
          <w:p>
            <w:r/>
            <w:r>
              <w:t>embedding_model</w:t>
            </w:r>
          </w:p>
        </w:tc>
        <w:tc>
          <w:tcPr>
            <w:tcW w:type="dxa" w:w="2592"/>
          </w:tcPr>
          <w:p>
            <w:r/>
            <w:r>
              <w:t>thenlper/gte-large</w:t>
            </w:r>
          </w:p>
        </w:tc>
        <w:tc>
          <w:tcPr>
            <w:tcW w:type="dxa" w:w="3456"/>
          </w:tcPr>
          <w:p>
            <w:r/>
            <w:r>
              <w:t>EmbeddingConfig</w:t>
            </w:r>
          </w:p>
        </w:tc>
      </w:tr>
      <w:tr>
        <w:tc>
          <w:tcPr>
            <w:tcW w:type="dxa" w:w="3168"/>
          </w:tcPr>
          <w:p>
            <w:r/>
            <w:r>
              <w:t>default_model_id</w:t>
            </w:r>
          </w:p>
        </w:tc>
        <w:tc>
          <w:tcPr>
            <w:tcW w:type="dxa" w:w="2592"/>
          </w:tcPr>
          <w:p>
            <w:r/>
            <w:r>
              <w:t>gemini_flash</w:t>
            </w:r>
          </w:p>
        </w:tc>
        <w:tc>
          <w:tcPr>
            <w:tcW w:type="dxa" w:w="3456"/>
          </w:tcPr>
          <w:p>
            <w:r/>
            <w:r>
              <w:t>model registry</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 xml:space="preserve">AI574 — Final Project Report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0101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01010"/>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10101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0101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20"/>
      <w:ind w:left="360"/>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