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Ava Thompson</w:t>
            </w:r>
          </w:p>
        </w:tc>
        <w:tc>
          <w:tcPr>
            <w:tcW w:type="dxa" w:w="2880"/>
            <w:gridSpan w:val="2"/>
          </w:tcPr>
          <w:p>
            <w:r>
              <w:t>Senior</w:t>
            </w:r>
          </w:p>
        </w:tc>
        <w:tc>
          <w:tcPr>
            <w:tcW w:type="dxa" w:w="2880"/>
            <w:gridSpan w:val="2"/>
          </w:tcPr>
          <w:p>
            <w:r>
              <w:t>January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Business Administration</w:t>
            </w:r>
          </w:p>
        </w:tc>
        <w:tc>
          <w:tcPr>
            <w:tcW w:type="dxa" w:w="2880"/>
            <w:gridSpan w:val="2"/>
          </w:tcPr>
          <w:p>
            <w:r>
              <w:t>Economics Minor</w:t>
            </w:r>
          </w:p>
        </w:tc>
        <w:tc>
          <w:tcPr>
            <w:tcW w:type="dxa" w:w="4320"/>
            <w:gridSpan w:val="3"/>
          </w:tcPr>
          <w:p>
            <w:r>
              <w:t>Spring 2026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Creative Writing Collection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Creative Writing Collection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Reminder: intercultural experience needs to be completed before Spring registration for HONR 475.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ISSS Global Buddy Program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ISSS Global Buddy Program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Great progress this semester. Continue developing your reflection on the leadership experience before HONR 375.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