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1A56DB"/>
          </w:tcPr>
          <w:p>
            <w:pPr>
              <w:jc w:val="center"/>
              <w:spacing w:before="160" w:after="60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🧪  NetFlow Testing Packet</w:t>
            </w:r>
          </w:p>
        </w:tc>
      </w:tr>
      <w:tr>
        <w:tc>
          <w:tcPr>
            <w:tcW w:type="dxa" w:w="9972"/>
            <w:shd w:val="clear" w:color="auto" w:fill="1E40AF"/>
          </w:tcPr>
          <w:p>
            <w:pPr>
              <w:jc w:val="center"/>
              <w:spacing w:before="60" w:after="160"/>
            </w:pPr>
            <w:r>
              <w:rPr>
                <w:rFonts w:ascii="Calibri" w:hAnsi="Calibri"/>
                <w:b w:val="0"/>
                <w:i/>
                <w:color w:val="BFDBFE"/>
                <w:sz w:val="20"/>
              </w:rPr>
              <w:t>End-to-end validation guide · Access credentials · Workflow execution · Final checklist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</w:tcPr>
          <w:p>
            <w:pPr>
              <w:jc w:val="left"/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📋  Overview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BEAFE"/>
          <w:left w:val="single" w:sz="4" w:space="0" w:color="DBEAFE"/>
          <w:bottom w:val="single" w:sz="4" w:space="0" w:color="DBEAFE"/>
          <w:right w:val="single" w:sz="4" w:space="0" w:color="DBEAFE"/>
          <w:insideH w:val="single" w:sz="4" w:space="0" w:color="DBEAFE"/>
          <w:insideV w:val="single" w:sz="4" w:space="0" w:color="DBEAFE"/>
        </w:tblBorders>
      </w:tblPr>
      <w:tblGrid>
        <w:gridCol w:w="4986"/>
        <w:gridCol w:w="4986"/>
      </w:tblGrid>
      <w:tr>
        <w:tc>
          <w:tcPr>
            <w:tcW w:type="dxa" w:w="4986"/>
            <w:tcW w:w="2835" w:type="dxa"/>
            <w:shd w:val="clear" w:color="auto" w:fill="DBEAFE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Application URL</w:t>
            </w:r>
          </w:p>
        </w:tc>
        <w:tc>
          <w:tcPr>
            <w:tcW w:type="dxa" w:w="4986"/>
            <w:tcW w:w="6520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https://net-flow-sw.vercel.app</w:t>
            </w:r>
          </w:p>
        </w:tc>
      </w:tr>
      <w:tr>
        <w:tc>
          <w:tcPr>
            <w:tcW w:type="dxa" w:w="4986"/>
            <w:tcW w:w="2835" w:type="dxa"/>
            <w:shd w:val="clear" w:color="auto" w:fill="DBEAFE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Primary Use</w:t>
            </w:r>
          </w:p>
        </w:tc>
        <w:tc>
          <w:tcPr>
            <w:tcW w:type="dxa" w:w="4986"/>
            <w:tcW w:w="652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Super Admin validation, Org Admin checks, and workflow/form execution testing</w:t>
            </w:r>
          </w:p>
        </w:tc>
      </w:tr>
      <w:tr>
        <w:tc>
          <w:tcPr>
            <w:tcW w:type="dxa" w:w="4986"/>
            <w:tcW w:w="2835" w:type="dxa"/>
            <w:shd w:val="clear" w:color="auto" w:fill="DBEAFE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Workflow Under Test</w:t>
            </w:r>
          </w:p>
        </w:tc>
        <w:tc>
          <w:tcPr>
            <w:tcW w:type="dxa" w:w="4986"/>
            <w:tcW w:w="6520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GRN &amp; Costing Approval Workflow</w:t>
            </w:r>
          </w:p>
        </w:tc>
      </w:tr>
      <w:tr>
        <w:tc>
          <w:tcPr>
            <w:tcW w:type="dxa" w:w="4986"/>
            <w:tcW w:w="2835" w:type="dxa"/>
            <w:shd w:val="clear" w:color="auto" w:fill="DBEAFE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Linked Form</w:t>
            </w:r>
          </w:p>
        </w:tc>
        <w:tc>
          <w:tcPr>
            <w:tcW w:type="dxa" w:w="4986"/>
            <w:tcW w:w="6520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GRN &amp; Costing Approval Form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F59E0B"/>
            <w:tcBorders>
              <w:top w:val="single" w:sz="12" w:space="0" w:color="F59E0B"/>
              <w:left w:val="single" w:sz="12" w:space="0" w:color="F59E0B"/>
              <w:bottom w:val="single" w:sz="12" w:space="0" w:color="F59E0B"/>
            </w:tcBorders>
            <w:tcW w:w="200" w:type="dxa"/>
          </w:tcPr>
          <w:p>
            <w:r/>
          </w:p>
        </w:tc>
        <w:tc>
          <w:tcPr>
            <w:tcW w:type="dxa" w:w="4986"/>
            <w:shd w:val="clear" w:color="auto" w:fill="FFF3CD"/>
            <w:tcBorders>
              <w:top w:val="single" w:sz="8" w:space="0" w:color="F59E0B"/>
              <w:right w:val="single" w:sz="8" w:space="0" w:color="F59E0B"/>
              <w:bottom w:val="single" w:sz="8" w:space="0" w:color="F59E0B"/>
            </w:tcBorders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924009"/>
                <w:sz w:val="20"/>
              </w:rPr>
              <w:t xml:space="preserve">⚠  CAUTION  </w:t>
            </w:r>
            <w:r>
              <w:rPr>
                <w:rFonts w:ascii="Calibri" w:hAnsi="Calibri"/>
                <w:b w:val="0"/>
                <w:i w:val="0"/>
                <w:color w:val="924009"/>
                <w:sz w:val="20"/>
              </w:rPr>
              <w:t xml:space="preserve">This packet contains </w:t>
            </w:r>
            <w:r>
              <w:rPr>
                <w:rFonts w:ascii="Calibri" w:hAnsi="Calibri"/>
                <w:b/>
                <w:i w:val="0"/>
                <w:color w:val="924009"/>
                <w:sz w:val="20"/>
              </w:rPr>
              <w:t>active test credentials</w:t>
            </w:r>
            <w:r>
              <w:rPr>
                <w:rFonts w:ascii="Calibri" w:hAnsi="Calibri"/>
                <w:b w:val="0"/>
                <w:i w:val="0"/>
                <w:color w:val="924009"/>
                <w:sz w:val="20"/>
              </w:rPr>
              <w:t xml:space="preserve">. Share only with approved QA or platform stakeholders. </w:t>
            </w:r>
            <w:r>
              <w:rPr>
                <w:rFonts w:ascii="Calibri" w:hAnsi="Calibri"/>
                <w:b/>
                <w:i w:val="0"/>
                <w:color w:val="924009"/>
                <w:sz w:val="20"/>
              </w:rPr>
              <w:t>Rotate passwords</w:t>
            </w:r>
            <w:r>
              <w:rPr>
                <w:rFonts w:ascii="Calibri" w:hAnsi="Calibri"/>
                <w:b w:val="0"/>
                <w:i w:val="0"/>
                <w:color w:val="924009"/>
                <w:sz w:val="20"/>
              </w:rPr>
              <w:t xml:space="preserve"> after external testing cycles are complete.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</w:tcPr>
          <w:p>
            <w:pPr>
              <w:jc w:val="left"/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🔐  Access Credentials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BEAFE"/>
          <w:left w:val="single" w:sz="4" w:space="0" w:color="DBEAFE"/>
          <w:bottom w:val="single" w:sz="4" w:space="0" w:color="DBEAFE"/>
          <w:right w:val="single" w:sz="4" w:space="0" w:color="DBEAFE"/>
          <w:insideH w:val="single" w:sz="4" w:space="0" w:color="DBEAFE"/>
          <w:insideV w:val="single" w:sz="4" w:space="0" w:color="DBEAFE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W w:w="1587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493"/>
            <w:tcW w:w="2381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Email</w:t>
            </w:r>
          </w:p>
        </w:tc>
        <w:tc>
          <w:tcPr>
            <w:tcW w:type="dxa" w:w="2493"/>
            <w:tcW w:w="1701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Password</w:t>
            </w:r>
          </w:p>
        </w:tc>
        <w:tc>
          <w:tcPr>
            <w:tcW w:type="dxa" w:w="2493"/>
            <w:tcW w:w="3685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93"/>
            <w:tcW w:w="1587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Super Admin</w:t>
            </w:r>
          </w:p>
        </w:tc>
        <w:tc>
          <w:tcPr>
            <w:tcW w:type="dxa" w:w="2493"/>
            <w:tcW w:w="2381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superadmin@netflow.app</w:t>
            </w:r>
          </w:p>
        </w:tc>
        <w:tc>
          <w:tcPr>
            <w:tcW w:type="dxa" w:w="2493"/>
            <w:tcW w:w="1701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Super@12345</w:t>
            </w:r>
          </w:p>
        </w:tc>
        <w:tc>
          <w:tcPr>
            <w:tcW w:type="dxa" w:w="2493"/>
            <w:tcW w:w="3685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Platform dashboard, organizations, usage, audit, and broadcast checks</w:t>
            </w:r>
          </w:p>
        </w:tc>
      </w:tr>
      <w:tr>
        <w:tc>
          <w:tcPr>
            <w:tcW w:type="dxa" w:w="2493"/>
            <w:tcW w:w="1587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Org Admin</w:t>
            </w:r>
          </w:p>
        </w:tc>
        <w:tc>
          <w:tcPr>
            <w:tcW w:type="dxa" w:w="2493"/>
            <w:tcW w:w="2381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admin@netlink.com</w:t>
            </w:r>
          </w:p>
        </w:tc>
        <w:tc>
          <w:tcPr>
            <w:tcW w:type="dxa" w:w="2493"/>
            <w:tcW w:w="1701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admin@123</w:t>
            </w:r>
          </w:p>
        </w:tc>
        <w:tc>
          <w:tcPr>
            <w:tcW w:type="dxa" w:w="2493"/>
            <w:tcW w:w="3685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Organization-level validation, team/admin actions, and workflow oversight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</w:tcPr>
          <w:p>
            <w:pPr>
              <w:jc w:val="left"/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🔄  Workflow Execution Path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/>
          <w:i w:val="0"/>
          <w:color w:val="1A56DB"/>
          <w:sz w:val="21"/>
        </w:rPr>
        <w:t xml:space="preserve">Goal: </w:t>
      </w:r>
      <w:r>
        <w:rPr>
          <w:rFonts w:ascii="Calibri" w:hAnsi="Calibri"/>
          <w:b w:val="0"/>
          <w:i w:val="0"/>
          <w:color w:val="111827"/>
          <w:sz w:val="21"/>
        </w:rPr>
        <w:t xml:space="preserve">Run the GRN &amp; Costing Approval Form through every assigned approver until the workflow reaches </w:t>
      </w:r>
      <w:r>
        <w:rPr>
          <w:rFonts w:ascii="Calibri" w:hAnsi="Calibri"/>
          <w:b/>
          <w:i w:val="0"/>
          <w:color w:val="1A56DB"/>
          <w:sz w:val="21"/>
        </w:rPr>
        <w:t>END</w:t>
      </w:r>
      <w:r>
        <w:rPr>
          <w:rFonts w:ascii="Calibri" w:hAnsi="Calibri"/>
          <w:b w:val="0"/>
          <w:i w:val="0"/>
          <w:color w:val="111827"/>
          <w:sz w:val="21"/>
        </w:rPr>
        <w:t>.</w:t>
      </w:r>
    </w:p>
    <w:p>
      <w:pPr>
        <w:spacing w:before="0" w:after="60"/>
      </w:pPr>
      <w:r>
        <w:rPr>
          <w:rFonts w:ascii="Calibri" w:hAnsi="Calibri"/>
          <w:b/>
          <w:i w:val="0"/>
          <w:color w:val="1A56DB"/>
          <w:sz w:val="22"/>
        </w:rPr>
        <w:t>Step-by-Step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BEAFE"/>
          <w:left w:val="single" w:sz="4" w:space="0" w:color="DBEAFE"/>
          <w:bottom w:val="single" w:sz="4" w:space="0" w:color="DBEAFE"/>
          <w:right w:val="single" w:sz="4" w:space="0" w:color="DBEAFE"/>
          <w:insideH w:val="single" w:sz="4" w:space="0" w:color="DBEAFE"/>
          <w:insideV w:val="single" w:sz="4" w:space="0" w:color="DBEAFE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tcW w:w="567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1994"/>
            <w:tcW w:w="2154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Assignee</w:t>
            </w:r>
          </w:p>
        </w:tc>
        <w:tc>
          <w:tcPr>
            <w:tcW w:type="dxa" w:w="1994"/>
            <w:tcW w:w="1701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Password</w:t>
            </w:r>
          </w:p>
        </w:tc>
        <w:tc>
          <w:tcPr>
            <w:tcW w:type="dxa" w:w="1994"/>
            <w:tcW w:w="1984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1994"/>
            <w:tcW w:w="2948" w:type="dxa"/>
            <w:shd w:val="clear" w:color="auto" w:fill="1E40A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994"/>
            <w:tcW w:w="567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1994"/>
            <w:tcW w:w="2154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ayush@netlink.com</w:t>
            </w:r>
          </w:p>
        </w:tc>
        <w:tc>
          <w:tcPr>
            <w:tcW w:type="dxa" w:w="1994"/>
            <w:tcW w:w="1701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ayush@123</w:t>
            </w:r>
          </w:p>
        </w:tc>
        <w:tc>
          <w:tcPr>
            <w:tcW w:type="dxa" w:w="1994"/>
            <w:tcW w:w="1984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Fill Form</w:t>
            </w:r>
          </w:p>
        </w:tc>
        <w:tc>
          <w:tcPr>
            <w:tcW w:type="dxa" w:w="1994"/>
            <w:tcW w:w="2948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Open the linked form, submit the full GRN request, and confirm the workflow starts.</w:t>
            </w:r>
          </w:p>
        </w:tc>
      </w:tr>
      <w:tr>
        <w:tc>
          <w:tcPr>
            <w:tcW w:type="dxa" w:w="1994"/>
            <w:tcW w:w="567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1994"/>
            <w:tcW w:w="2154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vikram@netlink.com</w:t>
            </w:r>
          </w:p>
        </w:tc>
        <w:tc>
          <w:tcPr>
            <w:tcW w:type="dxa" w:w="1994"/>
            <w:tcW w:w="1701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vikram@123</w:t>
            </w:r>
          </w:p>
        </w:tc>
        <w:tc>
          <w:tcPr>
            <w:tcW w:type="dxa" w:w="1994"/>
            <w:tcW w:w="1984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Warehouse Approval</w:t>
            </w:r>
          </w:p>
        </w:tc>
        <w:tc>
          <w:tcPr>
            <w:tcW w:type="dxa" w:w="1994"/>
            <w:tcW w:w="2948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Review the incoming task, verify warehouse details, and approve to move to Accounts.</w:t>
            </w:r>
          </w:p>
        </w:tc>
      </w:tr>
      <w:tr>
        <w:tc>
          <w:tcPr>
            <w:tcW w:type="dxa" w:w="1994"/>
            <w:tcW w:w="567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1994"/>
            <w:tcW w:w="2154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ravi@netlink.com</w:t>
            </w:r>
          </w:p>
        </w:tc>
        <w:tc>
          <w:tcPr>
            <w:tcW w:type="dxa" w:w="1994"/>
            <w:tcW w:w="1701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ravi@123</w:t>
            </w:r>
          </w:p>
        </w:tc>
        <w:tc>
          <w:tcPr>
            <w:tcW w:type="dxa" w:w="1994"/>
            <w:tcW w:w="1984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Accounts Submit Costing</w:t>
            </w:r>
          </w:p>
        </w:tc>
        <w:tc>
          <w:tcPr>
            <w:tcW w:type="dxa" w:w="1994"/>
            <w:tcW w:w="2948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Open the task, add costing data, and submit the costing portion for brand review.</w:t>
            </w:r>
          </w:p>
        </w:tc>
      </w:tr>
      <w:tr>
        <w:tc>
          <w:tcPr>
            <w:tcW w:type="dxa" w:w="1994"/>
            <w:tcW w:w="567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1994"/>
            <w:tcW w:w="2154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aditya@netlink.com</w:t>
            </w:r>
          </w:p>
        </w:tc>
        <w:tc>
          <w:tcPr>
            <w:tcW w:type="dxa" w:w="1994"/>
            <w:tcW w:w="1701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aditya@123</w:t>
            </w:r>
          </w:p>
        </w:tc>
        <w:tc>
          <w:tcPr>
            <w:tcW w:type="dxa" w:w="1994"/>
            <w:tcW w:w="1984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Brand Review</w:t>
            </w:r>
          </w:p>
        </w:tc>
        <w:tc>
          <w:tcPr>
            <w:tcW w:type="dxa" w:w="1994"/>
            <w:tcW w:w="2948" w:type="dxa"/>
            <w:shd w:val="clear" w:color="auto" w:fill="EFF6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Review costing and GRN details, then approve the brand review stage.</w:t>
            </w:r>
          </w:p>
        </w:tc>
      </w:tr>
      <w:tr>
        <w:tc>
          <w:tcPr>
            <w:tcW w:type="dxa" w:w="1994"/>
            <w:tcW w:w="567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1994"/>
            <w:tcW w:w="2154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dhirendra@netlink.com</w:t>
            </w:r>
          </w:p>
        </w:tc>
        <w:tc>
          <w:tcPr>
            <w:tcW w:type="dxa" w:w="1994"/>
            <w:tcW w:w="1701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ourier New" w:hAnsi="Courier New"/>
                <w:b w:val="0"/>
                <w:i w:val="0"/>
                <w:color w:val="1E40AF"/>
                <w:sz w:val="18"/>
              </w:rPr>
              <w:t>dhirendra@123</w:t>
            </w:r>
          </w:p>
        </w:tc>
        <w:tc>
          <w:tcPr>
            <w:tcW w:type="dxa" w:w="1994"/>
            <w:tcW w:w="1984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Accountant Approval</w:t>
            </w:r>
          </w:p>
        </w:tc>
        <w:tc>
          <w:tcPr>
            <w:tcW w:type="dxa" w:w="1994"/>
            <w:tcW w:w="2948" w:type="dxa"/>
            <w:shd w:val="clear" w:color="auto" w:fill="FFFFFF"/>
            <w:vAlign w:val="center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Perform the final finance approval and confirm the workflow reaches END state.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</w:tcPr>
          <w:p>
            <w:pPr>
              <w:jc w:val="left"/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🗂️  Detailed Execution Order</w:t>
            </w:r>
          </w:p>
        </w:tc>
      </w:tr>
    </w:tbl>
    <w:p/>
    <w:p>
      <w:pPr>
        <w:spacing w:before="0" w:after="120"/>
      </w:pPr>
      <w:r>
        <w:rPr>
          <w:rFonts w:ascii="Calibri" w:hAnsi="Calibri"/>
          <w:b w:val="0"/>
          <w:i w:val="0"/>
          <w:color w:val="4B5563"/>
          <w:sz w:val="20"/>
        </w:rPr>
        <w:t xml:space="preserve">Follow these steps </w:t>
      </w:r>
      <w:r>
        <w:rPr>
          <w:rFonts w:ascii="Calibri" w:hAnsi="Calibri"/>
          <w:b/>
          <w:i w:val="0"/>
          <w:color w:val="111827"/>
          <w:sz w:val="20"/>
        </w:rPr>
        <w:t>in sequence</w:t>
      </w:r>
      <w:r>
        <w:rPr>
          <w:rFonts w:ascii="Calibri" w:hAnsi="Calibri"/>
          <w:b w:val="0"/>
          <w:i w:val="0"/>
          <w:color w:val="4B5563"/>
          <w:sz w:val="20"/>
        </w:rPr>
        <w:t>. Do not skip — each approval unlocks the next stage.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W w:w="600" w:type="dx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1</w:t>
            </w:r>
          </w:p>
        </w:tc>
        <w:tc>
          <w:tcPr>
            <w:tcW w:type="dxa" w:w="4986"/>
            <w:shd w:val="clear" w:color="auto" w:fill="F0F9FF"/>
            <w:tcBorders>
              <w:top w:val="single" w:sz="6" w:space="0" w:color="93C5FD"/>
              <w:right w:val="single" w:sz="6" w:space="0" w:color="93C5FD"/>
              <w:bottom w:val="single" w:sz="6" w:space="0" w:color="93C5FD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56DB"/>
                <w:sz w:val="22"/>
              </w:rPr>
              <w:t>Step 1 — Fill Form</w:t>
            </w:r>
          </w:p>
          <w:p>
            <w:pPr>
              <w:spacing w:before="20" w:after="60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 xml:space="preserve">Sign in as  </w:t>
            </w:r>
            <w:r>
              <w:rPr>
                <w:rFonts w:ascii="Courier New" w:hAnsi="Courier New"/>
                <w:b w:val="0"/>
                <w:i w:val="0"/>
                <w:color w:val="1E40AF"/>
                <w:sz w:val="19"/>
              </w:rPr>
              <w:t>ayush@netlink.com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Open the linked GRN &amp; Costing Approval Form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Fill in the full GRN request and submit</w:t>
            </w:r>
          </w:p>
          <w:p>
            <w:pPr>
              <w:spacing w:before="60" w:after="80"/>
            </w:pPr>
            <w:r>
              <w:rPr>
                <w:rFonts w:ascii="Calibri" w:hAnsi="Calibri"/>
                <w:b/>
                <w:i w:val="0"/>
                <w:color w:val="059669"/>
                <w:sz w:val="19"/>
              </w:rPr>
              <w:t xml:space="preserve">  ✅  Verify: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Workflow instance is created and status is active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W w:w="600" w:type="dx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2</w:t>
            </w:r>
          </w:p>
        </w:tc>
        <w:tc>
          <w:tcPr>
            <w:tcW w:type="dxa" w:w="4986"/>
            <w:shd w:val="clear" w:color="auto" w:fill="F0F9FF"/>
            <w:tcBorders>
              <w:top w:val="single" w:sz="6" w:space="0" w:color="93C5FD"/>
              <w:right w:val="single" w:sz="6" w:space="0" w:color="93C5FD"/>
              <w:bottom w:val="single" w:sz="6" w:space="0" w:color="93C5FD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56DB"/>
                <w:sz w:val="22"/>
              </w:rPr>
              <w:t>Step 2 — Warehouse Approval</w:t>
            </w:r>
          </w:p>
          <w:p>
            <w:pPr>
              <w:spacing w:before="20" w:after="60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 xml:space="preserve">Sign in as  </w:t>
            </w:r>
            <w:r>
              <w:rPr>
                <w:rFonts w:ascii="Courier New" w:hAnsi="Courier New"/>
                <w:b w:val="0"/>
                <w:i w:val="0"/>
                <w:color w:val="1E40AF"/>
                <w:sz w:val="19"/>
              </w:rPr>
              <w:t>vikram@netlink.com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Open the assigned task in your queue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Review warehouse details and approve</w:t>
            </w:r>
          </w:p>
          <w:p>
            <w:pPr>
              <w:spacing w:before="60" w:after="80"/>
            </w:pPr>
            <w:r>
              <w:rPr>
                <w:rFonts w:ascii="Calibri" w:hAnsi="Calibri"/>
                <w:b/>
                <w:i w:val="0"/>
                <w:color w:val="059669"/>
                <w:sz w:val="19"/>
              </w:rPr>
              <w:t xml:space="preserve">  ✅  Verify: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Task moves to the Accounts stage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W w:w="600" w:type="dx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3</w:t>
            </w:r>
          </w:p>
        </w:tc>
        <w:tc>
          <w:tcPr>
            <w:tcW w:type="dxa" w:w="4986"/>
            <w:shd w:val="clear" w:color="auto" w:fill="F0F9FF"/>
            <w:tcBorders>
              <w:top w:val="single" w:sz="6" w:space="0" w:color="93C5FD"/>
              <w:right w:val="single" w:sz="6" w:space="0" w:color="93C5FD"/>
              <w:bottom w:val="single" w:sz="6" w:space="0" w:color="93C5FD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56DB"/>
                <w:sz w:val="22"/>
              </w:rPr>
              <w:t>Step 3 — Accounts Submit Costing</w:t>
            </w:r>
          </w:p>
          <w:p>
            <w:pPr>
              <w:spacing w:before="20" w:after="60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 xml:space="preserve">Sign in as  </w:t>
            </w:r>
            <w:r>
              <w:rPr>
                <w:rFonts w:ascii="Courier New" w:hAnsi="Courier New"/>
                <w:b w:val="0"/>
                <w:i w:val="0"/>
                <w:color w:val="1E40AF"/>
                <w:sz w:val="19"/>
              </w:rPr>
              <w:t>ravi@netlink.com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Open the task and add all costing data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Submit the costing portion for brand review</w:t>
            </w:r>
          </w:p>
          <w:p>
            <w:pPr>
              <w:spacing w:before="60" w:after="80"/>
            </w:pPr>
            <w:r>
              <w:rPr>
                <w:rFonts w:ascii="Calibri" w:hAnsi="Calibri"/>
                <w:b/>
                <w:i w:val="0"/>
                <w:color w:val="059669"/>
                <w:sz w:val="19"/>
              </w:rPr>
              <w:t xml:space="preserve">  ✅  Verify: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Task moves to the Brand Review stage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W w:w="600" w:type="dx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4</w:t>
            </w:r>
          </w:p>
        </w:tc>
        <w:tc>
          <w:tcPr>
            <w:tcW w:type="dxa" w:w="4986"/>
            <w:shd w:val="clear" w:color="auto" w:fill="F0F9FF"/>
            <w:tcBorders>
              <w:top w:val="single" w:sz="6" w:space="0" w:color="93C5FD"/>
              <w:right w:val="single" w:sz="6" w:space="0" w:color="93C5FD"/>
              <w:bottom w:val="single" w:sz="6" w:space="0" w:color="93C5FD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56DB"/>
                <w:sz w:val="22"/>
              </w:rPr>
              <w:t>Step 4 — Brand Review</w:t>
            </w:r>
          </w:p>
          <w:p>
            <w:pPr>
              <w:spacing w:before="20" w:after="60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 xml:space="preserve">Sign in as  </w:t>
            </w:r>
            <w:r>
              <w:rPr>
                <w:rFonts w:ascii="Courier New" w:hAnsi="Courier New"/>
                <w:b w:val="0"/>
                <w:i w:val="0"/>
                <w:color w:val="1E40AF"/>
                <w:sz w:val="19"/>
              </w:rPr>
              <w:t>aditya@netlink.com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Review costing information and GRN details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Approve the brand review stage</w:t>
            </w:r>
          </w:p>
          <w:p>
            <w:pPr>
              <w:spacing w:before="60" w:after="80"/>
            </w:pPr>
            <w:r>
              <w:rPr>
                <w:rFonts w:ascii="Calibri" w:hAnsi="Calibri"/>
                <w:b/>
                <w:i w:val="0"/>
                <w:color w:val="059669"/>
                <w:sz w:val="19"/>
              </w:rPr>
              <w:t xml:space="preserve">  ✅  Verify: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Task moves to the Accountant Approval stage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tcW w:w="600" w:type="dx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5</w:t>
            </w:r>
          </w:p>
        </w:tc>
        <w:tc>
          <w:tcPr>
            <w:tcW w:type="dxa" w:w="4986"/>
            <w:shd w:val="clear" w:color="auto" w:fill="F0F9FF"/>
            <w:tcBorders>
              <w:top w:val="single" w:sz="6" w:space="0" w:color="93C5FD"/>
              <w:right w:val="single" w:sz="6" w:space="0" w:color="93C5FD"/>
              <w:bottom w:val="single" w:sz="6" w:space="0" w:color="93C5FD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1A56DB"/>
                <w:sz w:val="22"/>
              </w:rPr>
              <w:t>Step 5 — Accountant Final Approval</w:t>
            </w:r>
          </w:p>
          <w:p>
            <w:pPr>
              <w:spacing w:before="20" w:after="60"/>
            </w:pPr>
            <w:r>
              <w:rPr>
                <w:rFonts w:ascii="Calibri" w:hAnsi="Calibri"/>
                <w:b w:val="0"/>
                <w:i w:val="0"/>
                <w:color w:val="4B5563"/>
                <w:sz w:val="19"/>
              </w:rPr>
              <w:t xml:space="preserve">Sign in as  </w:t>
            </w:r>
            <w:r>
              <w:rPr>
                <w:rFonts w:ascii="Courier New" w:hAnsi="Courier New"/>
                <w:b w:val="0"/>
                <w:i w:val="0"/>
                <w:color w:val="1E40AF"/>
                <w:sz w:val="19"/>
              </w:rPr>
              <w:t>dhirendra@netlink.com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Perform the final finance approval</w:t>
            </w:r>
          </w:p>
          <w:p>
            <w:pPr>
              <w:spacing w:before="60" w:after="80"/>
            </w:pPr>
            <w:r>
              <w:rPr>
                <w:rFonts w:ascii="Calibri" w:hAnsi="Calibri"/>
                <w:b/>
                <w:i w:val="0"/>
                <w:color w:val="059669"/>
                <w:sz w:val="19"/>
              </w:rPr>
              <w:t xml:space="preserve">  ✅  Verify: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Workflow status changes to END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059669"/>
            <w:tcW w:w="600" w:type="dx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6</w:t>
            </w:r>
          </w:p>
        </w:tc>
        <w:tc>
          <w:tcPr>
            <w:tcW w:type="dxa" w:w="4986"/>
            <w:shd w:val="clear" w:color="auto" w:fill="ECFDF5"/>
            <w:tcBorders>
              <w:top w:val="single" w:sz="6" w:space="0" w:color="6EE7B7"/>
              <w:right w:val="single" w:sz="6" w:space="0" w:color="6EE7B7"/>
              <w:bottom w:val="single" w:sz="6" w:space="0" w:color="6EE7B7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59669"/>
                <w:sz w:val="22"/>
              </w:rPr>
              <w:t>Step 6 — Final Audit Check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Confirm the workflow status is END</w:t>
            </w:r>
          </w:p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 xml:space="preserve">  •  Verify all task transitions are recorded in the activity or audit views</w:t>
            </w:r>
          </w:p>
          <w:p>
            <w:pPr>
              <w:spacing w:before="60" w:after="80"/>
            </w:pPr>
            <w:r>
              <w:rPr>
                <w:rFonts w:ascii="Calibri" w:hAnsi="Calibri"/>
                <w:b/>
                <w:i w:val="0"/>
                <w:color w:val="059669"/>
                <w:sz w:val="19"/>
              </w:rPr>
              <w:t xml:space="preserve">  ✅  Verify: </w:t>
            </w:r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Workflow is at END and full audit trail is visible.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</w:tcPr>
          <w:p>
            <w:pPr>
              <w:jc w:val="left"/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✅  Quick Validation Checklist</w:t>
            </w:r>
          </w:p>
        </w:tc>
      </w:tr>
    </w:tbl>
    <w:p/>
    <w:p>
      <w:pPr>
        <w:spacing w:before="40" w:after="40"/>
      </w:pPr>
      <w:r>
        <w:rPr>
          <w:rFonts w:ascii="Calibri" w:hAnsi="Calibri"/>
          <w:b/>
          <w:i w:val="0"/>
          <w:color w:val="1A56DB"/>
          <w:sz w:val="22"/>
        </w:rPr>
        <w:t xml:space="preserve">  ☐  </w:t>
      </w:r>
      <w:r>
        <w:rPr>
          <w:rFonts w:ascii="Calibri" w:hAnsi="Calibri"/>
          <w:b w:val="0"/>
          <w:i w:val="0"/>
          <w:color w:val="111827"/>
          <w:sz w:val="20"/>
        </w:rPr>
        <w:t>Super Admin dashboard loads successfully and platform metrics are visible</w:t>
      </w:r>
    </w:p>
    <w:p>
      <w:pPr>
        <w:spacing w:before="40" w:after="40"/>
      </w:pPr>
      <w:r>
        <w:rPr>
          <w:rFonts w:ascii="Calibri" w:hAnsi="Calibri"/>
          <w:b/>
          <w:i w:val="0"/>
          <w:color w:val="1A56DB"/>
          <w:sz w:val="22"/>
        </w:rPr>
        <w:t xml:space="preserve">  ☐  </w:t>
      </w:r>
      <w:r>
        <w:rPr>
          <w:rFonts w:ascii="Calibri" w:hAnsi="Calibri"/>
          <w:b w:val="0"/>
          <w:i w:val="0"/>
          <w:color w:val="111827"/>
          <w:sz w:val="20"/>
        </w:rPr>
        <w:t>Org Admin can access organization controls without any role permission errors</w:t>
      </w:r>
    </w:p>
    <w:p>
      <w:pPr>
        <w:spacing w:before="40" w:after="40"/>
      </w:pPr>
      <w:r>
        <w:rPr>
          <w:rFonts w:ascii="Calibri" w:hAnsi="Calibri"/>
          <w:b/>
          <w:i w:val="0"/>
          <w:color w:val="1A56DB"/>
          <w:sz w:val="22"/>
        </w:rPr>
        <w:t xml:space="preserve">  ☐  </w:t>
      </w:r>
      <w:r>
        <w:rPr>
          <w:rFonts w:ascii="Calibri" w:hAnsi="Calibri"/>
          <w:b w:val="0"/>
          <w:i w:val="0"/>
          <w:color w:val="111827"/>
          <w:sz w:val="20"/>
        </w:rPr>
        <w:t>GRN &amp; Costing Approval Form submission creates a new workflow instance</w:t>
      </w:r>
    </w:p>
    <w:p>
      <w:pPr>
        <w:spacing w:before="40" w:after="40"/>
      </w:pPr>
      <w:r>
        <w:rPr>
          <w:rFonts w:ascii="Calibri" w:hAnsi="Calibri"/>
          <w:b/>
          <w:i w:val="0"/>
          <w:color w:val="1A56DB"/>
          <w:sz w:val="22"/>
        </w:rPr>
        <w:t xml:space="preserve">  ☐  </w:t>
      </w:r>
      <w:r>
        <w:rPr>
          <w:rFonts w:ascii="Calibri" w:hAnsi="Calibri"/>
          <w:b w:val="0"/>
          <w:i w:val="0"/>
          <w:color w:val="111827"/>
          <w:sz w:val="20"/>
        </w:rPr>
        <w:t>At each approver step, the correct assignee receives the task</w:t>
      </w:r>
    </w:p>
    <w:p>
      <w:pPr>
        <w:spacing w:before="40" w:after="40"/>
      </w:pPr>
      <w:r>
        <w:rPr>
          <w:rFonts w:ascii="Calibri" w:hAnsi="Calibri"/>
          <w:b/>
          <w:i w:val="0"/>
          <w:color w:val="1A56DB"/>
          <w:sz w:val="22"/>
        </w:rPr>
        <w:t xml:space="preserve">  ☐  </w:t>
      </w:r>
      <w:r>
        <w:rPr>
          <w:rFonts w:ascii="Calibri" w:hAnsi="Calibri"/>
          <w:b w:val="0"/>
          <w:i w:val="0"/>
          <w:color w:val="111827"/>
          <w:sz w:val="20"/>
        </w:rPr>
        <w:t>Previous assignees no longer have pending task ownership after approval</w:t>
      </w:r>
    </w:p>
    <w:p>
      <w:pPr>
        <w:spacing w:before="40" w:after="40"/>
      </w:pPr>
      <w:r>
        <w:rPr>
          <w:rFonts w:ascii="Calibri" w:hAnsi="Calibri"/>
          <w:b/>
          <w:i w:val="0"/>
          <w:color w:val="1A56DB"/>
          <w:sz w:val="22"/>
        </w:rPr>
        <w:t xml:space="preserve">  ☐  </w:t>
      </w:r>
      <w:r>
        <w:rPr>
          <w:rFonts w:ascii="Calibri" w:hAnsi="Calibri"/>
          <w:b w:val="0"/>
          <w:i w:val="0"/>
          <w:color w:val="111827"/>
          <w:sz w:val="20"/>
        </w:rPr>
        <w:t>Comments, status transitions, and completion appear correctly in activity/audit trails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1A56DB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</w:tcPr>
          <w:p>
            <w:pPr>
              <w:jc w:val="left"/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26"/>
              </w:rPr>
              <w:t xml:space="preserve">  📝  Tester Notes</w:t>
            </w:r>
          </w:p>
        </w:tc>
      </w:tr>
    </w:tbl>
    <w:p/>
    <w:p>
      <w:pPr>
        <w:spacing w:before="0" w:after="100"/>
      </w:pPr>
      <w:r>
        <w:rPr>
          <w:rFonts w:ascii="Calibri" w:hAnsi="Calibri"/>
          <w:b w:val="0"/>
          <w:i/>
          <w:color w:val="4B5563"/>
          <w:sz w:val="20"/>
        </w:rPr>
        <w:t>Record your observations below during each testing checkpoint.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BEAFE"/>
          <w:left w:val="single" w:sz="4" w:space="0" w:color="DBEAFE"/>
          <w:bottom w:val="single" w:sz="4" w:space="0" w:color="DBEAFE"/>
          <w:right w:val="single" w:sz="4" w:space="0" w:color="DBEAFE"/>
          <w:insideH w:val="single" w:sz="4" w:space="0" w:color="DBEAFE"/>
          <w:insideV w:val="single" w:sz="4" w:space="0" w:color="DBEAFE"/>
        </w:tblBorders>
      </w:tblPr>
      <w:tblGrid>
        <w:gridCol w:w="4986"/>
        <w:gridCol w:w="4986"/>
      </w:tblGrid>
      <w:tr>
        <w:tc>
          <w:tcPr>
            <w:tcW w:type="dxa" w:w="4986"/>
            <w:tcW w:w="3118" w:type="dxa"/>
            <w:shd w:val="clear" w:color="auto" w:fill="1E40A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Checkpoint</w:t>
            </w:r>
          </w:p>
        </w:tc>
        <w:tc>
          <w:tcPr>
            <w:tcW w:type="dxa" w:w="4986"/>
            <w:tcW w:w="6237" w:type="dxa"/>
            <w:shd w:val="clear" w:color="auto" w:fill="1E40A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Observation / Notes</w:t>
            </w:r>
          </w:p>
        </w:tc>
      </w:tr>
      <w:tr>
        <w:tc>
          <w:tcPr>
            <w:tcW w:type="dxa" w:w="4986"/>
            <w:tcW w:w="3118" w:type="dxa"/>
            <w:shd w:val="clear" w:color="auto" w:fill="DBEAF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Login and Landing Page</w:t>
            </w:r>
          </w:p>
        </w:tc>
        <w:tc>
          <w:tcPr>
            <w:tcW w:type="dxa" w:w="4986"/>
            <w:tcW w:w="6237" w:type="dxa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986"/>
            <w:tcW w:w="3118" w:type="dxa"/>
            <w:shd w:val="clear" w:color="auto" w:fill="DBEAF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Form Submission</w:t>
            </w:r>
          </w:p>
        </w:tc>
        <w:tc>
          <w:tcPr>
            <w:tcW w:type="dxa" w:w="4986"/>
            <w:tcW w:w="6237" w:type="dxa"/>
            <w:shd w:val="clear" w:color="auto" w:fill="EFF6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986"/>
            <w:tcW w:w="3118" w:type="dxa"/>
            <w:shd w:val="clear" w:color="auto" w:fill="DBEAF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Warehouse Approval</w:t>
            </w:r>
          </w:p>
        </w:tc>
        <w:tc>
          <w:tcPr>
            <w:tcW w:type="dxa" w:w="4986"/>
            <w:tcW w:w="6237" w:type="dxa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986"/>
            <w:tcW w:w="3118" w:type="dxa"/>
            <w:shd w:val="clear" w:color="auto" w:fill="DBEAF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Accounts Costing</w:t>
            </w:r>
          </w:p>
        </w:tc>
        <w:tc>
          <w:tcPr>
            <w:tcW w:type="dxa" w:w="4986"/>
            <w:tcW w:w="6237" w:type="dxa"/>
            <w:shd w:val="clear" w:color="auto" w:fill="EFF6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986"/>
            <w:tcW w:w="3118" w:type="dxa"/>
            <w:shd w:val="clear" w:color="auto" w:fill="DBEAF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Brand Review</w:t>
            </w:r>
          </w:p>
        </w:tc>
        <w:tc>
          <w:tcPr>
            <w:tcW w:type="dxa" w:w="4986"/>
            <w:tcW w:w="6237" w:type="dxa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986"/>
            <w:tcW w:w="3118" w:type="dxa"/>
            <w:shd w:val="clear" w:color="auto" w:fill="DBEAF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Final Accountant Approval</w:t>
            </w:r>
          </w:p>
        </w:tc>
        <w:tc>
          <w:tcPr>
            <w:tcW w:type="dxa" w:w="4986"/>
            <w:tcW w:w="6237" w:type="dxa"/>
            <w:shd w:val="clear" w:color="auto" w:fill="EFF6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986"/>
            <w:tcW w:w="3118" w:type="dxa"/>
            <w:shd w:val="clear" w:color="auto" w:fill="DBEAF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Audit and Activity Validation</w:t>
            </w:r>
          </w:p>
        </w:tc>
        <w:tc>
          <w:tcPr>
            <w:tcW w:type="dxa" w:w="4986"/>
            <w:tcW w:w="6237" w:type="dxa"/>
            <w:shd w:val="clear" w:color="auto" w:fill="FFFFFF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pPr>
        <w:jc w:val="center"/>
        <w:spacing w:before="40" w:after="0"/>
      </w:pPr>
      <w:r>
        <w:rPr>
          <w:rFonts w:ascii="Calibri" w:hAnsi="Calibri"/>
          <w:b w:val="0"/>
          <w:i/>
          <w:color w:val="9CA3AF"/>
          <w:sz w:val="17"/>
        </w:rPr>
        <w:t>NetFlow Testing Packet  ·  Internal QA Use Only  ·  Rotate credentials after external testing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