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#1073</w:t>
      </w:r>
    </w:p>
    <w:p>
      <w:r>
        <w:t>Abstract</w:t>
      </w:r>
    </w:p>
    <w:p>
      <w:r>
        <w:t>This report outlines a series of analyses conducted on various mixtures of natural and synthetic compounds using diverse instrumentation, including ion chromatography, FTIR spectroscopy, and more. The objective was to evaluate the chemical composition and properties of the samples, examining their responses under distinct analytical conditions.</w:t>
      </w:r>
    </w:p>
    <w:p>
      <w:r>
        <w:t>Introduction</w:t>
      </w:r>
    </w:p>
    <w:p>
      <w:r>
        <w:t>The experiment involved examining samples composed of different combinations of carrier oils, waxes, alcohols, and vitamins, processed with advanced analytical techniques. The involved mixtures included Jojoba Oil, Almond Oil, Cetyl Alcohol, Glycerin, Beeswax, and Vitamin E.</w:t>
      </w:r>
    </w:p>
    <w:p>
      <w:r>
        <w:t>Instruments Used</w:t>
      </w:r>
    </w:p>
    <w:p>
      <w:r>
        <w:t>Methodology</w:t>
      </w:r>
    </w:p>
    <w:p>
      <w:r>
        <w:t>This report is organized by each sample’s analysis, summarized in detailed data tables followed by insightful interpretations. Specific instrument settings, experimental conditions, and procedures are recounted within the broader scope of this study.</w:t>
      </w:r>
    </w:p>
    <w:p>
      <w:r>
        <w:t>Sample Preparation</w:t>
      </w:r>
    </w:p>
    <w:p>
      <w:r>
        <w:t>Results</w:t>
      </w:r>
    </w:p>
    <w:p>
      <w:r>
        <w:t>The detailed observations of each instrument's performance are cataloged below:</w:t>
      </w:r>
    </w:p>
    <w:p>
      <w:r>
        <w:t>Ion Chromatograph IC-2100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Report_1073A</w:t>
            </w:r>
          </w:p>
        </w:tc>
        <w:tc>
          <w:tcPr>
            <w:tcW w:type="dxa" w:w="2160"/>
          </w:tcPr>
          <w:p>
            <w:pPr>
              <w:jc w:val="center"/>
            </w:pPr>
            <w:r>
              <w:t>Jojoba Oil, Cetyl Alcohol, Glycerin</w:t>
            </w:r>
          </w:p>
        </w:tc>
        <w:tc>
          <w:tcPr>
            <w:tcW w:type="dxa" w:w="2160"/>
          </w:tcPr>
          <w:p>
            <w:pPr>
              <w:jc w:val="center"/>
            </w:pPr>
            <w:r>
              <w:t>65.789</w:t>
            </w:r>
          </w:p>
        </w:tc>
        <w:tc>
          <w:tcPr>
            <w:tcW w:type="dxa" w:w="2160"/>
          </w:tcPr>
          <w:p>
            <w:pPr>
              <w:jc w:val="center"/>
            </w:pPr>
            <w:r>
              <w:t>mM</w:t>
            </w:r>
          </w:p>
        </w:tc>
      </w:tr>
    </w:tbl>
    <w:p>
      <w:r>
        <w:t>The Ion Chromatography indicated the presence of significant polar compounds, with a concentration of 65.789 mM, suggesting polar interactions pertinent to skin hydration benefits.</w:t>
      </w:r>
    </w:p>
    <w:p>
      <w:r>
        <w:t>FTIR Spectrometer FTIR-8400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Wavenumber</w:t>
            </w:r>
          </w:p>
        </w:tc>
        <w:tc>
          <w:tcPr>
            <w:tcW w:type="dxa" w:w="2160"/>
          </w:tcPr>
          <w:p>
            <w:pPr>
              <w:jc w:val="center"/>
            </w:pPr>
            <w:r>
              <w:rPr>
                <w:b/>
              </w:rPr>
              <w:t>Unit</w:t>
            </w:r>
          </w:p>
        </w:tc>
      </w:tr>
      <w:tr>
        <w:tc>
          <w:tcPr>
            <w:tcW w:type="dxa" w:w="2160"/>
          </w:tcPr>
          <w:p>
            <w:pPr>
              <w:jc w:val="center"/>
            </w:pPr>
            <w:r>
              <w:t>Report_1073B</w:t>
            </w:r>
          </w:p>
        </w:tc>
        <w:tc>
          <w:tcPr>
            <w:tcW w:type="dxa" w:w="2160"/>
          </w:tcPr>
          <w:p>
            <w:pPr>
              <w:jc w:val="center"/>
            </w:pPr>
            <w:r>
              <w:t>Almond Oil, Beeswax</w:t>
            </w:r>
          </w:p>
        </w:tc>
        <w:tc>
          <w:tcPr>
            <w:tcW w:type="dxa" w:w="2160"/>
          </w:tcPr>
          <w:p>
            <w:pPr>
              <w:jc w:val="center"/>
            </w:pPr>
            <w:r>
              <w:t>3200</w:t>
            </w:r>
          </w:p>
        </w:tc>
        <w:tc>
          <w:tcPr>
            <w:tcW w:type="dxa" w:w="2160"/>
          </w:tcPr>
          <w:p>
            <w:pPr>
              <w:jc w:val="center"/>
            </w:pPr>
            <w:r>
              <w:t>1/cm</w:t>
            </w:r>
          </w:p>
        </w:tc>
      </w:tr>
    </w:tbl>
    <w:p>
      <w:r>
        <w:t>Characteristic peaks at 3200 1/cm reveal the presence of hydroxyl groups, indicating potential hydrogen bonding within the mixture, enhancing texture stability.</w:t>
      </w:r>
    </w:p>
    <w:p>
      <w:r>
        <w:t>PCR Machine PCR-96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Ct</w:t>
            </w:r>
          </w:p>
        </w:tc>
        <w:tc>
          <w:tcPr>
            <w:tcW w:type="dxa" w:w="2160"/>
          </w:tcPr>
          <w:p>
            <w:pPr>
              <w:jc w:val="center"/>
            </w:pPr>
            <w:r>
              <w:rPr>
                <w:b/>
              </w:rPr>
              <w:t>Unit</w:t>
            </w:r>
          </w:p>
        </w:tc>
      </w:tr>
      <w:tr>
        <w:tc>
          <w:tcPr>
            <w:tcW w:type="dxa" w:w="2160"/>
          </w:tcPr>
          <w:p>
            <w:pPr>
              <w:jc w:val="center"/>
            </w:pPr>
            <w:r>
              <w:t>Report_1073C</w:t>
            </w:r>
          </w:p>
        </w:tc>
        <w:tc>
          <w:tcPr>
            <w:tcW w:type="dxa" w:w="2160"/>
          </w:tcPr>
          <w:p>
            <w:pPr>
              <w:jc w:val="center"/>
            </w:pPr>
            <w:r>
              <w:t>Jojoba Oil, Cetyl Alcohol, Vitamin E</w:t>
            </w:r>
          </w:p>
        </w:tc>
        <w:tc>
          <w:tcPr>
            <w:tcW w:type="dxa" w:w="2160"/>
          </w:tcPr>
          <w:p>
            <w:pPr>
              <w:jc w:val="center"/>
            </w:pPr>
            <w:r>
              <w:t>15</w:t>
            </w:r>
          </w:p>
        </w:tc>
        <w:tc>
          <w:tcPr>
            <w:tcW w:type="dxa" w:w="2160"/>
          </w:tcPr>
          <w:p>
            <w:pPr>
              <w:jc w:val="center"/>
            </w:pPr>
            <w:r>
              <w:t>Ct</w:t>
            </w:r>
          </w:p>
        </w:tc>
      </w:tr>
    </w:tbl>
    <w:p>
      <w:r>
        <w:t>Low threshold cycles (Ct) of 15 demonstrate high replication efficiency, suggesting Vitamin E's role in preserving the chemical stability of the oil.</w:t>
      </w:r>
    </w:p>
    <w:p>
      <w:r>
        <w:t>Centrifuge X100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Speed</w:t>
            </w:r>
          </w:p>
        </w:tc>
        <w:tc>
          <w:tcPr>
            <w:tcW w:type="dxa" w:w="2160"/>
          </w:tcPr>
          <w:p>
            <w:pPr>
              <w:jc w:val="center"/>
            </w:pPr>
            <w:r>
              <w:rPr>
                <w:b/>
              </w:rPr>
              <w:t>Unit</w:t>
            </w:r>
          </w:p>
        </w:tc>
      </w:tr>
      <w:tr>
        <w:tc>
          <w:tcPr>
            <w:tcW w:type="dxa" w:w="2160"/>
          </w:tcPr>
          <w:p>
            <w:pPr>
              <w:jc w:val="center"/>
            </w:pPr>
            <w:r>
              <w:t>Report_1073D</w:t>
            </w:r>
          </w:p>
        </w:tc>
        <w:tc>
          <w:tcPr>
            <w:tcW w:type="dxa" w:w="2160"/>
          </w:tcPr>
          <w:p>
            <w:pPr>
              <w:jc w:val="center"/>
            </w:pPr>
            <w:r>
              <w:t>Almond Oil, Cetyl Alcohol</w:t>
            </w:r>
          </w:p>
        </w:tc>
        <w:tc>
          <w:tcPr>
            <w:tcW w:type="dxa" w:w="2160"/>
          </w:tcPr>
          <w:p>
            <w:pPr>
              <w:jc w:val="center"/>
            </w:pPr>
            <w:r>
              <w:t>12000</w:t>
            </w:r>
          </w:p>
        </w:tc>
        <w:tc>
          <w:tcPr>
            <w:tcW w:type="dxa" w:w="2160"/>
          </w:tcPr>
          <w:p>
            <w:pPr>
              <w:jc w:val="center"/>
            </w:pPr>
            <w:r>
              <w:t>RPM</w:t>
            </w:r>
          </w:p>
        </w:tc>
      </w:tr>
    </w:tbl>
    <w:p>
      <w:r>
        <w:t>High-speed centrifugation allowed for the separation of different phases, highlighting uniform distribution of Cetyl Alcohol in Almond Oil.</w:t>
      </w:r>
    </w:p>
    <w:p>
      <w:r>
        <w:t>HPLC System HPLC-9000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Report_1073E</w:t>
            </w:r>
          </w:p>
        </w:tc>
        <w:tc>
          <w:tcPr>
            <w:tcW w:type="dxa" w:w="2160"/>
          </w:tcPr>
          <w:p>
            <w:pPr>
              <w:jc w:val="center"/>
            </w:pPr>
            <w:r>
              <w:t>Jojoba Oil, Gum, Vitamin E</w:t>
            </w:r>
          </w:p>
        </w:tc>
        <w:tc>
          <w:tcPr>
            <w:tcW w:type="dxa" w:w="2160"/>
          </w:tcPr>
          <w:p>
            <w:pPr>
              <w:jc w:val="center"/>
            </w:pPr>
            <w:r>
              <w:t>500.25</w:t>
            </w:r>
          </w:p>
        </w:tc>
        <w:tc>
          <w:tcPr>
            <w:tcW w:type="dxa" w:w="2160"/>
          </w:tcPr>
          <w:p>
            <w:pPr>
              <w:jc w:val="center"/>
            </w:pPr>
            <w:r>
              <w:t>mg/L</w:t>
            </w:r>
          </w:p>
        </w:tc>
      </w:tr>
    </w:tbl>
    <w:p>
      <w:r>
        <w:t>The HPLC results indicate the presence of bioactive gum components interacting with Vitamin E at a concentration of 500.25 mg/L, emphasizing nutrient retention capability.</w:t>
      </w:r>
    </w:p>
    <w:p>
      <w:r>
        <w:t>X-Ray Diffractometer XRD-6000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Temperature</w:t>
            </w:r>
          </w:p>
        </w:tc>
        <w:tc>
          <w:tcPr>
            <w:tcW w:type="dxa" w:w="2160"/>
          </w:tcPr>
          <w:p>
            <w:pPr>
              <w:jc w:val="center"/>
            </w:pPr>
            <w:r>
              <w:rPr>
                <w:b/>
              </w:rPr>
              <w:t>Unit</w:t>
            </w:r>
          </w:p>
        </w:tc>
      </w:tr>
      <w:tr>
        <w:tc>
          <w:tcPr>
            <w:tcW w:type="dxa" w:w="2160"/>
          </w:tcPr>
          <w:p>
            <w:pPr>
              <w:jc w:val="center"/>
            </w:pPr>
            <w:r>
              <w:t>Report_1073F</w:t>
            </w:r>
          </w:p>
        </w:tc>
        <w:tc>
          <w:tcPr>
            <w:tcW w:type="dxa" w:w="2160"/>
          </w:tcPr>
          <w:p>
            <w:pPr>
              <w:jc w:val="center"/>
            </w:pPr>
            <w:r>
              <w:t>Jojoba Oil, Cetyl Alcohol, Glycerin</w:t>
            </w:r>
          </w:p>
        </w:tc>
        <w:tc>
          <w:tcPr>
            <w:tcW w:type="dxa" w:w="2160"/>
          </w:tcPr>
          <w:p>
            <w:pPr>
              <w:jc w:val="center"/>
            </w:pPr>
            <w:r>
              <w:t>75</w:t>
            </w:r>
          </w:p>
        </w:tc>
        <w:tc>
          <w:tcPr>
            <w:tcW w:type="dxa" w:w="2160"/>
          </w:tcPr>
          <w:p>
            <w:pPr>
              <w:jc w:val="center"/>
            </w:pPr>
            <w:r>
              <w:t>C</w:t>
            </w:r>
          </w:p>
        </w:tc>
      </w:tr>
    </w:tbl>
    <w:p>
      <w:r>
        <w:t>Phase analysis conducted at 75°C revealed an orchestrated crystalline structure, crucial for understanding compound interactions.</w:t>
      </w:r>
    </w:p>
    <w:p>
      <w:r>
        <w:t>UV-Vis Spectrophotometer UV-2600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Absorbance</w:t>
            </w:r>
          </w:p>
        </w:tc>
        <w:tc>
          <w:tcPr>
            <w:tcW w:type="dxa" w:w="2160"/>
          </w:tcPr>
          <w:p>
            <w:pPr>
              <w:jc w:val="center"/>
            </w:pPr>
            <w:r>
              <w:rPr>
                <w:b/>
              </w:rPr>
              <w:t>Unit</w:t>
            </w:r>
          </w:p>
        </w:tc>
      </w:tr>
      <w:tr>
        <w:tc>
          <w:tcPr>
            <w:tcW w:type="dxa" w:w="2160"/>
          </w:tcPr>
          <w:p>
            <w:pPr>
              <w:jc w:val="center"/>
            </w:pPr>
            <w:r>
              <w:t>Report_1073G</w:t>
            </w:r>
          </w:p>
        </w:tc>
        <w:tc>
          <w:tcPr>
            <w:tcW w:type="dxa" w:w="2160"/>
          </w:tcPr>
          <w:p>
            <w:pPr>
              <w:jc w:val="center"/>
            </w:pPr>
            <w:r>
              <w:t>Almond Oil, Beeswax</w:t>
            </w:r>
          </w:p>
        </w:tc>
        <w:tc>
          <w:tcPr>
            <w:tcW w:type="dxa" w:w="2160"/>
          </w:tcPr>
          <w:p>
            <w:pPr>
              <w:jc w:val="center"/>
            </w:pPr>
            <w:r>
              <w:t>2.5</w:t>
            </w:r>
          </w:p>
        </w:tc>
        <w:tc>
          <w:tcPr>
            <w:tcW w:type="dxa" w:w="2160"/>
          </w:tcPr>
          <w:p>
            <w:pPr>
              <w:jc w:val="center"/>
            </w:pPr>
            <w:r>
              <w:t>Abs</w:t>
            </w:r>
          </w:p>
        </w:tc>
      </w:tr>
    </w:tbl>
    <w:p>
      <w:r>
        <w:t>An absorbance of 2.5 indicates potential photoprotective qualities, confirming effectiveness in UV-blocking applications.</w:t>
      </w:r>
    </w:p>
    <w:p>
      <w:r>
        <w:t>Viscometer VS-300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Mixture Components</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Report_1073H</w:t>
            </w:r>
          </w:p>
        </w:tc>
        <w:tc>
          <w:tcPr>
            <w:tcW w:type="dxa" w:w="2160"/>
          </w:tcPr>
          <w:p>
            <w:pPr>
              <w:jc w:val="center"/>
            </w:pPr>
            <w:r>
              <w:t>Coconut Oil, Glycerin</w:t>
            </w:r>
          </w:p>
        </w:tc>
        <w:tc>
          <w:tcPr>
            <w:tcW w:type="dxa" w:w="2160"/>
          </w:tcPr>
          <w:p>
            <w:pPr>
              <w:jc w:val="center"/>
            </w:pPr>
            <w:r>
              <w:t>5030.63</w:t>
            </w:r>
          </w:p>
        </w:tc>
        <w:tc>
          <w:tcPr>
            <w:tcW w:type="dxa" w:w="2160"/>
          </w:tcPr>
          <w:p>
            <w:pPr>
              <w:jc w:val="center"/>
            </w:pPr>
            <w:r>
              <w:t>cP</w:t>
            </w:r>
          </w:p>
        </w:tc>
      </w:tr>
    </w:tbl>
    <w:p>
      <w:r>
        <w:t>The elevated viscosity of 5030.63 cP suggests significant shear resistance, beneficial for topical formulations.</w:t>
      </w:r>
    </w:p>
    <w:p>
      <w:r>
        <w:t>Conclusion</w:t>
      </w:r>
    </w:p>
    <w:p>
      <w:r>
        <w:t>Each technique provided unique insights into the complexity of the mixtures. Key findings include the preservation qualities imparted by Vitamin E and distinct physical properties such as the high viscosity of Coconut Oil with Glycerin. These discoveries offer potential for formulating enhanced personal care products with optimized functional properties.</w:t>
      </w:r>
    </w:p>
    <w:p>
      <w:r>
        <w:t>This comprehensive exploration into the intricate interactions among natural and synthetic components highlights the instrumental roles of precise analytical methods in advancing material-based sciences.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