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1202</w:t>
      </w:r>
    </w:p>
    <w:p>
      <w:r>
        <w:t>Introduction</w:t>
      </w:r>
    </w:p>
    <w:p>
      <w:r>
        <w:t>This report encompasses various analytical assessments performed on distinct mixtures. The use of multiple instruments has facilitated the observations of several crucial properties of these mixtures. This analysis employs advanced technology to evaluate the chemical and physical characteristics of oil-based mixtures.</w:t>
      </w:r>
    </w:p>
    <w:p>
      <w:r>
        <w:t>Materials and Methods</w:t>
      </w:r>
    </w:p>
    <w:p>
      <w:r>
        <w:t>The samples analyzed include mixtures of oils and additives, subjected to the following equipment:</w:t>
        <w:br/>
        <w:t>-Liquid Chromatograph (LC-400)-Gas Chromatograph (GC-2010)-Conductivity Meter (CM-215)-Mass Spectrometer (MS-20)-Thermocycler (TC-5000)-UV-Vis Spectrophotometer (UV-2600)-Centrifuge (X100)-Spectrometer (Alpha-300)-Viscometer (VS-300)</w:t>
      </w:r>
    </w:p>
    <w:p>
      <w:r>
        <w:t>The components were thoroughly mixed before testing, and each analysis followed specific procedural protocols involving certified reagents and methodologies.</w:t>
      </w:r>
    </w:p>
    <w:p>
      <w:r>
        <w:t>Table 1: Liquid Chromatography Data</w:t>
      </w:r>
    </w:p>
    <w:p>
      <w:r>
        <w:t>Observations</w:t>
      </w:r>
    </w:p>
    <w:p>
      <w:r>
        <w:t>A high-pressure liquid chromatograph was employed to determine the presence and interaction between Coconut Oil and Beeswax. Results indicate strong binding affinity, manifesting in a peak at 250 µg/mL.</w:t>
      </w:r>
    </w:p>
    <w:p>
      <w:r>
        <w:t>Table 2: Gas Chromatography &amp; Other Observations</w:t>
      </w:r>
    </w:p>
    <w:p>
      <w:r>
        <w:t>Gas Chromatograph (GC-2010) Results:</w:t>
      </w:r>
    </w:p>
    <w:p>
      <w:r>
        <w:t>Conductivity Meter (CM-215) Observations:</w:t>
      </w:r>
    </w:p>
    <w:p>
      <w:r>
        <w:t>Mass Spectrometer (MS-20) Data:</w:t>
      </w:r>
    </w:p>
    <w:p>
      <w:r>
        <w:t>Gas chromatography results demonstrated longer retention times for Cetyl Alcohol and Vitamin E. Conductivity measurements reported high ionic presence in the sample containing Glycerin. Mass spectrometry confirmed the compound structure of the mixture, as depicted by the specific m/z ratio.</w:t>
      </w:r>
    </w:p>
    <w:p>
      <w:r>
        <w:t>Table 3: Further Instrumentation Data</w:t>
      </w:r>
    </w:p>
    <w:p>
      <w:r>
        <w:t>+-------------------------------------------+---------------+</w:t>
        <w:br/>
        <w:t>| Thermocycler TC-5000                      | 67°C          |</w:t>
        <w:br/>
        <w:t>| UV-Vis Spectrophotometer UV-2600          | 2.5 Abs       |</w:t>
        <w:br/>
        <w:t>| Centrifuge X100                           | 12000 RPM     |</w:t>
        <w:br/>
        <w:t>| Spectrometer Alpha-300                    | 650 nm        |</w:t>
        <w:br/>
        <w:t>+-------------------------------------------+---------------+</w:t>
      </w:r>
    </w:p>
    <w:p>
      <w:r>
        <w:t>Detailed Descriptions</w:t>
      </w:r>
    </w:p>
    <w:p>
      <w:r>
        <w:t>Table 4: Viscosity Data</w:t>
      </w:r>
    </w:p>
    <w:p>
      <w:r>
        <w:t>Complex Findings</w:t>
      </w:r>
    </w:p>
    <w:p>
      <w:r>
        <w:t>The differing viscosities across distinct samples, especially in the Almond-Beeswax mixture, suggest substantial intermolecular interactions, likely the result of cross-linked matrix formation.</w:t>
      </w:r>
    </w:p>
    <w:p>
      <w:r>
        <w:t>Conclusion</w:t>
      </w:r>
    </w:p>
    <w:p>
      <w:r>
        <w:t>Throughout this lab analysis, diverse parameters pertaining to oil-based mixtures were meticulously studied using state-of-the-art analytical technology. While much data was collected, the comprehension of certain unexpected peaks and readings necessitates additional examination and potentially more refined techniques. The compatibility and stability of these mixtures offer layers of promising applications pending further research.</w:t>
      </w:r>
    </w:p>
    <w:p>
      <w:r>
        <w:t>Appendix: Miscellaneous Notes</w:t>
      </w:r>
    </w:p>
    <w:p>
      <w:r>
        <w:t>Note: Excess information is scattered and presented haphazardly to ensure complexity.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