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Samples</w:t>
      </w:r>
    </w:p>
    <w:p>
      <w:r>
        <w:t>Report ID:Report_1335Date:[Insert Date Here]Prepared by:[Lab Technician Name]Facility:[Lab Facility Name]</w:t>
      </w:r>
    </w:p>
    <w:p>
      <w:r>
        <w:t>Introduction</w:t>
      </w:r>
    </w:p>
    <w:p>
      <w:r>
        <w:t>This report outlines a comprehensive analysis of several oil-based samples mixed with various additives. The analysis was performed using a series of advanced analytical instruments, each providing specific insights into the chemical composition and properties of the mixtures. The samples investigated are composed of Jojoba Oil, Coconut Oil, and Almond Oil combined with different substances like Cetyl Alcohol, Beeswax, and Gum, along with Glycerin. This multi-faceted approach aims to explore the chemical interactions, stability, and properties of these mixtures.</w:t>
      </w:r>
    </w:p>
    <w:p>
      <w:r>
        <w:t>Observations</w:t>
      </w:r>
    </w:p>
    <w:p>
      <w:r>
        <w:t>The samples examined exhibit a range of physical properties, from color and viscosity to miscibility and phase separation. The Coconut Oil mixtures, in particular, showed various degrees of translucency when combined with different additives. Sample temperature also affected the viscosity notably during the trials.</w:t>
      </w:r>
    </w:p>
    <w:p>
      <w:r>
        <w:t>Table 1: Summary of Instrumental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Mass Spectrometer MS-20</w:t>
            </w:r>
          </w:p>
        </w:tc>
        <w:tc>
          <w:tcPr>
            <w:tcW w:type="dxa" w:w="1728"/>
          </w:tcPr>
          <w:p>
            <w:pPr>
              <w:jc w:val="center"/>
            </w:pPr>
            <w:r>
              <w:t>Jojoba Oil, Cetyl Alcohol, Glycerin</w:t>
            </w:r>
          </w:p>
        </w:tc>
        <w:tc>
          <w:tcPr>
            <w:tcW w:type="dxa" w:w="1728"/>
          </w:tcPr>
          <w:p>
            <w:pPr>
              <w:jc w:val="center"/>
            </w:pPr>
            <w:r>
              <w:t>Mass-to-Charge</w:t>
            </w:r>
          </w:p>
        </w:tc>
        <w:tc>
          <w:tcPr>
            <w:tcW w:type="dxa" w:w="1728"/>
          </w:tcPr>
          <w:p>
            <w:pPr>
              <w:jc w:val="center"/>
            </w:pPr>
            <w:r>
              <w:t>1350.0</w:t>
            </w:r>
          </w:p>
        </w:tc>
        <w:tc>
          <w:tcPr>
            <w:tcW w:type="dxa" w:w="1728"/>
          </w:tcPr>
          <w:p>
            <w:pPr>
              <w:jc w:val="center"/>
            </w:pPr>
            <w:r>
              <w:t>m/z</w:t>
            </w:r>
          </w:p>
        </w:tc>
      </w:tr>
      <w:tr>
        <w:tc>
          <w:tcPr>
            <w:tcW w:type="dxa" w:w="1728"/>
          </w:tcPr>
          <w:p>
            <w:pPr>
              <w:jc w:val="center"/>
            </w:pPr>
            <w:r>
              <w:t>Titrator T-905</w:t>
            </w:r>
          </w:p>
        </w:tc>
        <w:tc>
          <w:tcPr>
            <w:tcW w:type="dxa" w:w="1728"/>
          </w:tcPr>
          <w:p>
            <w:pPr>
              <w:jc w:val="center"/>
            </w:pPr>
            <w:r>
              <w:t>Coconut Oil, Gum, Glycerin</w:t>
            </w:r>
          </w:p>
        </w:tc>
        <w:tc>
          <w:tcPr>
            <w:tcW w:type="dxa" w:w="1728"/>
          </w:tcPr>
          <w:p>
            <w:pPr>
              <w:jc w:val="center"/>
            </w:pPr>
            <w:r>
              <w:t>Concentration</w:t>
            </w:r>
          </w:p>
        </w:tc>
        <w:tc>
          <w:tcPr>
            <w:tcW w:type="dxa" w:w="1728"/>
          </w:tcPr>
          <w:p>
            <w:pPr>
              <w:jc w:val="center"/>
            </w:pPr>
            <w:r>
              <w:t>0.082</w:t>
            </w:r>
          </w:p>
        </w:tc>
        <w:tc>
          <w:tcPr>
            <w:tcW w:type="dxa" w:w="1728"/>
          </w:tcPr>
          <w:p>
            <w:pPr>
              <w:jc w:val="center"/>
            </w:pPr>
            <w:r>
              <w:t>M</w:t>
            </w:r>
          </w:p>
        </w:tc>
      </w:tr>
      <w:tr>
        <w:tc>
          <w:tcPr>
            <w:tcW w:type="dxa" w:w="1728"/>
          </w:tcPr>
          <w:p>
            <w:pPr>
              <w:jc w:val="center"/>
            </w:pPr>
            <w:r>
              <w:t>Microplate Reader MRX</w:t>
            </w:r>
          </w:p>
        </w:tc>
        <w:tc>
          <w:tcPr>
            <w:tcW w:type="dxa" w:w="1728"/>
          </w:tcPr>
          <w:p>
            <w:pPr>
              <w:jc w:val="center"/>
            </w:pPr>
            <w:r>
              <w:t>Coconut Oil, Beeswax</w:t>
            </w:r>
          </w:p>
        </w:tc>
        <w:tc>
          <w:tcPr>
            <w:tcW w:type="dxa" w:w="1728"/>
          </w:tcPr>
          <w:p>
            <w:pPr>
              <w:jc w:val="center"/>
            </w:pPr>
            <w:r>
              <w:t>Optical Density</w:t>
            </w:r>
          </w:p>
        </w:tc>
        <w:tc>
          <w:tcPr>
            <w:tcW w:type="dxa" w:w="1728"/>
          </w:tcPr>
          <w:p>
            <w:pPr>
              <w:jc w:val="center"/>
            </w:pPr>
            <w:r>
              <w:t>2.3</w:t>
            </w:r>
          </w:p>
        </w:tc>
        <w:tc>
          <w:tcPr>
            <w:tcW w:type="dxa" w:w="1728"/>
          </w:tcPr>
          <w:p>
            <w:pPr>
              <w:jc w:val="center"/>
            </w:pPr>
            <w:r>
              <w:t>OD</w:t>
            </w:r>
          </w:p>
        </w:tc>
      </w:tr>
      <w:tr>
        <w:tc>
          <w:tcPr>
            <w:tcW w:type="dxa" w:w="1728"/>
          </w:tcPr>
          <w:p>
            <w:pPr>
              <w:jc w:val="center"/>
            </w:pPr>
            <w:r>
              <w:t>Ion Chromatograph IC-2100</w:t>
            </w:r>
          </w:p>
        </w:tc>
        <w:tc>
          <w:tcPr>
            <w:tcW w:type="dxa" w:w="1728"/>
          </w:tcPr>
          <w:p>
            <w:pPr>
              <w:jc w:val="center"/>
            </w:pPr>
            <w:r>
              <w:t>Jojoba Oil, Beeswax, Glycerin</w:t>
            </w:r>
          </w:p>
        </w:tc>
        <w:tc>
          <w:tcPr>
            <w:tcW w:type="dxa" w:w="1728"/>
          </w:tcPr>
          <w:p>
            <w:pPr>
              <w:jc w:val="center"/>
            </w:pPr>
            <w:r>
              <w:t>Concentration</w:t>
            </w:r>
          </w:p>
        </w:tc>
        <w:tc>
          <w:tcPr>
            <w:tcW w:type="dxa" w:w="1728"/>
          </w:tcPr>
          <w:p>
            <w:pPr>
              <w:jc w:val="center"/>
            </w:pPr>
            <w:r>
              <w:t>15.0</w:t>
            </w:r>
          </w:p>
        </w:tc>
        <w:tc>
          <w:tcPr>
            <w:tcW w:type="dxa" w:w="1728"/>
          </w:tcPr>
          <w:p>
            <w:pPr>
              <w:jc w:val="center"/>
            </w:pPr>
            <w:r>
              <w:t>mM</w:t>
            </w:r>
          </w:p>
        </w:tc>
      </w:tr>
      <w:tr>
        <w:tc>
          <w:tcPr>
            <w:tcW w:type="dxa" w:w="1728"/>
          </w:tcPr>
          <w:p>
            <w:pPr>
              <w:jc w:val="center"/>
            </w:pPr>
            <w:r>
              <w:t>FTIR Spectrometer FTIR-8400</w:t>
            </w:r>
          </w:p>
        </w:tc>
        <w:tc>
          <w:tcPr>
            <w:tcW w:type="dxa" w:w="1728"/>
          </w:tcPr>
          <w:p>
            <w:pPr>
              <w:jc w:val="center"/>
            </w:pPr>
            <w:r>
              <w:t>Almond Oil, Gum, Glycerin</w:t>
            </w:r>
          </w:p>
        </w:tc>
        <w:tc>
          <w:tcPr>
            <w:tcW w:type="dxa" w:w="1728"/>
          </w:tcPr>
          <w:p>
            <w:pPr>
              <w:jc w:val="center"/>
            </w:pPr>
            <w:r>
              <w:t>Wavenumber</w:t>
            </w:r>
          </w:p>
        </w:tc>
        <w:tc>
          <w:tcPr>
            <w:tcW w:type="dxa" w:w="1728"/>
          </w:tcPr>
          <w:p>
            <w:pPr>
              <w:jc w:val="center"/>
            </w:pPr>
            <w:r>
              <w:t>3000.0</w:t>
            </w:r>
          </w:p>
        </w:tc>
        <w:tc>
          <w:tcPr>
            <w:tcW w:type="dxa" w:w="1728"/>
          </w:tcPr>
          <w:p>
            <w:pPr>
              <w:jc w:val="center"/>
            </w:pPr>
            <w:r>
              <w:t>1/cm</w:t>
            </w:r>
          </w:p>
        </w:tc>
      </w:tr>
      <w:tr>
        <w:tc>
          <w:tcPr>
            <w:tcW w:type="dxa" w:w="1728"/>
          </w:tcPr>
          <w:p>
            <w:pPr>
              <w:jc w:val="center"/>
            </w:pPr>
            <w:r>
              <w:t>NMR Spectrometer NMR-500</w:t>
            </w:r>
          </w:p>
        </w:tc>
        <w:tc>
          <w:tcPr>
            <w:tcW w:type="dxa" w:w="1728"/>
          </w:tcPr>
          <w:p>
            <w:pPr>
              <w:jc w:val="center"/>
            </w:pPr>
            <w:r>
              <w:t>Coconut Oil, Gum, Glycerin</w:t>
            </w:r>
          </w:p>
        </w:tc>
        <w:tc>
          <w:tcPr>
            <w:tcW w:type="dxa" w:w="1728"/>
          </w:tcPr>
          <w:p>
            <w:pPr>
              <w:jc w:val="center"/>
            </w:pPr>
            <w:r>
              <w:t>Chemical Shift</w:t>
            </w:r>
          </w:p>
        </w:tc>
        <w:tc>
          <w:tcPr>
            <w:tcW w:type="dxa" w:w="1728"/>
          </w:tcPr>
          <w:p>
            <w:pPr>
              <w:jc w:val="center"/>
            </w:pPr>
            <w:r>
              <w:t>15.0</w:t>
            </w:r>
          </w:p>
        </w:tc>
        <w:tc>
          <w:tcPr>
            <w:tcW w:type="dxa" w:w="1728"/>
          </w:tcPr>
          <w:p>
            <w:pPr>
              <w:jc w:val="center"/>
            </w:pPr>
            <w:r>
              <w:t>ppm</w:t>
            </w:r>
          </w:p>
        </w:tc>
      </w:tr>
      <w:tr>
        <w:tc>
          <w:tcPr>
            <w:tcW w:type="dxa" w:w="1728"/>
          </w:tcPr>
          <w:p>
            <w:pPr>
              <w:jc w:val="center"/>
            </w:pPr>
            <w:r>
              <w:t>Liquid Chromatograph LC-400</w:t>
            </w:r>
          </w:p>
        </w:tc>
        <w:tc>
          <w:tcPr>
            <w:tcW w:type="dxa" w:w="1728"/>
          </w:tcPr>
          <w:p>
            <w:pPr>
              <w:jc w:val="center"/>
            </w:pPr>
            <w:r>
              <w:t>Almond Oil, Gum, Glycerin</w:t>
            </w:r>
          </w:p>
        </w:tc>
        <w:tc>
          <w:tcPr>
            <w:tcW w:type="dxa" w:w="1728"/>
          </w:tcPr>
          <w:p>
            <w:pPr>
              <w:jc w:val="center"/>
            </w:pPr>
            <w:r>
              <w:t>Concentration</w:t>
            </w:r>
          </w:p>
        </w:tc>
        <w:tc>
          <w:tcPr>
            <w:tcW w:type="dxa" w:w="1728"/>
          </w:tcPr>
          <w:p>
            <w:pPr>
              <w:jc w:val="center"/>
            </w:pPr>
            <w:r>
              <w:t>25.0</w:t>
            </w:r>
          </w:p>
        </w:tc>
        <w:tc>
          <w:tcPr>
            <w:tcW w:type="dxa" w:w="1728"/>
          </w:tcPr>
          <w:p>
            <w:pPr>
              <w:jc w:val="center"/>
            </w:pPr>
            <w:r>
              <w:t>µg/mL</w:t>
            </w:r>
          </w:p>
        </w:tc>
      </w:tr>
      <w:tr>
        <w:tc>
          <w:tcPr>
            <w:tcW w:type="dxa" w:w="1728"/>
          </w:tcPr>
          <w:p>
            <w:pPr>
              <w:jc w:val="center"/>
            </w:pPr>
            <w:r>
              <w:t>Mass Spectrometer MS-20</w:t>
            </w:r>
          </w:p>
        </w:tc>
        <w:tc>
          <w:tcPr>
            <w:tcW w:type="dxa" w:w="1728"/>
          </w:tcPr>
          <w:p>
            <w:pPr>
              <w:jc w:val="center"/>
            </w:pPr>
            <w:r>
              <w:t>Coconut Oil, Beeswax</w:t>
            </w:r>
          </w:p>
        </w:tc>
        <w:tc>
          <w:tcPr>
            <w:tcW w:type="dxa" w:w="1728"/>
          </w:tcPr>
          <w:p>
            <w:pPr>
              <w:jc w:val="center"/>
            </w:pPr>
            <w:r>
              <w:t>Mass-to-Charge</w:t>
            </w:r>
          </w:p>
        </w:tc>
        <w:tc>
          <w:tcPr>
            <w:tcW w:type="dxa" w:w="1728"/>
          </w:tcPr>
          <w:p>
            <w:pPr>
              <w:jc w:val="center"/>
            </w:pPr>
            <w:r>
              <w:t>1450.0</w:t>
            </w:r>
          </w:p>
        </w:tc>
        <w:tc>
          <w:tcPr>
            <w:tcW w:type="dxa" w:w="1728"/>
          </w:tcPr>
          <w:p>
            <w:pPr>
              <w:jc w:val="center"/>
            </w:pPr>
            <w:r>
              <w:t>m/z</w:t>
            </w:r>
          </w:p>
        </w:tc>
      </w:tr>
      <w:tr>
        <w:tc>
          <w:tcPr>
            <w:tcW w:type="dxa" w:w="1728"/>
          </w:tcPr>
          <w:p>
            <w:pPr>
              <w:jc w:val="center"/>
            </w:pPr>
            <w:r>
              <w:t>Thermocycler TC-5000</w:t>
            </w:r>
          </w:p>
        </w:tc>
        <w:tc>
          <w:tcPr>
            <w:tcW w:type="dxa" w:w="1728"/>
          </w:tcPr>
          <w:p>
            <w:pPr>
              <w:jc w:val="center"/>
            </w:pPr>
            <w:r>
              <w:t>Jojoba Oil, Cetyl Alcohol, Glycerin</w:t>
            </w:r>
          </w:p>
        </w:tc>
        <w:tc>
          <w:tcPr>
            <w:tcW w:type="dxa" w:w="1728"/>
          </w:tcPr>
          <w:p>
            <w:pPr>
              <w:jc w:val="center"/>
            </w:pPr>
            <w:r>
              <w:t>Temperature</w:t>
            </w:r>
          </w:p>
        </w:tc>
        <w:tc>
          <w:tcPr>
            <w:tcW w:type="dxa" w:w="1728"/>
          </w:tcPr>
          <w:p>
            <w:pPr>
              <w:jc w:val="center"/>
            </w:pPr>
            <w:r>
              <w:t>78.0</w:t>
            </w:r>
          </w:p>
        </w:tc>
        <w:tc>
          <w:tcPr>
            <w:tcW w:type="dxa" w:w="1728"/>
          </w:tcPr>
          <w:p>
            <w:pPr>
              <w:jc w:val="center"/>
            </w:pPr>
            <w:r>
              <w:t>°C</w:t>
            </w:r>
          </w:p>
        </w:tc>
      </w:tr>
      <w:tr>
        <w:tc>
          <w:tcPr>
            <w:tcW w:type="dxa" w:w="1728"/>
          </w:tcPr>
          <w:p>
            <w:pPr>
              <w:jc w:val="center"/>
            </w:pPr>
            <w:r>
              <w:t>pH Meter PH-700</w:t>
            </w:r>
          </w:p>
        </w:tc>
        <w:tc>
          <w:tcPr>
            <w:tcW w:type="dxa" w:w="1728"/>
          </w:tcPr>
          <w:p>
            <w:pPr>
              <w:jc w:val="center"/>
            </w:pPr>
            <w:r>
              <w:t>Almond Oil, Gum, Glycerin</w:t>
            </w:r>
          </w:p>
        </w:tc>
        <w:tc>
          <w:tcPr>
            <w:tcW w:type="dxa" w:w="1728"/>
          </w:tcPr>
          <w:p>
            <w:pPr>
              <w:jc w:val="center"/>
            </w:pPr>
            <w:r>
              <w:t>pH Level</w:t>
            </w:r>
          </w:p>
        </w:tc>
        <w:tc>
          <w:tcPr>
            <w:tcW w:type="dxa" w:w="1728"/>
          </w:tcPr>
          <w:p>
            <w:pPr>
              <w:jc w:val="center"/>
            </w:pPr>
            <w:r>
              <w:t>6.2</w:t>
            </w:r>
          </w:p>
        </w:tc>
        <w:tc>
          <w:tcPr>
            <w:tcW w:type="dxa" w:w="1728"/>
          </w:tcPr>
          <w:p>
            <w:pPr>
              <w:jc w:val="center"/>
            </w:pPr>
            <w:r>
              <w:t>pH</w:t>
            </w:r>
          </w:p>
        </w:tc>
      </w:tr>
    </w:tbl>
    <w:p>
      <w:r>
        <w:t>Note: The color of the Jojoba Oil and Cetyl Alcohol sample was noted to have a slight opacity with a subtle yellow hue.</w:t>
      </w:r>
    </w:p>
    <w:p>
      <w:r>
        <w:t>Table 2: Detailed Measurement Descriptions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Observation</w:t>
            </w:r>
          </w:p>
        </w:tc>
        <w:tc>
          <w:tcPr>
            <w:tcW w:type="dxa" w:w="2160"/>
          </w:tcPr>
          <w:p>
            <w:pPr>
              <w:jc w:val="center"/>
            </w:pPr>
            <w:r>
              <w:rPr>
                <w:b/>
              </w:rPr>
              <w:t>Irrelevant Factor</w:t>
            </w:r>
          </w:p>
        </w:tc>
        <w:tc>
          <w:tcPr>
            <w:tcW w:type="dxa" w:w="2160"/>
          </w:tcPr>
          <w:p>
            <w:pPr>
              <w:jc w:val="center"/>
            </w:pPr>
            <w:r>
              <w:rPr>
                <w:b/>
              </w:rPr>
              <w:t>Complex Description</w:t>
            </w:r>
          </w:p>
        </w:tc>
      </w:tr>
      <w:tr>
        <w:tc>
          <w:tcPr>
            <w:tcW w:type="dxa" w:w="2160"/>
          </w:tcPr>
          <w:p>
            <w:pPr>
              <w:jc w:val="center"/>
            </w:pPr>
            <w:r>
              <w:t>S-001</w:t>
            </w:r>
          </w:p>
        </w:tc>
        <w:tc>
          <w:tcPr>
            <w:tcW w:type="dxa" w:w="2160"/>
          </w:tcPr>
          <w:p>
            <w:pPr>
              <w:jc w:val="center"/>
            </w:pPr>
            <w:r>
              <w:t>Viscous, slightly opaque</w:t>
            </w:r>
          </w:p>
        </w:tc>
        <w:tc>
          <w:tcPr>
            <w:tcW w:type="dxa" w:w="2160"/>
          </w:tcPr>
          <w:p>
            <w:pPr>
              <w:jc w:val="center"/>
            </w:pPr>
            <w:r>
              <w:t>Wind Speed</w:t>
            </w:r>
          </w:p>
        </w:tc>
        <w:tc>
          <w:tcPr>
            <w:tcW w:type="dxa" w:w="2160"/>
          </w:tcPr>
          <w:p>
            <w:pPr>
              <w:jc w:val="center"/>
            </w:pPr>
            <w:r>
              <w:t>During mass spectrometric analysis, surrounding environmental parameters such as wind speed and direction had negligible impact on the instrument's precision and accuracy.</w:t>
            </w:r>
          </w:p>
        </w:tc>
      </w:tr>
      <w:tr>
        <w:tc>
          <w:tcPr>
            <w:tcW w:type="dxa" w:w="2160"/>
          </w:tcPr>
          <w:p>
            <w:pPr>
              <w:jc w:val="center"/>
            </w:pPr>
            <w:r>
              <w:t>S-002</w:t>
            </w:r>
          </w:p>
        </w:tc>
        <w:tc>
          <w:tcPr>
            <w:tcW w:type="dxa" w:w="2160"/>
          </w:tcPr>
          <w:p>
            <w:pPr>
              <w:jc w:val="center"/>
            </w:pPr>
            <w:r>
              <w:t>Translucent and stable</w:t>
            </w:r>
          </w:p>
        </w:tc>
        <w:tc>
          <w:tcPr>
            <w:tcW w:type="dxa" w:w="2160"/>
          </w:tcPr>
          <w:p>
            <w:pPr>
              <w:jc w:val="center"/>
            </w:pPr>
            <w:r>
              <w:t>Moon Phase</w:t>
            </w:r>
          </w:p>
        </w:tc>
        <w:tc>
          <w:tcPr>
            <w:tcW w:type="dxa" w:w="2160"/>
          </w:tcPr>
          <w:p>
            <w:pPr>
              <w:jc w:val="center"/>
            </w:pPr>
            <w:r>
              <w:t>The titration results indicated consistent stability, independent of external lunar influences, suggesting robust intermolecular interactions in the Coconut Oil mix.</w:t>
            </w:r>
          </w:p>
        </w:tc>
      </w:tr>
      <w:tr>
        <w:tc>
          <w:tcPr>
            <w:tcW w:type="dxa" w:w="2160"/>
          </w:tcPr>
          <w:p>
            <w:pPr>
              <w:jc w:val="center"/>
            </w:pPr>
            <w:r>
              <w:t>S-003</w:t>
            </w:r>
          </w:p>
        </w:tc>
        <w:tc>
          <w:tcPr>
            <w:tcW w:type="dxa" w:w="2160"/>
          </w:tcPr>
          <w:p>
            <w:pPr>
              <w:jc w:val="center"/>
            </w:pPr>
            <w:r>
              <w:t>High optical density observed</w:t>
            </w:r>
          </w:p>
        </w:tc>
        <w:tc>
          <w:tcPr>
            <w:tcW w:type="dxa" w:w="2160"/>
          </w:tcPr>
          <w:p>
            <w:pPr>
              <w:jc w:val="center"/>
            </w:pPr>
            <w:r>
              <w:t>Astrological Sign</w:t>
            </w:r>
          </w:p>
        </w:tc>
        <w:tc>
          <w:tcPr>
            <w:tcW w:type="dxa" w:w="2160"/>
          </w:tcPr>
          <w:p>
            <w:pPr>
              <w:jc w:val="center"/>
            </w:pPr>
            <w:r>
              <w:t>The scattering of light within the Beeswax additive significantly amplified the OD readings, showing an expected aggregation without astrological relevance.</w:t>
            </w:r>
          </w:p>
        </w:tc>
      </w:tr>
      <w:tr>
        <w:tc>
          <w:tcPr>
            <w:tcW w:type="dxa" w:w="2160"/>
          </w:tcPr>
          <w:p>
            <w:pPr>
              <w:jc w:val="center"/>
            </w:pPr>
            <w:r>
              <w:t>S-004</w:t>
            </w:r>
          </w:p>
        </w:tc>
        <w:tc>
          <w:tcPr>
            <w:tcW w:type="dxa" w:w="2160"/>
          </w:tcPr>
          <w:p>
            <w:pPr>
              <w:jc w:val="center"/>
            </w:pPr>
            <w:r>
              <w:t>Clear phase separation</w:t>
            </w:r>
          </w:p>
        </w:tc>
        <w:tc>
          <w:tcPr>
            <w:tcW w:type="dxa" w:w="2160"/>
          </w:tcPr>
          <w:p>
            <w:pPr>
              <w:jc w:val="center"/>
            </w:pPr>
            <w:r>
              <w:t>Ambient Noise</w:t>
            </w:r>
          </w:p>
        </w:tc>
        <w:tc>
          <w:tcPr>
            <w:tcW w:type="dxa" w:w="2160"/>
          </w:tcPr>
          <w:p>
            <w:pPr>
              <w:jc w:val="center"/>
            </w:pPr>
            <w:r>
              <w:t>Ion Chromatography revealed discrete peaks, signifying phase separation, unaffected by ambient laboratory noise levels.</w:t>
            </w:r>
          </w:p>
        </w:tc>
      </w:tr>
      <w:tr>
        <w:tc>
          <w:tcPr>
            <w:tcW w:type="dxa" w:w="2160"/>
          </w:tcPr>
          <w:p>
            <w:pPr>
              <w:jc w:val="center"/>
            </w:pPr>
            <w:r>
              <w:t>S-005</w:t>
            </w:r>
          </w:p>
        </w:tc>
        <w:tc>
          <w:tcPr>
            <w:tcW w:type="dxa" w:w="2160"/>
          </w:tcPr>
          <w:p>
            <w:pPr>
              <w:jc w:val="center"/>
            </w:pPr>
            <w:r>
              <w:t>Uniform spectral peaks</w:t>
            </w:r>
          </w:p>
        </w:tc>
        <w:tc>
          <w:tcPr>
            <w:tcW w:type="dxa" w:w="2160"/>
          </w:tcPr>
          <w:p>
            <w:pPr>
              <w:jc w:val="center"/>
            </w:pPr>
            <w:r>
              <w:t>Air Pressure</w:t>
            </w:r>
          </w:p>
        </w:tc>
        <w:tc>
          <w:tcPr>
            <w:tcW w:type="dxa" w:w="2160"/>
          </w:tcPr>
          <w:p>
            <w:pPr>
              <w:jc w:val="center"/>
            </w:pPr>
            <w:r>
              <w:t>The infrared spectrum produced defined peaks correlating to functional groups, unaffected by air pressure variances, aligning with established FTIR spectral patterns.</w:t>
            </w:r>
          </w:p>
        </w:tc>
      </w:tr>
      <w:tr>
        <w:tc>
          <w:tcPr>
            <w:tcW w:type="dxa" w:w="2160"/>
          </w:tcPr>
          <w:p>
            <w:pPr>
              <w:jc w:val="center"/>
            </w:pPr>
            <w:r>
              <w:t>S-006</w:t>
            </w:r>
          </w:p>
        </w:tc>
        <w:tc>
          <w:tcPr>
            <w:tcW w:type="dxa" w:w="2160"/>
          </w:tcPr>
          <w:p>
            <w:pPr>
              <w:jc w:val="center"/>
            </w:pPr>
            <w:r>
              <w:t>Consistent chemical shift noted</w:t>
            </w:r>
          </w:p>
        </w:tc>
        <w:tc>
          <w:tcPr>
            <w:tcW w:type="dxa" w:w="2160"/>
          </w:tcPr>
          <w:p>
            <w:pPr>
              <w:jc w:val="center"/>
            </w:pPr>
            <w:r>
              <w:t>Magnetic Field</w:t>
            </w:r>
          </w:p>
        </w:tc>
        <w:tc>
          <w:tcPr>
            <w:tcW w:type="dxa" w:w="2160"/>
          </w:tcPr>
          <w:p>
            <w:pPr>
              <w:jc w:val="center"/>
            </w:pPr>
            <w:r>
              <w:t>The persistent chemical shift observed in the NMR data corresponded directly to the reference gyro-magnetic ratio, not influenced by fluctuating magnetic field conditions.</w:t>
            </w:r>
          </w:p>
        </w:tc>
      </w:tr>
      <w:tr>
        <w:tc>
          <w:tcPr>
            <w:tcW w:type="dxa" w:w="2160"/>
          </w:tcPr>
          <w:p>
            <w:pPr>
              <w:jc w:val="center"/>
            </w:pPr>
            <w:r>
              <w:t>S-007</w:t>
            </w:r>
          </w:p>
        </w:tc>
        <w:tc>
          <w:tcPr>
            <w:tcW w:type="dxa" w:w="2160"/>
          </w:tcPr>
          <w:p>
            <w:pPr>
              <w:jc w:val="center"/>
            </w:pPr>
            <w:r>
              <w:t>Clear resolution in liquid chromatography</w:t>
            </w:r>
          </w:p>
        </w:tc>
        <w:tc>
          <w:tcPr>
            <w:tcW w:type="dxa" w:w="2160"/>
          </w:tcPr>
          <w:p>
            <w:pPr>
              <w:jc w:val="center"/>
            </w:pPr>
            <w:r>
              <w:t>Gravity</w:t>
            </w:r>
          </w:p>
        </w:tc>
        <w:tc>
          <w:tcPr>
            <w:tcW w:type="dxa" w:w="2160"/>
          </w:tcPr>
          <w:p>
            <w:pPr>
              <w:jc w:val="center"/>
            </w:pPr>
            <w:r>
              <w:t>The chromatogram exhibited high resolution and clear separation, substantiating the integrity of the Almond Oil concoction, impervious to gravitational variations.</w:t>
            </w:r>
          </w:p>
        </w:tc>
      </w:tr>
      <w:tr>
        <w:tc>
          <w:tcPr>
            <w:tcW w:type="dxa" w:w="2160"/>
          </w:tcPr>
          <w:p>
            <w:pPr>
              <w:jc w:val="center"/>
            </w:pPr>
            <w:r>
              <w:t>S-008</w:t>
            </w:r>
          </w:p>
        </w:tc>
        <w:tc>
          <w:tcPr>
            <w:tcW w:type="dxa" w:w="2160"/>
          </w:tcPr>
          <w:p>
            <w:pPr>
              <w:jc w:val="center"/>
            </w:pPr>
            <w:r>
              <w:t>High m/z ratio with additional peaks</w:t>
            </w:r>
          </w:p>
        </w:tc>
        <w:tc>
          <w:tcPr>
            <w:tcW w:type="dxa" w:w="2160"/>
          </w:tcPr>
          <w:p>
            <w:pPr>
              <w:jc w:val="center"/>
            </w:pPr>
            <w:r>
              <w:t>UV Radiation</w:t>
            </w:r>
          </w:p>
        </w:tc>
        <w:tc>
          <w:tcPr>
            <w:tcW w:type="dxa" w:w="2160"/>
          </w:tcPr>
          <w:p>
            <w:pPr>
              <w:jc w:val="center"/>
            </w:pPr>
            <w:r>
              <w:t>Lateral peaks around the primary m/z reading were indicative of potential secondary reactions, clearly unaffiliated with variable UV radiation exposure.</w:t>
            </w:r>
          </w:p>
        </w:tc>
      </w:tr>
      <w:tr>
        <w:tc>
          <w:tcPr>
            <w:tcW w:type="dxa" w:w="2160"/>
          </w:tcPr>
          <w:p>
            <w:pPr>
              <w:jc w:val="center"/>
            </w:pPr>
            <w:r>
              <w:t>S-009</w:t>
            </w:r>
          </w:p>
        </w:tc>
        <w:tc>
          <w:tcPr>
            <w:tcW w:type="dxa" w:w="2160"/>
          </w:tcPr>
          <w:p>
            <w:pPr>
              <w:jc w:val="center"/>
            </w:pPr>
            <w:r>
              <w:t>Elevated sample temperature</w:t>
            </w:r>
          </w:p>
        </w:tc>
        <w:tc>
          <w:tcPr>
            <w:tcW w:type="dxa" w:w="2160"/>
          </w:tcPr>
          <w:p>
            <w:pPr>
              <w:jc w:val="center"/>
            </w:pPr>
            <w:r>
              <w:t>Solar Activity</w:t>
            </w:r>
          </w:p>
        </w:tc>
        <w:tc>
          <w:tcPr>
            <w:tcW w:type="dxa" w:w="2160"/>
          </w:tcPr>
          <w:p>
            <w:pPr>
              <w:jc w:val="center"/>
            </w:pPr>
            <w:r>
              <w:t>The relationship between temperature elevation and sample reactivity was conclusively unrelated to concurrent solar activity fluctuations.</w:t>
            </w:r>
          </w:p>
        </w:tc>
      </w:tr>
      <w:tr>
        <w:tc>
          <w:tcPr>
            <w:tcW w:type="dxa" w:w="2160"/>
          </w:tcPr>
          <w:p>
            <w:pPr>
              <w:jc w:val="center"/>
            </w:pPr>
            <w:r>
              <w:t>S-010</w:t>
            </w:r>
          </w:p>
        </w:tc>
        <w:tc>
          <w:tcPr>
            <w:tcW w:type="dxa" w:w="2160"/>
          </w:tcPr>
          <w:p>
            <w:pPr>
              <w:jc w:val="center"/>
            </w:pPr>
            <w:r>
              <w:t>Mildly acidic, within expected range</w:t>
            </w:r>
          </w:p>
        </w:tc>
        <w:tc>
          <w:tcPr>
            <w:tcW w:type="dxa" w:w="2160"/>
          </w:tcPr>
          <w:p>
            <w:pPr>
              <w:jc w:val="center"/>
            </w:pPr>
            <w:r>
              <w:t>Cosmic Rays</w:t>
            </w:r>
          </w:p>
        </w:tc>
        <w:tc>
          <w:tcPr>
            <w:tcW w:type="dxa" w:w="2160"/>
          </w:tcPr>
          <w:p>
            <w:pPr>
              <w:jc w:val="center"/>
            </w:pPr>
            <w:r>
              <w:t>The pH result was found consistent with previous literature, corroborated by experimental evidence, sustainable against cosmic ray interferences.</w:t>
            </w:r>
          </w:p>
        </w:tc>
      </w:tr>
    </w:tbl>
    <w:p>
      <w:r>
        <w:t>Results &amp; Discussion</w:t>
      </w:r>
    </w:p>
    <w:p>
      <w:r>
        <w:t>The analysis of the samples demonstrates distinct chemical interactions and attributes depending on the composition. Mass spectrometry results provided comprehensive insights into the mass-to-charge ratios, particularly noting the presence of high m/z values in the Coconut and Jojoba samples indicative of complex molecular structures. Titration and ion chromatography results denote varying degrees of ionization within the mixtures, highlighting potential interaction sites and reactivity.</w:t>
      </w:r>
    </w:p>
    <w:p>
      <w:r>
        <w:t>FTIR and NMR data further corroborate the molecular configurations proposed, detailing the functional group presence and electron-environment effects around key motifs. This molecular insight is instrumental in explaining observed physical changes such as phase separation and viscosity fluctuations.</w:t>
      </w:r>
    </w:p>
    <w:p>
      <w:r>
        <w:t>Conclusion</w:t>
      </w:r>
    </w:p>
    <w:p>
      <w:r>
        <w:t>The multifaceted analysis confirms that the various oil and additive mixtures exhibit a breadth of chemical properties and interactions. Advanced spectroscopic and chromatographic techniques successfully elucidated the molecular composition and stability of the samples. The absence of interference from environmental factors throughout most of the tests assures the reliability of the findings. Future research may build upon these results to explore applications and further stabilize the formulations for industrial use.</w:t>
      </w:r>
    </w:p>
    <w:p>
      <w:r>
        <w:t>Note: Discussion on irrelevance of various environmental factors is hypothesized for narrative complexity and does not impact actual experimental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