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Experimental Analysis of Emulsions and Mixtures</w:t>
      </w:r>
    </w:p>
    <w:p>
      <w:r>
        <w:t>Report ID: Report_1392</w:t>
      </w:r>
    </w:p>
    <w:p>
      <w:r>
        <w:t>This report presents a comprehensive evaluation of various mixture samples using advanced analytical and testing equipment. Each sample consists of specified components combined to investigate their properties under specific conditions. The results are derived from a range of sophisticated instrumentation, revealing critical insights into their behavior and characteristics.</w:t>
      </w:r>
    </w:p>
    <w:p>
      <w:r>
        <w:t>Abstract</w:t>
      </w:r>
    </w:p>
    <w:p>
      <w:r>
        <w:t>In this study, diverse natural ingredient mixtures were analyzed for their physical and chemical properties using a suite of laboratory instruments. The components included oils, alcohols, waxes, gums, and glycerin. The instrumentation utilized covered spectroscopic, chromatographic, rheological, and other specialized analytical platforms. The findings cataloged multiple attributes such as viscosity, chemical composition spectra, temperature and pressure responses, and other physicochemical properties.</w:t>
      </w:r>
    </w:p>
    <w:p>
      <w:r>
        <w:t>Introduction</w:t>
      </w:r>
    </w:p>
    <w:p>
      <w:r>
        <w:t>The current research focuses on the understanding of complex mixtures consisting primarily of natural substances. These mixtures are frequently encountered in cosmetic and pharmaceutical fields where stability and performance are critical. The primary objective was to examine the effect of different ingredient combinations using a variety of testing methods to simulate real-world application scenarios.</w:t>
      </w:r>
    </w:p>
    <w:p>
      <w:r>
        <w:t>Materials and Methods</w:t>
      </w:r>
    </w:p>
    <w:p>
      <w:r>
        <w:t>Ingredients and Samples Summary:</w:t>
      </w:r>
    </w:p>
    <w:p>
      <w:r>
        <w:t>Table 1: Instrumentation and Associated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Test Parameters</w:t>
            </w:r>
          </w:p>
        </w:tc>
        <w:tc>
          <w:tcPr>
            <w:tcW w:type="dxa" w:w="2880"/>
          </w:tcPr>
          <w:p>
            <w:pPr>
              <w:jc w:val="center"/>
            </w:pPr>
            <w:r>
              <w:rPr>
                <w:b/>
              </w:rPr>
              <w:t>Observed Result</w:t>
            </w:r>
          </w:p>
        </w:tc>
      </w:tr>
      <w:tr>
        <w:tc>
          <w:tcPr>
            <w:tcW w:type="dxa" w:w="2880"/>
          </w:tcPr>
          <w:p>
            <w:pPr>
              <w:jc w:val="center"/>
            </w:pPr>
            <w:r>
              <w:t>Four Ball FB-1000</w:t>
            </w:r>
          </w:p>
        </w:tc>
        <w:tc>
          <w:tcPr>
            <w:tcW w:type="dxa" w:w="2880"/>
          </w:tcPr>
          <w:p>
            <w:pPr>
              <w:jc w:val="center"/>
            </w:pPr>
            <w:r>
              <w:t>Scar Diameter</w:t>
            </w:r>
          </w:p>
        </w:tc>
        <w:tc>
          <w:tcPr>
            <w:tcW w:type="dxa" w:w="2880"/>
          </w:tcPr>
          <w:p>
            <w:pPr>
              <w:jc w:val="center"/>
            </w:pPr>
            <w:r>
              <w:t>0.750 mm, 0.850 mm</w:t>
            </w:r>
          </w:p>
        </w:tc>
      </w:tr>
      <w:tr>
        <w:tc>
          <w:tcPr>
            <w:tcW w:type="dxa" w:w="2880"/>
          </w:tcPr>
          <w:p>
            <w:pPr>
              <w:jc w:val="center"/>
            </w:pPr>
            <w:r>
              <w:t>PCR Machine PCR-96</w:t>
            </w:r>
          </w:p>
        </w:tc>
        <w:tc>
          <w:tcPr>
            <w:tcW w:type="dxa" w:w="2880"/>
          </w:tcPr>
          <w:p>
            <w:pPr>
              <w:jc w:val="center"/>
            </w:pPr>
            <w:r>
              <w:t>Cycle Threshold (Ct)</w:t>
            </w:r>
          </w:p>
        </w:tc>
        <w:tc>
          <w:tcPr>
            <w:tcW w:type="dxa" w:w="2880"/>
          </w:tcPr>
          <w:p>
            <w:pPr>
              <w:jc w:val="center"/>
            </w:pPr>
            <w:r>
              <w:t>28 Ct</w:t>
            </w:r>
          </w:p>
        </w:tc>
      </w:tr>
      <w:tr>
        <w:tc>
          <w:tcPr>
            <w:tcW w:type="dxa" w:w="2880"/>
          </w:tcPr>
          <w:p>
            <w:pPr>
              <w:jc w:val="center"/>
            </w:pPr>
            <w:r>
              <w:t>pH Meter PH-700</w:t>
            </w:r>
          </w:p>
        </w:tc>
        <w:tc>
          <w:tcPr>
            <w:tcW w:type="dxa" w:w="2880"/>
          </w:tcPr>
          <w:p>
            <w:pPr>
              <w:jc w:val="center"/>
            </w:pPr>
            <w:r>
              <w:t>pH Level</w:t>
            </w:r>
          </w:p>
        </w:tc>
        <w:tc>
          <w:tcPr>
            <w:tcW w:type="dxa" w:w="2880"/>
          </w:tcPr>
          <w:p>
            <w:pPr>
              <w:jc w:val="center"/>
            </w:pPr>
            <w:r>
              <w:t>6.8 pH</w:t>
            </w:r>
          </w:p>
        </w:tc>
      </w:tr>
      <w:tr>
        <w:tc>
          <w:tcPr>
            <w:tcW w:type="dxa" w:w="2880"/>
          </w:tcPr>
          <w:p>
            <w:pPr>
              <w:jc w:val="center"/>
            </w:pPr>
            <w:r>
              <w:t>Thermocycler TC-5000</w:t>
            </w:r>
          </w:p>
        </w:tc>
        <w:tc>
          <w:tcPr>
            <w:tcW w:type="dxa" w:w="2880"/>
          </w:tcPr>
          <w:p>
            <w:pPr>
              <w:jc w:val="center"/>
            </w:pPr>
            <w:r>
              <w:t>Temperature Stability</w:t>
            </w:r>
          </w:p>
        </w:tc>
        <w:tc>
          <w:tcPr>
            <w:tcW w:type="dxa" w:w="2880"/>
          </w:tcPr>
          <w:p>
            <w:pPr>
              <w:jc w:val="center"/>
            </w:pPr>
            <w:r>
              <w:t>75 °C</w:t>
            </w:r>
          </w:p>
        </w:tc>
      </w:tr>
      <w:tr>
        <w:tc>
          <w:tcPr>
            <w:tcW w:type="dxa" w:w="2880"/>
          </w:tcPr>
          <w:p>
            <w:pPr>
              <w:jc w:val="center"/>
            </w:pPr>
            <w:r>
              <w:t>FTIR Spectrometer FTIR-8400</w:t>
            </w:r>
          </w:p>
        </w:tc>
        <w:tc>
          <w:tcPr>
            <w:tcW w:type="dxa" w:w="2880"/>
          </w:tcPr>
          <w:p>
            <w:pPr>
              <w:jc w:val="center"/>
            </w:pPr>
            <w:r>
              <w:t>Spectral Peak</w:t>
            </w:r>
          </w:p>
        </w:tc>
        <w:tc>
          <w:tcPr>
            <w:tcW w:type="dxa" w:w="2880"/>
          </w:tcPr>
          <w:p>
            <w:pPr>
              <w:jc w:val="center"/>
            </w:pPr>
            <w:r>
              <w:t>1800 1/cm</w:t>
            </w:r>
          </w:p>
        </w:tc>
      </w:tr>
      <w:tr>
        <w:tc>
          <w:tcPr>
            <w:tcW w:type="dxa" w:w="2880"/>
          </w:tcPr>
          <w:p>
            <w:pPr>
              <w:jc w:val="center"/>
            </w:pPr>
            <w:r>
              <w:t>UV-Vis Spectrophotometer UV-2600</w:t>
            </w:r>
          </w:p>
        </w:tc>
        <w:tc>
          <w:tcPr>
            <w:tcW w:type="dxa" w:w="2880"/>
          </w:tcPr>
          <w:p>
            <w:pPr>
              <w:jc w:val="center"/>
            </w:pPr>
            <w:r>
              <w:t>Absorbance</w:t>
            </w:r>
          </w:p>
        </w:tc>
        <w:tc>
          <w:tcPr>
            <w:tcW w:type="dxa" w:w="2880"/>
          </w:tcPr>
          <w:p>
            <w:pPr>
              <w:jc w:val="center"/>
            </w:pPr>
            <w:r>
              <w:t>1.2 Abs</w:t>
            </w:r>
          </w:p>
        </w:tc>
      </w:tr>
      <w:tr>
        <w:tc>
          <w:tcPr>
            <w:tcW w:type="dxa" w:w="2880"/>
          </w:tcPr>
          <w:p>
            <w:pPr>
              <w:jc w:val="center"/>
            </w:pPr>
            <w:r>
              <w:t>HPLC System HPLC-9000</w:t>
            </w:r>
          </w:p>
        </w:tc>
        <w:tc>
          <w:tcPr>
            <w:tcW w:type="dxa" w:w="2880"/>
          </w:tcPr>
          <w:p>
            <w:pPr>
              <w:jc w:val="center"/>
            </w:pPr>
            <w:r>
              <w:t>Concentration Detection</w:t>
            </w:r>
          </w:p>
        </w:tc>
        <w:tc>
          <w:tcPr>
            <w:tcW w:type="dxa" w:w="2880"/>
          </w:tcPr>
          <w:p>
            <w:pPr>
              <w:jc w:val="center"/>
            </w:pPr>
            <w:r>
              <w:t>50 mg/L</w:t>
            </w:r>
          </w:p>
        </w:tc>
      </w:tr>
      <w:tr>
        <w:tc>
          <w:tcPr>
            <w:tcW w:type="dxa" w:w="2880"/>
          </w:tcPr>
          <w:p>
            <w:pPr>
              <w:jc w:val="center"/>
            </w:pPr>
            <w:r>
              <w:t>Rheometer R-4500</w:t>
            </w:r>
          </w:p>
        </w:tc>
        <w:tc>
          <w:tcPr>
            <w:tcW w:type="dxa" w:w="2880"/>
          </w:tcPr>
          <w:p>
            <w:pPr>
              <w:jc w:val="center"/>
            </w:pPr>
            <w:r>
              <w:t>Viscosity</w:t>
            </w:r>
          </w:p>
        </w:tc>
        <w:tc>
          <w:tcPr>
            <w:tcW w:type="dxa" w:w="2880"/>
          </w:tcPr>
          <w:p>
            <w:pPr>
              <w:jc w:val="center"/>
            </w:pPr>
            <w:r>
              <w:t>320 Pa-s</w:t>
            </w:r>
          </w:p>
        </w:tc>
      </w:tr>
      <w:tr>
        <w:tc>
          <w:tcPr>
            <w:tcW w:type="dxa" w:w="2880"/>
          </w:tcPr>
          <w:p>
            <w:pPr>
              <w:jc w:val="center"/>
            </w:pPr>
            <w:r>
              <w:t>Gas Chromatograph GC-2010</w:t>
            </w:r>
          </w:p>
        </w:tc>
        <w:tc>
          <w:tcPr>
            <w:tcW w:type="dxa" w:w="2880"/>
          </w:tcPr>
          <w:p>
            <w:pPr>
              <w:jc w:val="center"/>
            </w:pPr>
            <w:r>
              <w:t>Concentration</w:t>
            </w:r>
          </w:p>
        </w:tc>
        <w:tc>
          <w:tcPr>
            <w:tcW w:type="dxa" w:w="2880"/>
          </w:tcPr>
          <w:p>
            <w:pPr>
              <w:jc w:val="center"/>
            </w:pPr>
            <w:r>
              <w:t>200 ppm</w:t>
            </w:r>
          </w:p>
        </w:tc>
      </w:tr>
      <w:tr>
        <w:tc>
          <w:tcPr>
            <w:tcW w:type="dxa" w:w="2880"/>
          </w:tcPr>
          <w:p>
            <w:pPr>
              <w:jc w:val="center"/>
            </w:pPr>
            <w:r>
              <w:t>Viscometer VS-300</w:t>
            </w:r>
          </w:p>
        </w:tc>
        <w:tc>
          <w:tcPr>
            <w:tcW w:type="dxa" w:w="2880"/>
          </w:tcPr>
          <w:p>
            <w:pPr>
              <w:jc w:val="center"/>
            </w:pPr>
            <w:r>
              <w:t>Viscosity</w:t>
            </w:r>
          </w:p>
        </w:tc>
        <w:tc>
          <w:tcPr>
            <w:tcW w:type="dxa" w:w="2880"/>
          </w:tcPr>
          <w:p>
            <w:pPr>
              <w:jc w:val="center"/>
            </w:pPr>
            <w:r>
              <w:t>4898.94 cP, 7612.52 cP</w:t>
            </w:r>
          </w:p>
        </w:tc>
      </w:tr>
    </w:tbl>
    <w:p>
      <w:r>
        <w:t>Results and Observations</w:t>
      </w:r>
    </w:p>
    <w:p>
      <w:r>
        <w:t>Viscosity Analysis</w:t>
      </w:r>
    </w:p>
    <w:p>
      <w:r>
        <w:t>The viscometric analysis revealed significant differences in viscosity between Coconut Oil with Vitamin E (4898.94 cP) and Almond Oil with Gum and Glycerin (7612.52 cP). This indicates the profound impact of each component's molecular structure and intermolecular forces on the overall viscosity of mixtures.</w:t>
      </w:r>
    </w:p>
    <w:p>
      <w:r>
        <w:t>Temperature and Thermocycler Observations</w:t>
      </w:r>
    </w:p>
    <w:p>
      <w:r>
        <w:t>Samples including Jojoba Oil and Gum demonstrated exceptional thermal stability at 75 °C using the Thermocycler TC-5000. This underscores their potential suitability in conditions demanding high temperature endurance.</w:t>
      </w:r>
    </w:p>
    <w:p>
      <w:r>
        <w:t>Spectroscopic Insights</w:t>
      </w:r>
    </w:p>
    <w:p>
      <w:r>
        <w:t>FTIR spectral analysis showed a distinct peak at 1800 1/cm for Almond Oil, Gum, and Glycerin mixtures, suggesting specific functional group interactions. UV-Vis Spectrophotometer readings with an absorbance of 1.2 Abs further provided insight into the molecular interactions present within the Jojoba Oil, Beeswax, and Glycerin combinations.</w:t>
      </w:r>
    </w:p>
    <w:p>
      <w:r>
        <w:t>Discussion</w:t>
      </w:r>
    </w:p>
    <w:p>
      <w:r>
        <w:t>The experimental data offers valuable insights into the physicochemical dynamics of natural ingredient composites. Viscosity variations suggest that ingredient choice plays a critical role in optimizing product texture and application. Temperature and pH measurements reinforce the importance of understanding environmental stability.</w:t>
      </w:r>
    </w:p>
    <w:p>
      <w:r>
        <w:t>Interestingly, spectrometric and chromatographic findings highlight the complexity and diverse interactions within constituent molecules. Such an integrated analytical approach presents a robust framework for further exploration of both the known and unknown attributes of these emulsions and mixtures.</w:t>
      </w:r>
    </w:p>
    <w:p>
      <w:r>
        <w:t>Conclusion</w:t>
      </w:r>
    </w:p>
    <w:p>
      <w:r>
        <w:t>These experimental findings contribute to the broader field of formulation science, providing essential parameters for the development of stable and effective products. Future studies should aim to map these observations to real-world performance, thereby bridging the gap between laboratory analysis and market application.</w:t>
      </w:r>
    </w:p>
    <w:p>
      <w:r>
        <w:t>Appendix</w:t>
      </w:r>
    </w:p>
    <w:p>
      <w:r>
        <w:t>Table 2: Redundant Information</w:t>
      </w:r>
    </w:p>
    <w:p>
      <w:r>
        <w:t>Footnotes</w:t>
      </w:r>
    </w:p>
    <w:p>
      <w:r>
        <w:t>The tabulated results were derived under controlled conditions, with random checks for consistency and accuracy of instrumentation calibration throughout the testing timeline.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